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.pdf" ContentType="application/pdf"/>
  <Override PartName="/word/media/rId45.pdf" ContentType="application/pdf"/>
  <Override PartName="/word/media/rId56.pdf" ContentType="application/pdf"/>
  <Override PartName="/word/media/rId59.pdf" ContentType="application/pdf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Price of Conservatism in Cloud Optimization: An Empirical Evaluation of Right-Sizing and Reservation Policies</w:t>
      </w:r>
    </w:p>
    <w:p>
      <w:pPr>
        <w:pStyle w:val="FirstParagraph"/>
      </w:pPr>
      <w:r>
        <w:rPr>
          <w:b/>
          <w:bCs/>
        </w:rPr>
        <w:t xml:space="preserve">Ibrahim Mohamed, Mariam Emad, Hazem Ibrahim, Ahmed Sameh, Mahmoud Ahmed, John Ehab</w:t>
      </w:r>
      <w:r>
        <w:br/>
      </w:r>
      <w:r>
        <w:rPr>
          <w:i/>
          <w:iCs/>
          <w:sz w:val="18"/>
          <w:szCs w:val="18"/>
        </w:rPr>
        <w:t xml:space="preserve">Academic supervision and project support: Dr. Hafez Seliem, Mohamed Essam, and Saif AlDeen Sameh.</w:t>
      </w:r>
      <w:r>
        <w:br/>
      </w:r>
      <w:r>
        <w:t xml:space="preserve">All authors: Department of Computer Systems</w:t>
      </w:r>
      <w:r>
        <w:br/>
      </w:r>
      <w:r>
        <w:t xml:space="preserve">Faculty of Computer Science</w:t>
      </w:r>
      <w:r>
        <w:br/>
      </w:r>
      <w:r>
        <w:t xml:space="preserve">Ain Shams University</w:t>
      </w:r>
      <w:r>
        <w:br/>
      </w:r>
      <w:r>
        <w:t xml:space="preserve">Cairo, Egypt</w:t>
      </w:r>
    </w:p>
    <w:bookmarkStart w:id="9" w:name="abstract"/>
    <w:p>
      <w:pPr>
        <w:pStyle w:val="Heading1"/>
      </w:pPr>
      <w:r>
        <w:t xml:space="preserve">Abstract</w:t>
      </w:r>
    </w:p>
    <w:p>
      <w:pPr>
        <w:pStyle w:val="FirstParagraph"/>
      </w:pPr>
      <w:r>
        <w:t xml:space="preserve">Cloud right-sizing and capacity reservation answer different questions: one</w:t>
      </w:r>
      <w:r>
        <w:t xml:space="preserve"> </w:t>
      </w:r>
      <w:r>
        <w:t xml:space="preserve">maps observed utilization to candidate capacity, whereas the other chooses an</w:t>
      </w:r>
      <w:r>
        <w:t xml:space="preserve"> </w:t>
      </w:r>
      <w:r>
        <w:t xml:space="preserve">advance commitment under a price ratio. We use Smart Cloud Optimizer, an</w:t>
      </w:r>
      <w:r>
        <w:t xml:space="preserve"> </w:t>
      </w:r>
      <w:r>
        <w:t xml:space="preserve">implemented AWS cost-optimization pipeline, as an evaluation vehicle for an</w:t>
      </w:r>
      <w:r>
        <w:t xml:space="preserve"> </w:t>
      </w:r>
      <w:r>
        <w:t xml:space="preserve">empirical comparison between one implemented</w:t>
      </w:r>
      <w:r>
        <w:t xml:space="preserve"> </w:t>
      </w:r>
      <m:oMath>
        <m:sSub>
          <m:e>
            <m:r>
              <m:t>q</m:t>
            </m:r>
          </m:e>
          <m:sub>
            <m:r>
              <m:t>0.95</m:t>
            </m:r>
          </m:sub>
        </m:sSub>
        <m:r>
          <m:rPr>
            <m:sty m:val="p"/>
          </m:rPr>
          <m:t>×</m:t>
        </m:r>
        <m:r>
          <m:t>1.3</m:t>
        </m:r>
      </m:oMath>
      <w:r>
        <w:t xml:space="preserve"> </w:t>
      </w:r>
      <w:r>
        <w:t xml:space="preserve">rule,</w:t>
      </w:r>
      <w:r>
        <w:t xml:space="preserve"> </w:t>
      </w:r>
      <w:r>
        <w:t xml:space="preserve">restored public traces, and simplified reservation-policy baselines. The</w:t>
      </w:r>
      <w:r>
        <w:t xml:space="preserve"> </w:t>
      </w:r>
      <w:r>
        <w:t xml:space="preserve">contribution is empirical and systems-oriented; it is not new reservation</w:t>
      </w:r>
      <w:r>
        <w:t xml:space="preserve"> </w:t>
      </w:r>
      <w:r>
        <w:t xml:space="preserve">theory or a model of commercial recommenders. Study I audits price basis,</w:t>
      </w:r>
      <w:r>
        <w:t xml:space="preserve"> </w:t>
      </w:r>
      <w:r>
        <w:t xml:space="preserve">catalog feasibility, and service decomposition on the repository’s synthetic</w:t>
      </w:r>
      <w:r>
        <w:t xml:space="preserve"> </w:t>
      </w:r>
      <w:r>
        <w:t xml:space="preserve">account. Under a shared EC2 snapshot on-demand basis, EC2 changes from</w:t>
      </w:r>
      <w:r>
        <w:t xml:space="preserve"> </w:t>
      </w:r>
      <w:r>
        <w:t xml:space="preserve">$843.73/mo to $970.61/mo</w:t>
      </w:r>
      <w:r>
        <w:t xml:space="preserve"> </w:t>
      </w:r>
      <w:r>
        <w:t xml:space="preserve">(+15.0%), while demo-priced RDS decreases from</w:t>
      </w:r>
      <w:r>
        <w:t xml:space="preserve"> </w:t>
      </w:r>
      <w:r>
        <w:t xml:space="preserve">$397.85/mo to $35.04/mo</w:t>
      </w:r>
      <w:r>
        <w:t xml:space="preserve"> </w:t>
      </w:r>
      <w:r>
        <w:t xml:space="preserve">(91.2% decrease), yielding a service-mixed aggregate change of</w:t>
      </w:r>
      <w:r>
        <w:t xml:space="preserve"> </w:t>
      </w:r>
      <w:r>
        <w:t xml:space="preserve">-19.0%. Study II restores Bitbrains and Materna GWA traces</w:t>
      </w:r>
      <w:r>
        <w:t xml:space="preserve"> </w:t>
      </w:r>
      <w:r>
        <w:t xml:space="preserve">with checksums, baseline grids, and bootstrap intervals; the rule yields</w:t>
      </w:r>
      <w:r>
        <w:t xml:space="preserve"> </w:t>
      </w:r>
      <w:r>
        <w:t xml:space="preserve">41.8% lower aggregate mapped cost (95% CI</w:t>
      </w:r>
      <w:r>
        <w:t xml:space="preserve"> </w:t>
      </w:r>
      <w:r>
        <w:t xml:space="preserve">35.9–47.5%) than lift-and-shift under</w:t>
      </w:r>
      <w:r>
        <w:t xml:space="preserve"> </w:t>
      </w:r>
      <w:r>
        <w:t xml:space="preserve">the evaluated catalog and mapping. Study III counterfactually reuses P95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1.3 for reservation sizing, rather than treating it as a commercial</w:t>
      </w:r>
      <w:r>
        <w:t xml:space="preserve"> </w:t>
      </w:r>
      <w:r>
        <w:t xml:space="preserve">recommender model. At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0.63</m:t>
        </m:r>
      </m:oMath>
      <w:r>
        <w:t xml:space="preserve">, it realizes</w:t>
      </w:r>
      <w:r>
        <w:t xml:space="preserve"> </w:t>
      </w:r>
      <w:r>
        <w:t xml:space="preserve">101.8% and 153.5% of on-demand-only cost on a synthetic daily</w:t>
      </w:r>
      <w:r>
        <w:t xml:space="preserve"> </w:t>
      </w:r>
      <w:r>
        <w:t xml:space="preserve">account-cost proxy (USD/day) and a restored hourly aggregate CPU-demand series</w:t>
      </w:r>
      <w:r>
        <w:t xml:space="preserve"> </w:t>
      </w:r>
      <w:r>
        <w:t xml:space="preserve">(MHz), respectively; the newsvendor fractile realizes 73.6% and</w:t>
      </w:r>
      <w:r>
        <w:t xml:space="preserve"> </w:t>
      </w:r>
      <w:r>
        <w:t xml:space="preserve">86.2%. These deterministic simulations evaluate relative temporal</w:t>
      </w:r>
      <w:r>
        <w:t xml:space="preserve"> </w:t>
      </w:r>
      <w:r>
        <w:t xml:space="preserve">policy behavior under a simplified mapped-cost objective, not provider billing</w:t>
      </w:r>
      <w:r>
        <w:t xml:space="preserve"> </w:t>
      </w:r>
      <w:r>
        <w:t xml:space="preserve">or physical-capacity allocation. Direct commercial-tool, operational, and SLO</w:t>
      </w:r>
      <w:r>
        <w:t xml:space="preserve"> </w:t>
      </w:r>
      <w:r>
        <w:t xml:space="preserve">effects remain unevaluated.</w:t>
      </w:r>
    </w:p>
    <w:p>
      <w:pPr>
        <w:pStyle w:val="BodyText"/>
      </w:pPr>
      <w:r>
        <w:rPr>
          <w:b/>
          <w:bCs/>
        </w:rPr>
        <w:t xml:space="preserve">Keywords:</w:t>
      </w:r>
      <w:r>
        <w:t xml:space="preserve"> </w:t>
      </w:r>
      <w:r>
        <w:t xml:space="preserve">cloud cost optimization; right-sizing; capacity</w:t>
      </w:r>
      <w:r>
        <w:t xml:space="preserve"> </w:t>
      </w:r>
      <w:r>
        <w:t xml:space="preserve">reservation; resource management; cloud pricing; workload traces; FinOps;</w:t>
      </w:r>
      <w:r>
        <w:t xml:space="preserve"> </w:t>
      </w:r>
      <w:r>
        <w:t xml:space="preserve">empirical evaluation.</w:t>
      </w:r>
    </w:p>
    <w:bookmarkEnd w:id="9"/>
    <w:bookmarkStart w:id="10" w:name="introduction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Introduction</w:t>
      </w:r>
    </w:p>
    <w:p>
      <w:pPr>
        <w:pStyle w:val="FirstParagraph"/>
      </w:pPr>
      <w:r>
        <w:t xml:space="preserve">Public-cloud customers pay for a mix of elastic and committed capacity.</w:t>
      </w:r>
      <w:r>
        <w:t xml:space="preserve"> </w:t>
      </w:r>
      <w:r>
        <w:t xml:space="preserve">On-demand capacity is flexible but expensive per unit. Reserved or committed</w:t>
      </w:r>
      <w:r>
        <w:t xml:space="preserve"> </w:t>
      </w:r>
      <w:r>
        <w:t xml:space="preserve">capacity is cheaper per unit, but unused reserved capacity still costs money.</w:t>
      </w:r>
      <w:r>
        <w:t xml:space="preserve"> </w:t>
      </w:r>
      <w:r>
        <w:t xml:space="preserve">This creates a recurring decision problem for workloads with intermittent</w:t>
      </w:r>
      <w:r>
        <w:t xml:space="preserve"> </w:t>
      </w:r>
      <w:r>
        <w:t xml:space="preserve">surges: reserve enough to exploit discounts, but not so much that the</w:t>
      </w:r>
      <w:r>
        <w:t xml:space="preserve"> </w:t>
      </w:r>
      <w:r>
        <w:t xml:space="preserve">commitment becomes idle during ordinary periods.</w:t>
      </w:r>
    </w:p>
    <w:p>
      <w:pPr>
        <w:pStyle w:val="BodyText"/>
      </w:pPr>
      <w:r>
        <w:t xml:space="preserve">The evaluated pipeline estimates high utilization percentiles and adds</w:t>
      </w:r>
      <w:r>
        <w:t xml:space="preserve"> </w:t>
      </w:r>
      <w:r>
        <w:t xml:space="preserve">headroom when selecting candidate capacity. This construction maps observed</w:t>
      </w:r>
      <w:r>
        <w:t xml:space="preserve"> </w:t>
      </w:r>
      <w:r>
        <w:t xml:space="preserve">usage to a capacity above the selected percentile. Published large-scale</w:t>
      </w:r>
      <w:r>
        <w:t xml:space="preserve"> </w:t>
      </w:r>
      <w:r>
        <w:t xml:space="preserve">systems address distinct resource-management tasks: Autopilot reports</w:t>
      </w:r>
      <w:r>
        <w:t xml:space="preserve"> </w:t>
      </w:r>
      <w:r>
        <w:t xml:space="preserve">workload autoscaling at Google </w:t>
      </w:r>
      <w:r>
        <w:t xml:space="preserve">(Rzadca et al. 2020)</w:t>
      </w:r>
      <w:r>
        <w:t xml:space="preserve">, Resource Central</w:t>
      </w:r>
      <w:r>
        <w:t xml:space="preserve"> </w:t>
      </w:r>
      <w:r>
        <w:t xml:space="preserve">reports workload understanding and prediction for resource</w:t>
      </w:r>
      <w:r>
        <w:t xml:space="preserve"> </w:t>
      </w:r>
      <w:r>
        <w:t xml:space="preserve">management </w:t>
      </w:r>
      <w:r>
        <w:t xml:space="preserve">(Cortez et al. 2017)</w:t>
      </w:r>
      <w:r>
        <w:t xml:space="preserve">, and Doppler reports automated SKU</w:t>
      </w:r>
      <w:r>
        <w:t xml:space="preserve"> </w:t>
      </w:r>
      <w:r>
        <w:t xml:space="preserve">recommendation for SQL migration </w:t>
      </w:r>
      <w:r>
        <w:t xml:space="preserve">(Cahoon et al. 2022)</w:t>
      </w:r>
      <w:r>
        <w:t xml:space="preserve">.</w:t>
      </w:r>
      <w:r>
        <w:t xml:space="preserve"> </w:t>
      </w:r>
      <w:r>
        <w:t xml:space="preserve">However, a capacity-sizing rule and a reservation commitment are different</w:t>
      </w:r>
      <w:r>
        <w:t xml:space="preserve"> </w:t>
      </w:r>
      <w:r>
        <w:t xml:space="preserve">economic objects. The former selects mapped capacity; the latter is a</w:t>
      </w:r>
      <w:r>
        <w:t xml:space="preserve"> </w:t>
      </w:r>
      <w:r>
        <w:t xml:space="preserve">financial hedge against on-demand prices. Added headroom alone is not evidence</w:t>
      </w:r>
      <w:r>
        <w:t xml:space="preserve"> </w:t>
      </w:r>
      <w:r>
        <w:t xml:space="preserve">of effects on latency, errors, throughput, availability, or SLO violations,</w:t>
      </w:r>
      <w:r>
        <w:t xml:space="preserve"> </w:t>
      </w:r>
      <w:r>
        <w:t xml:space="preserve">none of which are measured here.</w:t>
      </w:r>
    </w:p>
    <w:p>
      <w:pPr>
        <w:pStyle w:val="BodyText"/>
      </w:pPr>
      <w:r>
        <w:t xml:space="preserve">Capacity-reservation theory makes the economic distinction explicit.</w:t>
      </w:r>
      <w:r>
        <w:t xml:space="preserve"> </w:t>
      </w:r>
      <w:r>
        <w:t xml:space="preserve">Chen, Lei, and Moinzadeh </w:t>
      </w:r>
      <w:r>
        <w:t xml:space="preserve">(Chen et al. 2024)</w:t>
      </w:r>
      <w:r>
        <w:t xml:space="preserve"> </w:t>
      </w:r>
      <w:r>
        <w:t xml:space="preserve">model cloud capacity under</w:t>
      </w:r>
      <w:r>
        <w:t xml:space="preserve"> </w:t>
      </w:r>
      <w:r>
        <w:t xml:space="preserve">intermittent random demand surges and derive newsvendor-like capacity levels</w:t>
      </w:r>
      <w:r>
        <w:t xml:space="preserve"> </w:t>
      </w:r>
      <w:r>
        <w:t xml:space="preserve">for reserved capacity. Their result implies that the cost-optimal reservation</w:t>
      </w:r>
      <w:r>
        <w:t xml:space="preserve"> </w:t>
      </w:r>
      <w:r>
        <w:t xml:space="preserve">service level depends on the reserved/on-demand price ratio, not on an</w:t>
      </w:r>
      <w:r>
        <w:t xml:space="preserve"> </w:t>
      </w:r>
      <w:r>
        <w:t xml:space="preserve">engineering convention such as the 95th percentile. At the recorded</w:t>
      </w:r>
      <w:r>
        <w:t xml:space="preserve"> </w:t>
      </w:r>
      <w:r>
        <w:t xml:space="preserve">catalog-average ratio,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0.63</m:t>
        </m:r>
      </m:oMath>
      <w:r>
        <w:t xml:space="preserve">, the critical fractile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γ</m:t>
        </m:r>
      </m:oMath>
      <w:r>
        <w:t xml:space="preserve"> </w:t>
      </w:r>
      <w:r>
        <w:t xml:space="preserve">is much lower than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r>
        <w:t xml:space="preserve">Study III evaluates this price-ratio logic with arm-specific empirical</w:t>
      </w:r>
      <w:r>
        <w:t xml:space="preserve"> </w:t>
      </w:r>
      <w:r>
        <w:t xml:space="preserve">quantities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; it does not reinterpret the synthetic cost series</w:t>
      </w:r>
      <w:r>
        <w:t xml:space="preserve"> </w:t>
      </w:r>
      <w:r>
        <w:t xml:space="preserve">as physical demand or commitment.</w:t>
      </w:r>
    </w:p>
    <w:p>
      <w:pPr>
        <w:pStyle w:val="BodyText"/>
      </w:pPr>
      <w:r>
        <w:t xml:space="preserve">This article uses Smart Cloud Optimizer as an empirical artifact for studying</w:t>
      </w:r>
      <w:r>
        <w:t xml:space="preserve"> </w:t>
      </w:r>
      <w:r>
        <w:t xml:space="preserve">that distinction. The repository implements telemetry</w:t>
      </w:r>
      <w:r>
        <w:t xml:space="preserve"> </w:t>
      </w:r>
      <w:r>
        <w:t xml:space="preserve">ingestion, forecasting, PuLP/CBC mixed-integer right-sizing, reserved-pricing</w:t>
      </w:r>
      <w:r>
        <w:t xml:space="preserve"> </w:t>
      </w:r>
      <w:r>
        <w:t xml:space="preserve">checks, and transparent waste rules. Dashboard, API, storage, and LLM-advisor</w:t>
      </w:r>
      <w:r>
        <w:t xml:space="preserve"> </w:t>
      </w:r>
      <w:r>
        <w:t xml:space="preserve">components are system context only. The evaluated object is narrower: how an</w:t>
      </w:r>
      <w:r>
        <w:t xml:space="preserve"> </w:t>
      </w:r>
      <w:r>
        <w:t xml:space="preserve">implemented P95-based right-sizing pipeline behaves under corrected price</w:t>
      </w:r>
      <w:r>
        <w:t xml:space="preserve"> </w:t>
      </w:r>
      <w:r>
        <w:t xml:space="preserve">bases, public traces, and price-aware reservation simulations.</w:t>
      </w:r>
    </w:p>
    <w:p>
      <w:pPr>
        <w:pStyle w:val="BodyText"/>
      </w:pPr>
      <w:r>
        <w:t xml:space="preserve">The claim is not that this article introduces reservation theory or that the</w:t>
      </w:r>
      <w:r>
        <w:t xml:space="preserve"> </w:t>
      </w:r>
      <w:r>
        <w:t xml:space="preserve">implemented optimizer beats AWS, Azure, or a third-party recommender. No</w:t>
      </w:r>
      <w:r>
        <w:t xml:space="preserve"> </w:t>
      </w:r>
      <w:r>
        <w:t xml:space="preserve">direct evidence for such comparisons exists in the repository. The narrower</w:t>
      </w:r>
      <w:r>
        <w:t xml:space="preserve"> </w:t>
      </w:r>
      <w:r>
        <w:t xml:space="preserve">claim is that the implemented pipeline and restored traces support an</w:t>
      </w:r>
      <w:r>
        <w:t xml:space="preserve"> </w:t>
      </w:r>
      <w:r>
        <w:t xml:space="preserve">empirical comparison of one percentile-based sizing rule with simplified,</w:t>
      </w:r>
      <w:r>
        <w:t xml:space="preserve"> </w:t>
      </w:r>
      <w:r>
        <w:t xml:space="preserve">theory-derived and recency-window reservation baselines.</w:t>
      </w:r>
    </w:p>
    <w:p>
      <w:pPr>
        <w:pStyle w:val="BodyText"/>
      </w:pPr>
      <w:r>
        <w:t xml:space="preserve">This article makes three contributions.</w:t>
      </w:r>
    </w:p>
    <w:p>
      <w:pPr>
        <w:numPr>
          <w:ilvl w:val="0"/>
          <w:numId w:val="1001"/>
        </w:numPr>
      </w:pPr>
      <w:r>
        <w:t xml:space="preserve">It operationalizes and audits one</w:t>
      </w:r>
      <w:r>
        <w:t xml:space="preserve"> </w:t>
      </w:r>
      <m:oMath>
        <m:sSub>
          <m:e>
            <m:r>
              <m:t>q</m:t>
            </m:r>
          </m:e>
          <m:sub>
            <m:r>
              <m:t>0.95</m:t>
            </m:r>
          </m:sub>
        </m:sSub>
        <m:r>
          <m:rPr>
            <m:sty m:val="p"/>
          </m:rPr>
          <m:t>×</m:t>
        </m:r>
        <m:r>
          <m:t>1.3</m:t>
        </m:r>
      </m:oMath>
      <w:r>
        <w:t xml:space="preserve"> </w:t>
      </w:r>
      <w:r>
        <w:t xml:space="preserve">right-sizing</w:t>
      </w:r>
      <w:r>
        <w:t xml:space="preserve"> </w:t>
      </w:r>
      <w:r>
        <w:t xml:space="preserve">pipeline, separating EC2 price comparability and candidate-catalog feasibility</w:t>
      </w:r>
      <w:r>
        <w:t xml:space="preserve"> </w:t>
      </w:r>
      <w:r>
        <w:t xml:space="preserve">from the demo-priced RDS contribution to the synthetic aggregate.</w:t>
      </w:r>
    </w:p>
    <w:p>
      <w:pPr>
        <w:numPr>
          <w:ilvl w:val="0"/>
          <w:numId w:val="1001"/>
        </w:numPr>
      </w:pPr>
      <w:r>
        <w:t xml:space="preserve">It restores GWA Study II evidence with archive and manifest checksums,</w:t>
      </w:r>
      <w:r>
        <w:t xml:space="preserve"> </w:t>
      </w:r>
      <w:r>
        <w:t xml:space="preserve">bootstrap confidence intervals, and a lift-and-shift/mean/median/P90/P95/P99/</w:t>
      </w:r>
      <w:r>
        <w:t xml:space="preserve"> </w:t>
      </w:r>
      <w:r>
        <w:t xml:space="preserve">max/P95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1.3 baseline grid.</w:t>
      </w:r>
    </w:p>
    <w:p>
      <w:pPr>
        <w:numPr>
          <w:ilvl w:val="0"/>
          <w:numId w:val="1001"/>
        </w:numPr>
      </w:pPr>
      <w:r>
        <w:t xml:space="preserve">It compares the deliberately conservative HEUR counterfactual with</w:t>
      </w:r>
      <w:r>
        <w:t xml:space="preserve"> </w:t>
      </w:r>
      <w:r>
        <w:t xml:space="preserve">newsvendor, SAA, dual-level, perfect-information, and 7/30/60-day</w:t>
      </w:r>
      <w:r>
        <w:t xml:space="preserve"> </w:t>
      </w:r>
      <w:r>
        <w:t xml:space="preserve">recency-window policies on held-out proxy series (USD/day account cost in the</w:t>
      </w:r>
      <w:r>
        <w:t xml:space="preserve"> </w:t>
      </w:r>
      <w:r>
        <w:t xml:space="preserve">synthetic arm and MHz aggregate CPU demand in the restored real-trace arm),</w:t>
      </w:r>
      <w:r>
        <w:t xml:space="preserve"> </w:t>
      </w:r>
      <w:r>
        <w:t xml:space="preserve">while reporting the third-party-system, contract-model, and SLO boundaries of</w:t>
      </w:r>
      <w:r>
        <w:t xml:space="preserve"> </w:t>
      </w:r>
      <w:r>
        <w:t xml:space="preserve">that simulation.</w:t>
      </w:r>
    </w:p>
    <w:p>
      <w:pPr>
        <w:pStyle w:val="FirstParagraph"/>
      </w:pPr>
      <w:r>
        <w:t xml:space="preserve">The evidence boundaries remain explicit: the Azure raw</w:t>
      </w:r>
      <w:r>
        <w:t xml:space="preserve"> </w:t>
      </w:r>
      <w:r>
        <w:rPr>
          <w:rStyle w:val="VerbatimChar"/>
        </w:rPr>
        <w:t xml:space="preserve">vmtable.csv.gz</w:t>
      </w:r>
      <w:r>
        <w:t xml:space="preserve"> </w:t>
      </w:r>
      <w:r>
        <w:t xml:space="preserve">file was not restored/rerun, no SLO or</w:t>
      </w:r>
      <w:r>
        <w:t xml:space="preserve"> </w:t>
      </w:r>
      <w:r>
        <w:t xml:space="preserve">performance-risk measurements are available, no direct commercial-tool</w:t>
      </w:r>
      <w:r>
        <w:t xml:space="preserve"> </w:t>
      </w:r>
      <w:r>
        <w:t xml:space="preserve">baseline is present, and no full dynamic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implementation is claimed.</w:t>
      </w:r>
    </w:p>
    <w:bookmarkEnd w:id="10"/>
    <w:bookmarkStart w:id="15" w:name="related-work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Related Work</w:t>
      </w:r>
    </w:p>
    <w:bookmarkStart w:id="11" w:name="Xe15c6c4d39b6e315ae26abca471b3fc6f65b19f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Capacity Reservation and Newsvendor Fractiles</w:t>
      </w:r>
    </w:p>
    <w:p>
      <w:pPr>
        <w:pStyle w:val="FirstParagraph"/>
      </w:pPr>
      <w:r>
        <w:t xml:space="preserve">The reservation side of this article builds on the classical newsvendor</w:t>
      </w:r>
      <w:r>
        <w:t xml:space="preserve"> </w:t>
      </w:r>
      <w:r>
        <w:t xml:space="preserve">model </w:t>
      </w:r>
      <w:r>
        <w:t xml:space="preserve">(Arrow et al. 1951)</w:t>
      </w:r>
      <w:r>
        <w:t xml:space="preserve">, data-driven newsvendor</w:t>
      </w:r>
      <w:r>
        <w:t xml:space="preserve"> </w:t>
      </w:r>
      <w:r>
        <w:t xml:space="preserve">variants </w:t>
      </w:r>
      <w:r>
        <w:t xml:space="preserve">(Ban and Rudin 2019)</w:t>
      </w:r>
      <w:r>
        <w:t xml:space="preserve">, and stochastic cloud provisioning models</w:t>
      </w:r>
      <w:r>
        <w:t xml:space="preserve"> </w:t>
      </w:r>
      <w:r>
        <w:t xml:space="preserve">that choose capacity under uncertain demand and prices </w:t>
      </w:r>
      <w:r>
        <w:t xml:space="preserve">(Chaisiri et al. 2012; Bülbül et al. 2021)</w:t>
      </w:r>
      <w:r>
        <w:t xml:space="preserve">.</w:t>
      </w:r>
      <w:r>
        <w:t xml:space="preserve"> </w:t>
      </w:r>
      <w:r>
        <w:t xml:space="preserve">Online instance-acquisition formulations similarly compare reserved and</w:t>
      </w:r>
      <w:r>
        <w:t xml:space="preserve"> </w:t>
      </w:r>
      <w:r>
        <w:t xml:space="preserve">on-demand decisions over time </w:t>
      </w:r>
      <w:r>
        <w:t xml:space="preserve">(Wang, Liang, et al. 2015; Wang, Niu, et al. 2015)</w:t>
      </w:r>
      <w:r>
        <w:t xml:space="preserve">.</w:t>
      </w:r>
      <w:r>
        <w:t xml:space="preserve"> </w:t>
      </w:r>
      <w:r>
        <w:t xml:space="preserve">Chen et al. </w:t>
      </w:r>
      <w:r>
        <w:t xml:space="preserve">(Chen et al. 2024)</w:t>
      </w:r>
      <w:r>
        <w:t xml:space="preserve"> </w:t>
      </w:r>
      <w:r>
        <w:t xml:space="preserve">are the closest theoretical reference:</w:t>
      </w:r>
      <w:r>
        <w:t xml:space="preserve"> </w:t>
      </w:r>
      <w:r>
        <w:t xml:space="preserve">their model separates base and surge capacity and derives newsvendor-like</w:t>
      </w:r>
      <w:r>
        <w:t xml:space="preserve"> </w:t>
      </w:r>
      <w:r>
        <w:t xml:space="preserve">reservation levels and dynamic policy structure. This article reuses their</w:t>
      </w:r>
      <w:r>
        <w:t xml:space="preserve"> </w:t>
      </w:r>
      <w:r>
        <w:t xml:space="preserve">price-aware logic as motivation for paper-side static newsvendor and</w:t>
      </w:r>
      <w:r>
        <w:t xml:space="preserve"> </w:t>
      </w:r>
      <w:r>
        <w:t xml:space="preserve">simplified base/surge comparisons; it neither extends that theory nor</w:t>
      </w:r>
      <w:r>
        <w:t xml:space="preserve"> </w:t>
      </w:r>
      <w:r>
        <w:t xml:space="preserve">implements their full dynamic policy.</w:t>
      </w:r>
    </w:p>
    <w:bookmarkEnd w:id="11"/>
    <w:bookmarkStart w:id="12" w:name="Xa91df974641b0404c564c9cb1e4e17637755103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Practical Right-Sizing and Cloud Cost Reduction</w:t>
      </w:r>
    </w:p>
    <w:p>
      <w:pPr>
        <w:pStyle w:val="FirstParagraph"/>
      </w:pPr>
      <w:r>
        <w:t xml:space="preserve">The named systems establish different mechanisms in their respective</w:t>
      </w:r>
      <w:r>
        <w:t xml:space="preserve"> </w:t>
      </w:r>
      <w:r>
        <w:t xml:space="preserve">settings: workload autoscaling in Autopilot </w:t>
      </w:r>
      <w:r>
        <w:t xml:space="preserve">(Rzadca et al. 2020)</w:t>
      </w:r>
      <w:r>
        <w:t xml:space="preserve">,</w:t>
      </w:r>
      <w:r>
        <w:t xml:space="preserve"> </w:t>
      </w:r>
      <w:r>
        <w:t xml:space="preserve">workload understanding and prediction in Resource</w:t>
      </w:r>
      <w:r>
        <w:t xml:space="preserve"> </w:t>
      </w:r>
      <w:r>
        <w:t xml:space="preserve">Central </w:t>
      </w:r>
      <w:r>
        <w:t xml:space="preserve">(Cortez et al. 2017)</w:t>
      </w:r>
      <w:r>
        <w:t xml:space="preserve">, and automated cloud-SQL SKU recommendation</w:t>
      </w:r>
      <w:r>
        <w:t xml:space="preserve"> </w:t>
      </w:r>
      <w:r>
        <w:t xml:space="preserve">in Doppler </w:t>
      </w:r>
      <w:r>
        <w:t xml:space="preserve">(Cahoon et al. 2022)</w:t>
      </w:r>
      <w:r>
        <w:t xml:space="preserve">. Prior cloud provisioning and</w:t>
      </w:r>
      <w:r>
        <w:t xml:space="preserve"> </w:t>
      </w:r>
      <w:r>
        <w:t xml:space="preserve">right-sizing work studies data-driven VM selection, temporal bin packing, and</w:t>
      </w:r>
      <w:r>
        <w:t xml:space="preserve"> </w:t>
      </w:r>
      <w:r>
        <w:t xml:space="preserve">predictive capacity planning under cloud</w:t>
      </w:r>
      <w:r>
        <w:t xml:space="preserve"> </w:t>
      </w:r>
      <w:r>
        <w:t xml:space="preserve">catalogs </w:t>
      </w:r>
      <w:r>
        <w:t xml:space="preserve">(Yadwadkar et al. 2017; Aydın et al. 2020; Alves and Morais 2025; Musa and Down 2024)</w:t>
      </w:r>
      <w:r>
        <w:t xml:space="preserve">.</w:t>
      </w:r>
      <w:r>
        <w:t xml:space="preserve"> </w:t>
      </w:r>
      <w:r>
        <w:t xml:space="preserve">These studies motivate comparison dimensions; they neither establish the</w:t>
      </w:r>
      <w:r>
        <w:t xml:space="preserve"> </w:t>
      </w:r>
      <w:r>
        <w:t xml:space="preserve">behavior of this article’s paper-side replay baselines nor serve as direct</w:t>
      </w:r>
      <w:r>
        <w:t xml:space="preserve"> </w:t>
      </w:r>
      <w:r>
        <w:t xml:space="preserve">experimental baselines here.</w:t>
      </w:r>
    </w:p>
    <w:bookmarkEnd w:id="12"/>
    <w:bookmarkStart w:id="13" w:name="X028585806bd90a11d8953702a2fe414510da4a6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Positioning of the Empirical Contribution</w:t>
      </w:r>
    </w:p>
    <w:p>
      <w:pPr>
        <w:pStyle w:val="FirstParagraph"/>
      </w:pPr>
      <w:r>
        <w:t xml:space="preserve">The three evidence categories have distinct roles. Capacity-reservation</w:t>
      </w:r>
      <w:r>
        <w:t xml:space="preserve"> </w:t>
      </w:r>
      <w:r>
        <w:t xml:space="preserve">theory, especially Chen et al. </w:t>
      </w:r>
      <w:r>
        <w:t xml:space="preserve">(Chen et al. 2024)</w:t>
      </w:r>
      <w:r>
        <w:t xml:space="preserve">, supplies analytical</w:t>
      </w:r>
      <w:r>
        <w:t xml:space="preserve"> </w:t>
      </w:r>
      <w:r>
        <w:t xml:space="preserve">policy structure and price-aware commitment logic. Published</w:t>
      </w:r>
      <w:r>
        <w:t xml:space="preserve"> </w:t>
      </w:r>
      <w:r>
        <w:t xml:space="preserve">resource-management systems supply the autoscaling, workload-prediction, and</w:t>
      </w:r>
      <w:r>
        <w:t xml:space="preserve"> </w:t>
      </w:r>
      <w:r>
        <w:t xml:space="preserve">SKU-recommendation mechanisms reported in their respective</w:t>
      </w:r>
      <w:r>
        <w:t xml:space="preserve"> </w:t>
      </w:r>
      <w:r>
        <w:t xml:space="preserve">studies </w:t>
      </w:r>
      <w:r>
        <w:t xml:space="preserve">(Rzadca et al. 2020; Cortez et al. 2017; Cahoon et al. 2022)</w:t>
      </w:r>
      <w:r>
        <w:t xml:space="preserve">.</w:t>
      </w:r>
      <w:r>
        <w:t xml:space="preserve"> </w:t>
      </w:r>
      <w:r>
        <w:t xml:space="preserve">This article contributes neither new reservation theory nor a replication of</w:t>
      </w:r>
      <w:r>
        <w:t xml:space="preserve"> </w:t>
      </w:r>
      <w:r>
        <w:t xml:space="preserve">commercial tools. Its contribution is an artifact-backed empirical comparison</w:t>
      </w:r>
      <w:r>
        <w:t xml:space="preserve"> </w:t>
      </w:r>
      <w:r>
        <w:t xml:space="preserve">among one implemented percentile-based sizing pipeline, a price-basis and</w:t>
      </w:r>
      <w:r>
        <w:t xml:space="preserve"> </w:t>
      </w:r>
      <w:r>
        <w:t xml:space="preserve">candidate-catalog audit, restored public traces with checksums and intervals,</w:t>
      </w:r>
      <w:r>
        <w:t xml:space="preserve"> </w:t>
      </w:r>
      <w:r>
        <w:t xml:space="preserve">and simplified theory-derived and recency-window reservation simulations.</w:t>
      </w:r>
      <w:r>
        <w:t xml:space="preserve"> </w:t>
      </w:r>
      <w:r>
        <w:t xml:space="preserve">Relative to Chen et al. </w:t>
      </w:r>
      <w:r>
        <w:t xml:space="preserve">(Chen et al. 2024)</w:t>
      </w:r>
      <w:r>
        <w:t xml:space="preserve">, who provide the analytical</w:t>
      </w:r>
      <w:r>
        <w:t xml:space="preserve"> </w:t>
      </w:r>
      <w:r>
        <w:t xml:space="preserve">reservation structure reused here, the added evidence is implementation- and</w:t>
      </w:r>
      <w:r>
        <w:t xml:space="preserve"> </w:t>
      </w:r>
      <w:r>
        <w:t xml:space="preserve">trace-facing: feasibility boundaries, service decomposition, checksum-backed</w:t>
      </w:r>
      <w:r>
        <w:t xml:space="preserve"> </w:t>
      </w:r>
      <w:r>
        <w:t xml:space="preserve">trace replay with bootstrap intervals, held-out policy replay, and explicit</w:t>
      </w:r>
      <w:r>
        <w:t xml:space="preserve"> </w:t>
      </w:r>
      <w:r>
        <w:t xml:space="preserve">empirical-unit and evidence-boundary checks.</w:t>
      </w:r>
    </w:p>
    <w:bookmarkEnd w:id="13"/>
    <w:bookmarkStart w:id="14" w:name="forecasting-for-capacity-planning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Forecasting for Capacity Planning</w:t>
      </w:r>
    </w:p>
    <w:p>
      <w:pPr>
        <w:pStyle w:val="FirstParagraph"/>
      </w:pPr>
      <w:r>
        <w:t xml:space="preserve">Forecasting remains useful for demand monitoring and anomaly context.</w:t>
      </w:r>
      <w:r>
        <w:t xml:space="preserve"> </w:t>
      </w:r>
      <w:r>
        <w:t xml:space="preserve">Classical exponential smoothing, Prophet, SARIMAX-style models, and</w:t>
      </w:r>
      <w:r>
        <w:t xml:space="preserve"> </w:t>
      </w:r>
      <w:r>
        <w:t xml:space="preserve">time-series evaluation metrics provide forecasting</w:t>
      </w:r>
      <w:r>
        <w:t xml:space="preserve"> </w:t>
      </w:r>
      <w:r>
        <w:t xml:space="preserve">context </w:t>
      </w:r>
      <w:r>
        <w:t xml:space="preserve">(Taylor and Letham 2018; Hyndman and Khandakar 2008; Kirchoff et al. 2024; Agulló et al. 2025)</w:t>
      </w:r>
      <w:r>
        <w:t xml:space="preserve">.</w:t>
      </w:r>
      <w:r>
        <w:t xml:space="preserve"> </w:t>
      </w:r>
      <w:r>
        <w:t xml:space="preserve">The generated artifacts calculate walk-forward MAPE, MASE, empirical interval</w:t>
      </w:r>
      <w:r>
        <w:t xml:space="preserve"> </w:t>
      </w:r>
      <w:r>
        <w:t xml:space="preserve">coverage, and selected small-sample paired</w:t>
      </w:r>
      <w:r>
        <w:t xml:space="preserve"> </w:t>
      </w:r>
      <w:r>
        <w:t xml:space="preserve">tests </w:t>
      </w:r>
      <w:r>
        <w:t xml:space="preserve">(Hyndman and Koehler 2006; Diebold and Mariano 1995; Harvey et al. 1997)</w:t>
      </w:r>
      <w:r>
        <w:t xml:space="preserve">; the</w:t>
      </w:r>
      <w:r>
        <w:t xml:space="preserve"> </w:t>
      </w:r>
      <w:r>
        <w:t xml:space="preserve">compact article tables and interpretation below focus on MAPE and selected</w:t>
      </w:r>
      <w:r>
        <w:t xml:space="preserve"> </w:t>
      </w:r>
      <w:r>
        <w:t xml:space="preserve">paired-test results.</w:t>
      </w:r>
      <w:r>
        <w:t xml:space="preserve"> </w:t>
      </w:r>
      <w:r>
        <w:t xml:space="preserve">The current evidence does not make forecast superiority central to the cost</w:t>
      </w:r>
      <w:r>
        <w:t xml:space="preserve"> </w:t>
      </w:r>
      <w:r>
        <w:t xml:space="preserve">claim: forecasts are useful monitoring context, while capacity choices in the</w:t>
      </w:r>
      <w:r>
        <w:t xml:space="preserve"> </w:t>
      </w:r>
      <w:r>
        <w:t xml:space="preserve">reported studies are based on empirical utilization distributions and price</w:t>
      </w:r>
      <w:r>
        <w:t xml:space="preserve"> </w:t>
      </w:r>
      <w:r>
        <w:t xml:space="preserve">comparisons.</w:t>
      </w:r>
    </w:p>
    <w:bookmarkEnd w:id="14"/>
    <w:bookmarkEnd w:id="15"/>
    <w:bookmarkStart w:id="18" w:name="background-and-theoretical-framing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Background and Theoretical Framing</w:t>
      </w:r>
    </w:p>
    <w:bookmarkStart w:id="16" w:name="two-capacity-questions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Two Capacity Questions</w:t>
      </w:r>
    </w:p>
    <w:p>
      <w:pPr>
        <w:pStyle w:val="FirstParagraph"/>
      </w:pPr>
      <w:r>
        <w:t xml:space="preserve">The same utilization trace can answer two distinct questions: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Right-sizing:</w:t>
      </w:r>
      <w:r>
        <w:t xml:space="preserve"> </w:t>
      </w:r>
      <w:r>
        <w:t xml:space="preserve">What candidate capacity does the evaluated</w:t>
      </w:r>
      <w:r>
        <w:t xml:space="preserve"> </w:t>
      </w:r>
      <w:r>
        <w:t xml:space="preserve">utilization mapping select?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Reservation sizing:</w:t>
      </w:r>
      <w:r>
        <w:t xml:space="preserve"> </w:t>
      </w:r>
      <w:r>
        <w:t xml:space="preserve">In theory, how much physical capacity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should be committed in advance; in Study III, what arm-specific empirical</w:t>
      </w:r>
      <w:r>
        <w:t xml:space="preserve"> </w:t>
      </w:r>
      <w:r>
        <w:t xml:space="preserve">proxy quantity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should be selected under the corresponding objective?</w:t>
      </w:r>
    </w:p>
    <w:p>
      <w:pPr>
        <w:pStyle w:val="FirstParagraph"/>
      </w:pPr>
      <w:r>
        <w:t xml:space="preserve">The implemented pipeline uses the conservative rule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0.95</m:t>
              </m:r>
            </m:sub>
          </m:sSub>
          <m:r>
            <m:rPr>
              <m:sty m:val="p"/>
            </m:rPr>
            <m:t>(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sSub>
            <m:e>
              <m:r>
                <m:t>V</m:t>
              </m:r>
            </m:e>
            <m:sub>
              <m:r>
                <m:t>i</m:t>
              </m:r>
            </m:sub>
          </m:sSub>
          <m:r>
            <m:t>h</m:t>
          </m:r>
          <m:r>
            <m:rPr>
              <m:sty m:val="p"/>
            </m:rPr>
            <m:t>,</m:t>
          </m:r>
          <m:r>
            <m:t>  </m:t>
          </m:r>
          <m:r>
            <m:t>h</m:t>
          </m:r>
          <m:r>
            <m:rPr>
              <m:sty m:val="p"/>
            </m:rPr>
            <m:t>=</m:t>
          </m:r>
          <m:r>
            <m:t>1.3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observed utilization and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current capacity. This</w:t>
      </w:r>
      <w:r>
        <w:t xml:space="preserve"> </w:t>
      </w:r>
      <w:r>
        <w:t xml:space="preserve">capacity-sizing rule adds headroom above high observed usage.</w:t>
      </w:r>
    </w:p>
    <w:p>
      <w:pPr>
        <w:pStyle w:val="BodyText"/>
      </w:pPr>
      <w:r>
        <w:t xml:space="preserve">For reservation sizing, the theoretical normalized cost of static reserved</w:t>
      </w:r>
      <w:r>
        <w:t xml:space="preserve"> </w:t>
      </w:r>
      <w:r>
        <w:t xml:space="preserve">capacity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under physical demand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γ</m:t>
          </m:r>
          <m:r>
            <m:t>K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e>
              </m:d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are expressed in physical-capacity units and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T</m:t>
            </m:r>
          </m:sub>
        </m:sSub>
        <m:r>
          <m:rPr>
            <m:sty m:val="p"/>
          </m:rPr>
          <m:t>/</m:t>
        </m:r>
        <m:sSub>
          <m:e>
            <m:r>
              <m:t>w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reserved/on-demand price ratio. The newsvendor</w:t>
      </w:r>
      <w:r>
        <w:t xml:space="preserve"> </w:t>
      </w:r>
      <w:r>
        <w:t xml:space="preserve">solution is characterized by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γ</m:t>
        </m:r>
        <m:r>
          <m:rPr>
            <m:sty m:val="p"/>
          </m:rPr>
          <m:t>)</m:t>
        </m:r>
      </m:oMath>
      <w:r>
        <w:t xml:space="preserve"> </w:t>
      </w:r>
      <w:r>
        <w:t xml:space="preserve">quantile of the demand</w:t>
      </w:r>
      <w:r>
        <w:t xml:space="preserve"> </w:t>
      </w:r>
      <w:r>
        <w:t xml:space="preserve">distribution; Study III uses the corresponding empirical training-sample</w:t>
      </w:r>
      <w:r>
        <w:t xml:space="preserve"> </w:t>
      </w:r>
      <w:r>
        <w:t xml:space="preserve">quantile for each proxy arm. With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0.63</m:t>
        </m:r>
      </m:oMath>
      <w:r>
        <w:t xml:space="preserve">, this target is approximately</w:t>
      </w:r>
      <w:r>
        <w:t xml:space="preserve"> </w:t>
      </w:r>
      <m:oMath>
        <m:r>
          <m:t>0.37</m:t>
        </m:r>
      </m:oMath>
      <w:r>
        <w:t xml:space="preserve">, before any</w:t>
      </w:r>
      <w:r>
        <w:t xml:space="preserve"> </w:t>
      </w:r>
      <w:r>
        <w:t xml:space="preserve">application-specific adjustment. A rule near P95 with 30% headroom therefore</w:t>
      </w:r>
      <w:r>
        <w:t xml:space="preserve"> </w:t>
      </w:r>
      <w:r>
        <w:t xml:space="preserve">selects substantially more capacity than the price-aware static reservation</w:t>
      </w:r>
      <w:r>
        <w:t xml:space="preserve"> </w:t>
      </w:r>
      <w:r>
        <w:t xml:space="preserve">quantity under this evaluated objective. This capacity difference does not</w:t>
      </w:r>
      <w:r>
        <w:t xml:space="preserve"> </w:t>
      </w:r>
      <w:r>
        <w:t xml:space="preserve">establish an operational performance effect.</w:t>
      </w:r>
    </w:p>
    <w:bookmarkEnd w:id="16"/>
    <w:bookmarkStart w:id="17" w:name="X1b64efffbd189a7399230fec1f0bded11da0698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Savings Tradeoffs of P95 x 1.3 Under the Evaluated Model</w:t>
      </w:r>
    </w:p>
    <w:p>
      <w:pPr>
        <w:pStyle w:val="FirstParagraph"/>
      </w:pPr>
      <w:r>
        <w:t xml:space="preserve">The evaluated objectives treat high observations differently. A high</w:t>
      </w:r>
      <w:r>
        <w:t xml:space="preserve"> </w:t>
      </w:r>
      <w:r>
        <w:t xml:space="preserve">right-sizing percentile assigns capacity using rare high usage, whereas a</w:t>
      </w:r>
      <w:r>
        <w:t xml:space="preserve"> </w:t>
      </w:r>
      <w:r>
        <w:t xml:space="preserve">reservation contract saves money only when the discount on committed units</w:t>
      </w:r>
      <w:r>
        <w:t xml:space="preserve"> </w:t>
      </w:r>
      <w:r>
        <w:t xml:space="preserve">exceeds the expected waste from units that are idle in the test period. As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rises, the newsvendor fractile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γ</m:t>
        </m:r>
      </m:oMath>
      <w:r>
        <w:t xml:space="preserve"> </w:t>
      </w:r>
      <w:r>
        <w:t xml:space="preserve">falls. The mapped-cost</w:t>
      </w:r>
      <w:r>
        <w:t xml:space="preserve"> </w:t>
      </w:r>
      <w:r>
        <w:t xml:space="preserve">minimizer under this static objective reserves less because each committed</w:t>
      </w:r>
      <w:r>
        <w:t xml:space="preserve"> </w:t>
      </w:r>
      <w:r>
        <w:t xml:space="preserve">unit becomes less attractive relative to on-demand. P95 x 1.3 does not use</w:t>
      </w:r>
      <w:r>
        <w:t xml:space="preserve"> </w:t>
      </w:r>
      <w:r>
        <w:t xml:space="preserve">this price ratio and can select capacity above the mapped-cost-minimizing</w:t>
      </w:r>
      <w:r>
        <w:t xml:space="preserve"> </w:t>
      </w:r>
      <w:r>
        <w:t xml:space="preserve">static quantity for the evaluated demand and prices.</w:t>
      </w:r>
    </w:p>
    <w:p>
      <w:pPr>
        <w:pStyle w:val="BodyText"/>
      </w:pPr>
      <w:r>
        <w:t xml:space="preserve">This distinction also explains why higher apparent savings in a baseline grid</w:t>
      </w:r>
      <w:r>
        <w:t xml:space="preserve"> </w:t>
      </w:r>
      <w:r>
        <w:t xml:space="preserve">are not automatically better policies. Mean, median, or lower-percentile</w:t>
      </w:r>
      <w:r>
        <w:t xml:space="preserve"> </w:t>
      </w:r>
      <w:r>
        <w:t xml:space="preserve">sizing can reduce mapped costs more than P95 x 1.3, but the repository does</w:t>
      </w:r>
      <w:r>
        <w:t xml:space="preserve"> </w:t>
      </w:r>
      <w:r>
        <w:t xml:space="preserve">not measure resulting SLO violations, latency changes, throughput, errors, or</w:t>
      </w:r>
      <w:r>
        <w:t xml:space="preserve"> </w:t>
      </w:r>
      <w:r>
        <w:t xml:space="preserve">availability. The table therefore reports a mapped-cost/headroom tradeoff; it</w:t>
      </w:r>
      <w:r>
        <w:t xml:space="preserve"> </w:t>
      </w:r>
      <w:r>
        <w:t xml:space="preserve">does not establish the operational safety of any row.</w:t>
      </w:r>
    </w:p>
    <w:bookmarkEnd w:id="17"/>
    <w:bookmarkEnd w:id="18"/>
    <w:bookmarkStart w:id="28" w:name="system-and-methodology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System and Methodology</w:t>
      </w:r>
    </w:p>
    <w:bookmarkStart w:id="23" w:name="pipeline-scope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Pipeline Scope</w:t>
      </w:r>
    </w:p>
    <w:p>
      <w:pPr>
        <w:pStyle w:val="FirstParagraph"/>
      </w:pPr>
      <w:r>
        <w:t xml:space="preserve">Figure </w:t>
      </w:r>
      <w:hyperlink w:anchor="fig:arch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summarizes Smart Cloud Optimizer. Telemetry enters a</w:t>
      </w:r>
      <w:r>
        <w:t xml:space="preserve"> </w:t>
      </w:r>
      <w:r>
        <w:t xml:space="preserve">SQLite-backed pipeline from a synthetic demo account or from public trace</w:t>
      </w:r>
      <w:r>
        <w:t xml:space="preserve"> </w:t>
      </w:r>
      <w:r>
        <w:t xml:space="preserve">replays. The optimizer layer exposes forecasting, MILP right-sizing,</w:t>
      </w:r>
      <w:r>
        <w:t xml:space="preserve"> </w:t>
      </w:r>
      <w:r>
        <w:t xml:space="preserve">reserved-pricing checks, and service-specific waste rules. The user interface</w:t>
      </w:r>
      <w:r>
        <w:t xml:space="preserve"> </w:t>
      </w:r>
      <w:r>
        <w:t xml:space="preserve">and LLM-advisor components are not evaluated for savings in this article.</w:t>
      </w:r>
    </w:p>
    <w:bookmarkStart w:id="22" w:name="fig:arch"/>
    <w:p>
      <w:pPr>
        <w:pStyle w:val="CaptionedFigure"/>
      </w:pPr>
      <w:r>
        <w:drawing>
          <wp:inline>
            <wp:extent cx="4907280" cy="1715165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fig_architecture.pdf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17151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Smart Cloud Optimizer architecture. The evaluated research behavior</w:t>
      </w:r>
      <w:r>
        <w:t xml:space="preserve"> </w:t>
      </w:r>
      <w:r>
        <w:t xml:space="preserve">is the right-sizing and reservation-policy logic, not dashboard presentation</w:t>
      </w:r>
      <w:r>
        <w:t xml:space="preserve"> </w:t>
      </w:r>
      <w:r>
        <w:t xml:space="preserve">or LLM-advisor output.</w:t>
      </w:r>
    </w:p>
    <w:bookmarkEnd w:id="22"/>
    <w:bookmarkEnd w:id="23"/>
    <w:bookmarkStart w:id="24" w:name="forecasting-and-monitoring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Forecasting and Monitoring</w:t>
      </w:r>
    </w:p>
    <w:p>
      <w:pPr>
        <w:pStyle w:val="FirstParagraph"/>
      </w:pPr>
      <w:r>
        <w:t xml:space="preserve">The forecasting module exposes a shared fit/predict interface for Naive,</w:t>
      </w:r>
      <w:r>
        <w:t xml:space="preserve"> </w:t>
      </w:r>
      <w:r>
        <w:t xml:space="preserve">SeasonalNaive, ETS, Prophet, and SARIMAX-style models. The paper scripts</w:t>
      </w:r>
      <w:r>
        <w:t xml:space="preserve"> </w:t>
      </w:r>
      <w:r>
        <w:t xml:space="preserve">report walk-forward MAPE and selected paired tests where enough aligned</w:t>
      </w:r>
      <w:r>
        <w:t xml:space="preserve"> </w:t>
      </w:r>
      <w:r>
        <w:t xml:space="preserve">errors are available. Forecasts are used as monitoring context. They are not</w:t>
      </w:r>
      <w:r>
        <w:t xml:space="preserve"> </w:t>
      </w:r>
      <w:r>
        <w:t xml:space="preserve">the source of the reported right-sizing savings.</w:t>
      </w:r>
    </w:p>
    <w:bookmarkEnd w:id="24"/>
    <w:bookmarkStart w:id="25" w:name="milp-right-sizing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MILP Right-Sizing</w:t>
      </w:r>
    </w:p>
    <w:p>
      <w:pPr>
        <w:pStyle w:val="FirstParagraph"/>
      </w:pPr>
      <w:r>
        <w:t xml:space="preserve">For compute resources, the optimizer solves a binary assignment problem. Let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 </w:t>
      </w:r>
      <w:r>
        <w:t xml:space="preserve">be resources and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candidate instance types with</w:t>
      </w:r>
      <w:r>
        <w:t xml:space="preserve"> </w:t>
      </w:r>
      <w:r>
        <w:t xml:space="preserve">price</w:t>
      </w:r>
      <w:r>
        <w:t xml:space="preserve"> </w:t>
      </w:r>
      <m:oMath>
        <m:sSub>
          <m:e>
            <m:r>
              <m:t>p</m:t>
            </m:r>
          </m:e>
          <m:sub>
            <m:r>
              <m:t>c</m:t>
            </m:r>
          </m:sub>
        </m:sSub>
      </m:oMath>
      <w:r>
        <w:t xml:space="preserve">, vCPUs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</m:sub>
        </m:sSub>
      </m:oMath>
      <w:r>
        <w:t xml:space="preserve">, and memory</w:t>
      </w:r>
      <w:r>
        <w:t xml:space="preserve"> </w:t>
      </w:r>
      <m:oMath>
        <m:sSub>
          <m:e>
            <m:r>
              <m:t>m</m:t>
            </m:r>
          </m:e>
          <m:sub>
            <m:r>
              <m:t>c</m:t>
            </m:r>
          </m:sub>
        </m:sSub>
      </m:oMath>
      <w:r>
        <w:t xml:space="preserve">. The decision variable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c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assigns resource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to candidate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x</m:t>
                  </m:r>
                </m:lim>
              </m:limLow>
              <m:r>
                <m:t> </m:t>
              </m:r>
              <m:r>
                <m:t>&amp;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I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C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sub>
              </m:sSub>
            </m:e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.</m:t>
              </m:r>
              <m:r>
                <m:t> </m:t>
              </m:r>
              <m:r>
                <m:t>&amp;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∀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sub>
              </m:sSub>
              <m:r>
                <m:rPr>
                  <m:sty m:val="p"/>
                </m:rPr>
                <m:t>≥</m:t>
              </m:r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c</m:t>
                  </m:r>
                  <m:r>
                    <m:t>p</m:t>
                  </m:r>
                  <m:r>
                    <m:t>u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∀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sub>
              </m:sSub>
              <m:r>
                <m:rPr>
                  <m:sty m:val="p"/>
                </m:rPr>
                <m:t>≥</m:t>
              </m:r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m</m:t>
                  </m:r>
                  <m:r>
                    <m:t>e</m:t>
                  </m:r>
                  <m:r>
                    <m:t>m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∀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 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 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 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 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EC2 uses CPU and memory when memory utilization is available. RDS uses CPU</w:t>
      </w:r>
      <w:r>
        <w:t xml:space="preserve"> </w:t>
      </w:r>
      <w:r>
        <w:t xml:space="preserve">because the stored RDS memory metric is not directly comparable as a</w:t>
      </w:r>
      <w:r>
        <w:t xml:space="preserve"> </w:t>
      </w:r>
      <w:r>
        <w:t xml:space="preserve">utilization percentage.</w:t>
      </w:r>
    </w:p>
    <w:bookmarkEnd w:id="25"/>
    <w:bookmarkStart w:id="26" w:name="rules-and-reservation-checks"/>
    <w:p>
      <w:pPr>
        <w:pStyle w:val="Heading2"/>
      </w:pPr>
      <w:r>
        <w:rPr>
          <w:rStyle w:val="SectionNumber"/>
        </w:rPr>
        <w:t xml:space="preserve">4.4</w:t>
      </w:r>
      <w:r>
        <w:tab/>
      </w:r>
      <w:r>
        <w:t xml:space="preserve">Rules and Reservation Checks</w:t>
      </w:r>
    </w:p>
    <w:p>
      <w:pPr>
        <w:pStyle w:val="FirstParagraph"/>
      </w:pPr>
      <w:r>
        <w:t xml:space="preserve">The rule engine adds transparent service-specific actions such as EC2/RDS</w:t>
      </w:r>
      <w:r>
        <w:t xml:space="preserve"> </w:t>
      </w:r>
      <w:r>
        <w:t xml:space="preserve">reserved-pricing switches and waste-removal checks. These rules provide</w:t>
      </w:r>
      <w:r>
        <w:t xml:space="preserve"> </w:t>
      </w:r>
      <w:r>
        <w:t xml:space="preserve">implementation context and a sanity check on the committed demo database.</w:t>
      </w:r>
      <w:r>
        <w:t xml:space="preserve"> </w:t>
      </w:r>
      <w:r>
        <w:t xml:space="preserve">The paper’s quantitative claims come from the generated MILP evidence tables,</w:t>
      </w:r>
      <w:r>
        <w:t xml:space="preserve"> </w:t>
      </w:r>
      <w:r>
        <w:t xml:space="preserve">the restored public-trace study, and reservation-policy simulations.</w:t>
      </w:r>
    </w:p>
    <w:bookmarkEnd w:id="26"/>
    <w:bookmarkStart w:id="27" w:name="price-basis-normalization"/>
    <w:p>
      <w:pPr>
        <w:pStyle w:val="Heading2"/>
      </w:pPr>
      <w:r>
        <w:rPr>
          <w:rStyle w:val="SectionNumber"/>
        </w:rPr>
        <w:t xml:space="preserve">4.5</w:t>
      </w:r>
      <w:r>
        <w:tab/>
      </w:r>
      <w:r>
        <w:t xml:space="preserve">Price-Basis Normalization</w:t>
      </w:r>
    </w:p>
    <w:p>
      <w:pPr>
        <w:pStyle w:val="FirstParagraph"/>
      </w:pPr>
      <w:r>
        <w:t xml:space="preserve">Price comparability is central to the evaluated evidence. The committed</w:t>
      </w:r>
      <w:r>
        <w:t xml:space="preserve"> </w:t>
      </w:r>
      <w:r>
        <w:t xml:space="preserve">synthetic database contains EC2 current-inventory costs that mostly match the</w:t>
      </w:r>
      <w:r>
        <w:t xml:space="preserve"> </w:t>
      </w:r>
      <w:r>
        <w:t xml:space="preserve">2026-06-30 AWS Price List snapshot for Linux, shared-tenancy instances in</w:t>
      </w:r>
      <w:r>
        <w:t xml:space="preserve"> </w:t>
      </w:r>
      <w:r>
        <w:rPr>
          <w:rStyle w:val="VerbatimChar"/>
        </w:rPr>
        <w:t xml:space="preserve">us-east-1</w:t>
      </w:r>
      <w:r>
        <w:t xml:space="preserve">, but several EC2 candidate rows are incorrect or</w:t>
      </w:r>
      <w:r>
        <w:t xml:space="preserve"> </w:t>
      </w:r>
      <w:r>
        <w:t xml:space="preserve">incomplete. Therefore, the analysis does not use the stale stored</w:t>
      </w:r>
      <w:r>
        <w:t xml:space="preserve"> </w:t>
      </w:r>
      <w:r>
        <w:rPr>
          <w:rStyle w:val="VerbatimChar"/>
        </w:rPr>
        <w:t xml:space="preserve">recommendations</w:t>
      </w:r>
      <w:r>
        <w:t xml:space="preserve"> </w:t>
      </w:r>
      <w:r>
        <w:t xml:space="preserve">table as a headline result. Instead, EC2 current</w:t>
      </w:r>
      <w:r>
        <w:t xml:space="preserve"> </w:t>
      </w:r>
      <w:r>
        <w:t xml:space="preserve">inventory and EC2 candidates are normalized to the same snapshot on-demand</w:t>
      </w:r>
      <w:r>
        <w:t xml:space="preserve"> </w:t>
      </w:r>
      <w:r>
        <w:t xml:space="preserve">basis. Two current</w:t>
      </w:r>
      <w:r>
        <w:t xml:space="preserve"> </w:t>
      </w:r>
      <w:r>
        <w:rPr>
          <w:rStyle w:val="VerbatimChar"/>
        </w:rPr>
        <w:t xml:space="preserve">m5.xlarge</w:t>
      </w:r>
      <w:r>
        <w:t xml:space="preserve"> </w:t>
      </w:r>
      <w:r>
        <w:t xml:space="preserve">rows that were originally recorded at</w:t>
      </w:r>
      <w:r>
        <w:t xml:space="preserve"> </w:t>
      </w:r>
      <w:r>
        <w:t xml:space="preserve">one-year reserved-instance prices are evaluated on the shared on-demand basis</w:t>
      </w:r>
      <w:r>
        <w:t xml:space="preserve"> </w:t>
      </w:r>
      <w:r>
        <w:t xml:space="preserve">for right-sizing comparability. This does not mean those instances would be</w:t>
      </w:r>
      <w:r>
        <w:t xml:space="preserve"> </w:t>
      </w:r>
      <w:r>
        <w:t xml:space="preserve">billed as on-demand in a live account. Reserved-instance and other commitment</w:t>
      </w:r>
      <w:r>
        <w:t xml:space="preserve"> </w:t>
      </w:r>
      <w:r>
        <w:t xml:space="preserve">effects are evaluated separately through the paper-side usage-hour RI replay</w:t>
      </w:r>
      <w:r>
        <w:t xml:space="preserve"> </w:t>
      </w:r>
      <w:r>
        <w:t xml:space="preserve">and Study III.</w:t>
      </w:r>
    </w:p>
    <w:p>
      <w:pPr>
        <w:pStyle w:val="BodyText"/>
      </w:pPr>
      <w:r>
        <w:t xml:space="preserve">RDS remains on the committed demo database price basis because the paper-local</w:t>
      </w:r>
      <w:r>
        <w:t xml:space="preserve"> </w:t>
      </w:r>
      <w:r>
        <w:t xml:space="preserve">snapshot covers EC2 only. Consequently, the Study I aggregate result must</w:t>
      </w:r>
      <w:r>
        <w:t xml:space="preserve"> </w:t>
      </w:r>
      <w:r>
        <w:t xml:space="preserve">always be read with the EC2/RDS split.</w:t>
      </w:r>
    </w:p>
    <w:bookmarkEnd w:id="27"/>
    <w:bookmarkEnd w:id="28"/>
    <w:bookmarkStart w:id="32" w:name="experimental-design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Experimental Design</w:t>
      </w:r>
    </w:p>
    <w:bookmarkStart w:id="29" w:name="research-questions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Research Questions</w:t>
      </w:r>
    </w:p>
    <w:p>
      <w:pPr>
        <w:pStyle w:val="FirstParagraph"/>
      </w:pPr>
      <w:r>
        <w:t xml:space="preserve">The evaluation addresses four questions:</w:t>
      </w:r>
    </w:p>
    <w:p>
      <w:pPr>
        <w:numPr>
          <w:ilvl w:val="0"/>
          <w:numId w:val="1003"/>
        </w:numPr>
      </w:pPr>
      <w:r>
        <w:t xml:space="preserve">RQ1: What does the implemented optimizer report on the repository’s</w:t>
      </w:r>
      <w:r>
        <w:t xml:space="preserve"> </w:t>
      </w:r>
      <w:r>
        <w:t xml:space="preserve">synthetic AWS account after repairing the EC2 price basis?</w:t>
      </w:r>
    </w:p>
    <w:p>
      <w:pPr>
        <w:numPr>
          <w:ilvl w:val="0"/>
          <w:numId w:val="1003"/>
        </w:numPr>
      </w:pPr>
      <w:r>
        <w:t xml:space="preserve">RQ2: What mapped-cost changes does the same MILP right-sizing rule</w:t>
      </w:r>
      <w:r>
        <w:t xml:space="preserve"> </w:t>
      </w:r>
      <w:r>
        <w:t xml:space="preserve">produce on restored public VM traces under a consistent price catalog?</w:t>
      </w:r>
    </w:p>
    <w:p>
      <w:pPr>
        <w:numPr>
          <w:ilvl w:val="0"/>
          <w:numId w:val="1003"/>
        </w:numPr>
      </w:pPr>
      <w:r>
        <w:t xml:space="preserve">RQ3: What do walk-forward MAPE and selected paired tests show about the</w:t>
      </w:r>
      <w:r>
        <w:t xml:space="preserve"> </w:t>
      </w:r>
      <w:r>
        <w:t xml:space="preserve">forecasting models as monitoring context?</w:t>
      </w:r>
    </w:p>
    <w:p>
      <w:pPr>
        <w:numPr>
          <w:ilvl w:val="0"/>
          <w:numId w:val="1003"/>
        </w:numPr>
      </w:pPr>
      <w:r>
        <w:t xml:space="preserve">RQ4: What is the held-out cost of counterfactually reusing a</w:t>
      </w:r>
      <w:r>
        <w:t xml:space="preserve"> </w:t>
      </w:r>
      <w:r>
        <w:t xml:space="preserve">high-headroom right-sizing fractile for reservation sizing?</w:t>
      </w:r>
    </w:p>
    <w:bookmarkEnd w:id="29"/>
    <w:bookmarkStart w:id="30" w:name="datasets-and-inputs"/>
    <w:p>
      <w:pPr>
        <w:pStyle w:val="Heading2"/>
      </w:pPr>
      <w:r>
        <w:rPr>
          <w:rStyle w:val="SectionNumber"/>
        </w:rPr>
        <w:t xml:space="preserve">5.2</w:t>
      </w:r>
      <w:r>
        <w:tab/>
      </w:r>
      <w:r>
        <w:t xml:space="preserve">Datasets and Inputs</w:t>
      </w:r>
    </w:p>
    <w:p>
      <w:pPr>
        <w:pStyle w:val="FirstParagraph"/>
      </w:pPr>
      <w:r>
        <w:t xml:space="preserve">Table </w:t>
      </w:r>
      <w:hyperlink w:anchor="tab:datasets">
        <w:r>
          <w:rPr>
            <w:rStyle w:val="Hyperlink"/>
          </w:rPr>
          <w:t xml:space="preserve">[tab:datasets]</w:t>
        </w:r>
      </w:hyperlink>
      <w:r>
        <w:t xml:space="preserve"> </w:t>
      </w:r>
      <w:r>
        <w:t xml:space="preserve">summarizes the evaluated inputs. Study I uses the</w:t>
      </w:r>
      <w:r>
        <w:t xml:space="preserve"> </w:t>
      </w:r>
      <w:r>
        <w:t xml:space="preserve">committed synthetic AWS account. Study II uses restored Bitbrains and Materna</w:t>
      </w:r>
      <w:r>
        <w:t xml:space="preserve"> </w:t>
      </w:r>
      <w:r>
        <w:t xml:space="preserve">GWA traces </w:t>
      </w:r>
      <w:r>
        <w:t xml:space="preserve">(Shen et al. 2015; Iosup et al. 2008)</w:t>
      </w:r>
      <w:r>
        <w:t xml:space="preserve">, priced against a</w:t>
      </w:r>
      <w:r>
        <w:t xml:space="preserve"> </w:t>
      </w:r>
      <w:r>
        <w:t xml:space="preserve">snapshot-dated AWS catalog. The Azure Public Dataset V2 arm is retained only</w:t>
      </w:r>
      <w:r>
        <w:t xml:space="preserve"> </w:t>
      </w:r>
      <w:r>
        <w:t xml:space="preserve">as a generated boundary condition because the raw</w:t>
      </w:r>
      <w:r>
        <w:t xml:space="preserve"> </w:t>
      </w:r>
      <w:r>
        <w:rPr>
          <w:rStyle w:val="VerbatimChar"/>
        </w:rPr>
        <w:t xml:space="preserve">vmtable.csv.gz</w:t>
      </w:r>
      <w:r>
        <w:t xml:space="preserve"> </w:t>
      </w:r>
      <w:r>
        <w:t xml:space="preserve">input was not restored in this workspace.</w:t>
      </w:r>
    </w:p>
    <w:p>
      <w:pPr>
        <w:pStyle w:val="BodyText"/>
      </w:pPr>
      <w:r>
        <w:t xml:space="preserve">The study uses the GWA fastStorage, GWA Rnd, and GWA Materna traces; the</w:t>
      </w:r>
      <w:r>
        <w:t xml:space="preserve"> </w:t>
      </w:r>
      <w:r>
        <w:t xml:space="preserve">retained Azure aggregate artifact; synthetic account data; the documented AWS</w:t>
      </w:r>
      <w:r>
        <w:t xml:space="preserve"> </w:t>
      </w:r>
      <w:r>
        <w:t xml:space="preserve">price/catalog snapshot; and the derived evidence files recorded in the</w:t>
      </w:r>
      <w:r>
        <w:t xml:space="preserve"> </w:t>
      </w:r>
      <w:r>
        <w:t xml:space="preserve">repository. For the synthetic-account arm, publicly available workload traces</w:t>
      </w:r>
      <w:r>
        <w:t xml:space="preserve"> </w:t>
      </w:r>
      <w:r>
        <w:t xml:space="preserve">and catalog artifacts were processed and organized into a unified synthetic</w:t>
      </w:r>
      <w:r>
        <w:t xml:space="preserve"> </w:t>
      </w:r>
      <w:r>
        <w:t xml:space="preserve">account-level environment with generated resource identifiers. The workloads</w:t>
      </w:r>
      <w:r>
        <w:t xml:space="preserve"> </w:t>
      </w:r>
      <w:r>
        <w:t xml:space="preserve">were assigned across a deliberately complex EC2/RDS-style infrastructure to</w:t>
      </w:r>
      <w:r>
        <w:t xml:space="preserve"> </w:t>
      </w:r>
      <w:r>
        <w:t xml:space="preserve">support controlled evaluation of the implemented optimization workflow. The</w:t>
      </w:r>
      <w:r>
        <w:t xml:space="preserve"> </w:t>
      </w:r>
      <w:r>
        <w:t xml:space="preserve">environment simulates selected structural characteristics of an AWS account</w:t>
      </w:r>
      <w:r>
        <w:t xml:space="preserve"> </w:t>
      </w:r>
      <w:r>
        <w:t xml:space="preserve">but is not a live production account and contains no customer or personal</w:t>
      </w:r>
      <w:r>
        <w:t xml:space="preserve"> </w:t>
      </w:r>
      <w:r>
        <w:t xml:space="preserve">data. The resulting account-level data are synthetic; they are not output from</w:t>
      </w:r>
      <w:r>
        <w:t xml:space="preserve"> </w:t>
      </w:r>
      <w:r>
        <w:t xml:space="preserve">AWS, Azure, or another commercial recommender.</w:t>
      </w:r>
    </w:p>
    <w:p>
      <w:pPr>
        <w:pStyle w:val="BodyText"/>
      </w:pPr>
      <w:r>
        <w:t xml:space="preserve">@&gt;</w:t>
      </w:r>
    </w:p>
    <w:p>
      <w:pPr>
        <w:pStyle w:val="BodyText"/>
      </w:pPr>
      <w:r>
        <w:t xml:space="preserve">p</w:t>
      </w:r>
      <w:r>
        <w:t xml:space="preserve">0.17</w:t>
      </w:r>
      <w:r>
        <w:t xml:space="preserve"> </w:t>
      </w:r>
      <w:r>
        <w:t xml:space="preserve">&gt;</w:t>
      </w:r>
    </w:p>
    <w:p>
      <w:pPr>
        <w:pStyle w:val="BodyText"/>
      </w:pPr>
      <w:r>
        <w:t xml:space="preserve">p</w:t>
      </w:r>
      <w:r>
        <w:t xml:space="preserve">0.18</w:t>
      </w:r>
      <w:r>
        <w:t xml:space="preserve"> </w:t>
      </w:r>
      <w:r>
        <w:t xml:space="preserve">Y Y@</w:t>
      </w:r>
    </w:p>
    <w:p>
      <w:pPr>
        <w:pStyle w:val="BodyText"/>
      </w:pPr>
      <w:r>
        <w:t xml:space="preserve">Input &amp; Scale and period &amp; Used for &amp; Artifact files</w:t>
      </w:r>
      <w:r>
        <w:br/>
      </w:r>
      <w:r>
        <w:t xml:space="preserve">Synthetic AWS account &amp; 365 days (2024-07-01–2025-06-30), 42 resources &amp; optimizer savings, forecasting, policy simulation &amp; ; ;</w:t>
      </w:r>
      <w:r>
        <w:br/>
      </w:r>
      <w:r>
        <w:t xml:space="preserve">Bitbrains fastStorage &amp; 1250 VMs, 2013 trace &amp; real-trace MILP right-sizing &amp; ;</w:t>
      </w:r>
      <w:r>
        <w:br/>
      </w:r>
      <w:r>
        <w:t xml:space="preserve">Bitbrains Rnd &amp; 500 VMs, 2142 hourly aggregate points &amp; right-sizing, forecasting, policy simulation &amp; ;</w:t>
      </w:r>
      <w:r>
        <w:br/>
      </w:r>
      <w:r>
        <w:t xml:space="preserve">Materna-Trace-3 &amp; 547 VMs, 2016 trace &amp; second-provider right-sizing validation &amp; ;</w:t>
      </w:r>
      <w:r>
        <w:br/>
      </w:r>
      <w:r>
        <w:t xml:space="preserve">Azure Public Dataset V2 &amp; 237,272 filtered VMs from 2,695,548 rows, 2019 trace &amp; recorded boundary case &amp; ; raw input not restored</w:t>
      </w:r>
      <w:r>
        <w:br/>
      </w:r>
    </w:p>
    <w:bookmarkEnd w:id="30"/>
    <w:bookmarkStart w:id="31" w:name="metrics-and-baselines"/>
    <w:p>
      <w:pPr>
        <w:pStyle w:val="Heading2"/>
      </w:pPr>
      <w:r>
        <w:rPr>
          <w:rStyle w:val="SectionNumber"/>
        </w:rPr>
        <w:t xml:space="preserve">5.3</w:t>
      </w:r>
      <w:r>
        <w:tab/>
      </w:r>
      <w:r>
        <w:t xml:space="preserve">Metrics and Baselines</w:t>
      </w:r>
    </w:p>
    <w:p>
      <w:pPr>
        <w:pStyle w:val="FirstParagraph"/>
      </w:pPr>
      <w:r>
        <w:t xml:space="preserve">Right-sizing results are reported as estimated monthly cost changes relative</w:t>
      </w:r>
      <w:r>
        <w:t xml:space="preserve"> </w:t>
      </w:r>
      <w:r>
        <w:t xml:space="preserve">to the relevant baseline. Study I compares the current synthetic inventory</w:t>
      </w:r>
      <w:r>
        <w:t xml:space="preserve"> </w:t>
      </w:r>
      <w:r>
        <w:t xml:space="preserve">against generated sizing policies. Study II compares each real-trace mapping</w:t>
      </w:r>
      <w:r>
        <w:t xml:space="preserve"> </w:t>
      </w:r>
      <w:r>
        <w:t xml:space="preserve">against the cheapest AWS type that covers provisioned cores and memory.</w:t>
      </w:r>
      <w:r>
        <w:t xml:space="preserve"> </w:t>
      </w:r>
      <w:r>
        <w:t xml:space="preserve">Forecasting reports walk-forward MAPE and selected paired-test results where</w:t>
      </w:r>
      <w:r>
        <w:t xml:space="preserve"> </w:t>
      </w:r>
      <w:r>
        <w:t xml:space="preserve">aligned errors are available. Study III reports held-out policy cost as a</w:t>
      </w:r>
      <w:r>
        <w:t xml:space="preserve"> </w:t>
      </w:r>
      <w:r>
        <w:t xml:space="preserve">percentage of an on-demand-only baseline.</w:t>
      </w:r>
    </w:p>
    <w:p>
      <w:pPr>
        <w:pStyle w:val="BodyText"/>
      </w:pPr>
      <w:r>
        <w:t xml:space="preserve">Study I confidence intervals use 5,000 paired resource-level bootstrap</w:t>
      </w:r>
      <w:r>
        <w:t xml:space="preserve"> </w:t>
      </w:r>
      <w:r>
        <w:t xml:space="preserve">resamples over the 10 compute resources with seed 20260709. Study II uses</w:t>
      </w:r>
      <w:r>
        <w:t xml:space="preserve"> </w:t>
      </w:r>
      <w:r>
        <w:t xml:space="preserve">2,000 paired VM-level bootstrap resamples with the same seed. These intervals</w:t>
      </w:r>
      <w:r>
        <w:t xml:space="preserve"> </w:t>
      </w:r>
      <w:r>
        <w:t xml:space="preserve">describe heterogeneity across the evaluated resources under the fixed price</w:t>
      </w:r>
      <w:r>
        <w:t xml:space="preserve"> </w:t>
      </w:r>
      <w:r>
        <w:t xml:space="preserve">mapping; they are not population-level confidence statements. Policy replay</w:t>
      </w:r>
      <w:r>
        <w:t xml:space="preserve"> </w:t>
      </w:r>
      <w:r>
        <w:t xml:space="preserve">is deterministic for a fixed chronological split and is supplemented by</w:t>
      </w:r>
      <w:r>
        <w:t xml:space="preserve"> </w:t>
      </w:r>
      <w:r>
        <w:t xml:space="preserve">50/60/70% split sensitivity rather than confidence intervals.</w:t>
      </w:r>
    </w:p>
    <w:p>
      <w:pPr>
        <w:pStyle w:val="BodyText"/>
      </w:pPr>
      <w:r>
        <w:t xml:space="preserve">The baseline families are intentionally separated. Mean, median, percentile,</w:t>
      </w:r>
      <w:r>
        <w:t xml:space="preserve"> </w:t>
      </w:r>
      <w:r>
        <w:t xml:space="preserve">and max right-sizing rows are mathematical baselines. Newsvendor, SAA,</w:t>
      </w:r>
      <w:r>
        <w:t xml:space="preserve"> </w:t>
      </w:r>
      <w:r>
        <w:t xml:space="preserve">dual-capacity, and recency-window replay rows are paper-side reservation</w:t>
      </w:r>
      <w:r>
        <w:t xml:space="preserve"> </w:t>
      </w:r>
      <w:r>
        <w:t xml:space="preserve">simulations. The synthetic usage-hour RI replay and Study III recency-window</w:t>
      </w:r>
      <w:r>
        <w:t xml:space="preserve"> </w:t>
      </w:r>
      <w:r>
        <w:t xml:space="preserve">rows are not AWS Compute Optimizer, Cost Explorer, Azure Advisor, Savings</w:t>
      </w:r>
      <w:r>
        <w:t xml:space="preserve"> </w:t>
      </w:r>
      <w:r>
        <w:t xml:space="preserve">Plans, or third-party recommender outputs.</w:t>
      </w:r>
    </w:p>
    <w:bookmarkEnd w:id="31"/>
    <w:bookmarkEnd w:id="32"/>
    <w:bookmarkStart w:id="39" w:name="sec:study1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Study I: Synthetic Account, Catalog Audit, and Service Decomposition</w:t>
      </w:r>
    </w:p>
    <w:bookmarkStart w:id="33" w:name="catalog-audit-and-feasibility-boundary"/>
    <w:p>
      <w:pPr>
        <w:pStyle w:val="Heading2"/>
      </w:pPr>
      <w:r>
        <w:rPr>
          <w:rStyle w:val="SectionNumber"/>
        </w:rPr>
        <w:t xml:space="preserve">6.1</w:t>
      </w:r>
      <w:r>
        <w:tab/>
      </w:r>
      <w:r>
        <w:t xml:space="preserve">Catalog Audit and Feasibility Boundary</w:t>
      </w:r>
    </w:p>
    <w:p>
      <w:pPr>
        <w:pStyle w:val="FirstParagraph"/>
      </w:pPr>
      <w:r>
        <w:t xml:space="preserve">The synthetic account spans 365 days from 2024-07-01 to 2025-06-30.</w:t>
      </w:r>
      <w:r>
        <w:t xml:space="preserve"> </w:t>
      </w:r>
      <w:r>
        <w:t xml:space="preserve">The pricing audit shows that the committed EC2 current-inventory costs mostly</w:t>
      </w:r>
      <w:r>
        <w:t xml:space="preserve"> </w:t>
      </w:r>
      <w:r>
        <w:t xml:space="preserve">match the snapshot AWS catalog, but several committed EC2 candidate rows are</w:t>
      </w:r>
      <w:r>
        <w:t xml:space="preserve"> </w:t>
      </w:r>
      <w:r>
        <w:t xml:space="preserve">wrong or incomplete. The original demo candidate set contains 13 EC2 price</w:t>
      </w:r>
      <w:r>
        <w:t xml:space="preserve"> </w:t>
      </w:r>
      <w:r>
        <w:t xml:space="preserve">rows, but only four EC2 rows have the positive price and hardware</w:t>
      </w:r>
      <w:r>
        <w:t xml:space="preserve"> </w:t>
      </w:r>
      <w:r>
        <w:t xml:space="preserve">specifications required by the MILP. Under</w:t>
      </w:r>
      <w:r>
        <w:t xml:space="preserve"> </w:t>
      </w:r>
      <m:oMath>
        <m:sSub>
          <m:e>
            <m:r>
              <m:t>q</m:t>
            </m:r>
          </m:e>
          <m:sub>
            <m:r>
              <m:t>0.95</m:t>
            </m:r>
          </m:sub>
        </m:sSub>
        <m:r>
          <m:rPr>
            <m:sty m:val="p"/>
          </m:rPr>
          <m:t>×</m:t>
        </m:r>
        <m:r>
          <m:t>1.3</m:t>
        </m:r>
      </m:oMath>
      <w:r>
        <w:t xml:space="preserve">, the EC2</w:t>
      </w:r>
      <w:r>
        <w:t xml:space="preserve"> </w:t>
      </w:r>
      <w:r>
        <w:t xml:space="preserve">subproblem is therefore partial/infeasible in the original demo catalog while</w:t>
      </w:r>
      <w:r>
        <w:t xml:space="preserve"> </w:t>
      </w:r>
      <w:r>
        <w:t xml:space="preserve">RDS remains feasible. This is a catalog-completeness boundary, not a</w:t>
      </w:r>
      <w:r>
        <w:t xml:space="preserve"> </w:t>
      </w:r>
      <w:r>
        <w:t xml:space="preserve">universal claim about P95 sizing.</w:t>
      </w:r>
    </w:p>
    <w:p>
      <w:pPr>
        <w:pStyle w:val="BodyText"/>
      </w:pPr>
      <w:r>
        <w:t xml:space="preserve">Table </w:t>
      </w:r>
      <w:hyperlink w:anchor="tab:catalog-comparison">
        <w:r>
          <w:rPr>
            <w:rStyle w:val="Hyperlink"/>
          </w:rPr>
          <w:t xml:space="preserve">[tab:catalog-comparison]</w:t>
        </w:r>
      </w:hyperlink>
      <w:r>
        <w:t xml:space="preserve"> </w:t>
      </w:r>
      <w:r>
        <w:t xml:space="preserve">shows the normalized comparison. With a</w:t>
      </w:r>
      <w:r>
        <w:t xml:space="preserve"> </w:t>
      </w:r>
      <w:r>
        <w:t xml:space="preserve">shared 28-type EC2 snapshot catalog, non-budget EC2 infeasibilities disappear.</w:t>
      </w:r>
      <w:r>
        <w:t xml:space="preserve"> </w:t>
      </w:r>
      <w:r>
        <w:t xml:space="preserve">The remaining EC2 infeasibilities are confined to explicit budget-cap rows.</w:t>
      </w:r>
    </w:p>
    <w:p>
      <w:pPr>
        <w:pStyle w:val="BodyText"/>
      </w:pPr>
      <w:r>
        <w:t xml:space="preserve">@Y r r Y r r &gt;p</w:t>
      </w:r>
      <w:r>
        <w:t xml:space="preserve">0.09</w:t>
      </w:r>
      <w:r>
        <w:t xml:space="preserve"> </w:t>
      </w:r>
      <w:r>
        <w:t xml:space="preserve">&gt;p</w:t>
      </w:r>
      <w:r>
        <w:t xml:space="preserve">0.09</w:t>
      </w:r>
      <w:r>
        <w:t xml:space="preserve"> </w:t>
      </w:r>
      <w:r>
        <w:t xml:space="preserve">Y@</w:t>
      </w:r>
      <w:r>
        <w:t xml:space="preserve"> </w:t>
      </w:r>
      <w:r>
        <w:t xml:space="preserve">Catalog/basis &amp; &amp; &amp;</w:t>
      </w:r>
      <w:r>
        <w:t xml:space="preserve"> </w:t>
      </w:r>
      <w:r>
        <w:t xml:space="preserve">&amp; &amp;</w:t>
      </w:r>
      <w:r>
        <w:t xml:space="preserve"> </w:t>
      </w:r>
      <w:r>
        <w:t xml:space="preserve">&amp; &amp;</w:t>
      </w:r>
      <w:r>
        <w:t xml:space="preserve"> </w:t>
      </w:r>
      <w:r>
        <w:t xml:space="preserve">&amp; Boundary</w:t>
      </w:r>
      <w:r>
        <w:br/>
      </w:r>
      <w:r>
        <w:t xml:space="preserve">Original demo DB &amp; 13 &amp; 4 &amp; Partial (EC2 Infeasible) &amp; – &amp; – &amp; 9/18 &amp; 4/4 &amp;</w:t>
      </w:r>
      <w:r>
        <w:t xml:space="preserve"> </w:t>
      </w:r>
      <w:r>
        <w:t xml:space="preserve">catalog coverage</w:t>
      </w:r>
      <w:r>
        <w:br/>
      </w:r>
      <w:r>
        <w:t xml:space="preserve">AWS snapshot shared EC2 basis &amp; 28 &amp; 28 &amp; Optimal &amp; 1,006 &amp; 19.0 &amp; 0/18 &amp; 4/4 &amp;</w:t>
      </w:r>
      <w:r>
        <w:t xml:space="preserve"> </w:t>
      </w:r>
      <w:r>
        <w:t xml:space="preserve">service budget cap</w:t>
      </w:r>
      <w:r>
        <w:br/>
      </w:r>
    </w:p>
    <w:p>
      <w:pPr>
        <w:pStyle w:val="BodyText"/>
      </w:pPr>
      <w:r>
        <w:t xml:space="preserve">EC2 infeasibility disappears for non-budget baseline and ablation rows with</w:t>
      </w:r>
      <w:r>
        <w:t xml:space="preserve"> </w:t>
      </w:r>
      <w:r>
        <w:t xml:space="preserve">the shared-basis snapshot EC2 catalog; remaining EC2 infeasibility is confined</w:t>
      </w:r>
      <w:r>
        <w:t xml:space="preserve"> </w:t>
      </w:r>
      <w:r>
        <w:t xml:space="preserve">to explicit per-service budget-cap rows.</w:t>
      </w:r>
    </w:p>
    <w:bookmarkEnd w:id="33"/>
    <w:bookmarkStart w:id="35" w:name="baseline-and-service-level-results"/>
    <w:p>
      <w:pPr>
        <w:pStyle w:val="Heading2"/>
      </w:pPr>
      <w:r>
        <w:rPr>
          <w:rStyle w:val="SectionNumber"/>
        </w:rPr>
        <w:t xml:space="preserve">6.2</w:t>
      </w:r>
      <w:r>
        <w:tab/>
      </w:r>
      <w:r>
        <w:t xml:space="preserve">Baseline and Service-Level Results</w:t>
      </w:r>
    </w:p>
    <w:p>
      <w:pPr>
        <w:pStyle w:val="FirstParagraph"/>
      </w:pPr>
      <w:r>
        <w:t xml:space="preserve">Table </w:t>
      </w:r>
      <w:hyperlink w:anchor="tab:baselines">
        <w:r>
          <w:rPr>
            <w:rStyle w:val="Hyperlink"/>
          </w:rPr>
          <w:t xml:space="preserve">[tab:baselines]</w:t>
        </w:r>
      </w:hyperlink>
      <w:r>
        <w:t xml:space="preserve"> </w:t>
      </w:r>
      <w:r>
        <w:t xml:space="preserve">reports the generated synthetic baseline grid. The</w:t>
      </w:r>
      <w:r>
        <w:t xml:space="preserve"> </w:t>
      </w:r>
      <w:r>
        <w:t xml:space="preserve">headline Study I row is the deployed</w:t>
      </w:r>
      <w:r>
        <w:t xml:space="preserve"> </w:t>
      </w:r>
      <m:oMath>
        <m:sSub>
          <m:e>
            <m:r>
              <m:t>q</m:t>
            </m:r>
          </m:e>
          <m:sub>
            <m:r>
              <m:t>0.95</m:t>
            </m:r>
          </m:sub>
        </m:sSub>
        <m:r>
          <m:rPr>
            <m:sty m:val="p"/>
          </m:rPr>
          <m:t>×</m:t>
        </m:r>
        <m:r>
          <m:t>1.3</m:t>
        </m:r>
      </m:oMath>
      <w:r>
        <w:t xml:space="preserve"> </w:t>
      </w:r>
      <w:r>
        <w:t xml:space="preserve">policy on the shared</w:t>
      </w:r>
      <w:r>
        <w:t xml:space="preserve"> </w:t>
      </w:r>
      <w:r>
        <w:t xml:space="preserve">EC2 snapshot basis. Current synthetic compute cost is</w:t>
      </w:r>
      <w:r>
        <w:t xml:space="preserve"> </w:t>
      </w:r>
      <w:r>
        <w:t xml:space="preserve">$1241.58/mo and the feasible P95 x 1.3 row costs</w:t>
      </w:r>
      <w:r>
        <w:t xml:space="preserve"> </w:t>
      </w:r>
      <w:r>
        <w:t xml:space="preserve">$1005.65/mo, a compute-scope change of -19.0%.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Resources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Saving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Down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($/mo)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(%)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Current inventory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[0.0, 0.0]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Mean utilization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[48.0, 85.5]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Optimal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Median utilization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[50.5, 86.4]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Optimal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P90 sizing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[17.5, 74.9]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Optimal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P95 sizing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[17.5, 74.9]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Optimal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P95 x 1.3 heuristic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[-48.0, 72.5]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Optimal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P99 sizing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[17.5, 74.9]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Optimal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 utilization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[10.3, 69.2]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Optimal</w:t>
            </w:r>
          </w:p>
        </w:tc>
      </w:tr>
    </w:tbl>
    <w:p>
      <w:pPr>
        <w:pStyle w:val="BodyText"/>
      </w:pPr>
      <w:r>
        <w:t xml:space="preserve">Table </w:t>
      </w:r>
      <w:hyperlink w:anchor="tab:service-decomp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is the required interpretation of that</w:t>
      </w:r>
      <w:r>
        <w:t xml:space="preserve"> </w:t>
      </w:r>
      <w:r>
        <w:t xml:space="preserve">aggregate. EC2 increases from $843.73/mo to</w:t>
      </w:r>
      <w:r>
        <w:t xml:space="preserve"> </w:t>
      </w:r>
      <w:r>
        <w:t xml:space="preserve">$970.61/mo, a $126.87/mo</w:t>
      </w:r>
      <w:r>
        <w:t xml:space="preserve"> </w:t>
      </w:r>
      <w:r>
        <w:t xml:space="preserve">(15.0%) increase. RDS decreases from</w:t>
      </w:r>
      <w:r>
        <w:t xml:space="preserve"> </w:t>
      </w:r>
      <w:r>
        <w:t xml:space="preserve">$397.85/mo to $35.04/mo, a</w:t>
      </w:r>
      <w:r>
        <w:t xml:space="preserve"> </w:t>
      </w:r>
      <w:r>
        <w:t xml:space="preserve">$362.81/mo (91.2%) decrease. Because RDS remains</w:t>
      </w:r>
      <w:r>
        <w:t xml:space="preserve"> </w:t>
      </w:r>
      <w:r>
        <w:t xml:space="preserve">demo-priced, the aggregate -19.0% result is</w:t>
      </w:r>
      <w:r>
        <w:t xml:space="preserve"> </w:t>
      </w:r>
      <w:r>
        <w:t xml:space="preserve">method-illustrative. It is not an unqualified optimizer win and should not be</w:t>
      </w:r>
      <w:r>
        <w:t xml:space="preserve"> </w:t>
      </w:r>
      <w:r>
        <w:t xml:space="preserve">read as production-dollar evidence.</w:t>
      </w:r>
    </w:p>
    <w:bookmarkStart w:id="34" w:name="tab:service-decomp"/>
    <w:p>
      <w:pPr>
        <w:pStyle w:val="TableCaption"/>
      </w:pPr>
      <w:r>
        <w:t xml:space="preserve">Study I service-level decomposition for the generated</w:t>
      </w:r>
      <w:r>
        <w:t xml:space="preserve"> </w:t>
      </w:r>
      <m:oMath>
        <m:sSub>
          <m:e>
            <m:r>
              <m:t>q</m:t>
            </m:r>
          </m:e>
          <m:sub>
            <m:r>
              <m:t>0.95</m:t>
            </m:r>
          </m:sub>
        </m:sSub>
        <m:r>
          <m:rPr>
            <m:sty m:val="p"/>
          </m:rPr>
          <m:t>×</m:t>
        </m:r>
        <m:r>
          <m:t>1.3</m:t>
        </m:r>
      </m:oMath>
      <w:r>
        <w:t xml:space="preserve"> </w:t>
      </w:r>
      <w:r>
        <w:t xml:space="preserve">row. EC2 current inventory and candidates use the shared snapshot on-demand basis; RDS remains on the committed demo DB basis. Positive deltas indicate cost increases.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Study I service-level decomposition for the generated q_{0.95}\times1.3 row. EC2 current inventory and candidates use the shared snapshot on-demand basis; RDS remains on the committed demo DB basis. Positive deltas indicate cost increases."/>
      </w:tblPr>
      <w:tblGrid>
        <w:gridCol w:w="1584"/>
        <w:gridCol w:w="1584"/>
        <w:gridCol w:w="1584"/>
        <w:gridCol w:w="1584"/>
        <w:gridCol w:w="1584"/>
      </w:tblGrid>
      <w:tr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Current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Optimized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Delta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Delta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($/mo)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($/mo)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($/mo)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+15.0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-91.2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Aggregate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-19.0</w:t>
            </w:r>
          </w:p>
        </w:tc>
      </w:tr>
    </w:tbl>
    <w:bookmarkEnd w:id="34"/>
    <w:p>
      <w:pPr>
        <w:pStyle w:val="BodyText"/>
      </w:pPr>
      <w:r>
        <w:t xml:space="preserve">The P95 x 1.3 aggregate bootstrap interval,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48.0</m:t>
        </m:r>
        <m:r>
          <m:rPr>
            <m:sty m:val="p"/>
          </m:rPr>
          <m:t>%</m:t>
        </m:r>
        <m:r>
          <m:rPr>
            <m:sty m:val="p"/>
          </m:rPr>
          <m:t>,</m:t>
        </m:r>
        <m:r>
          <m:t>72.5</m:t>
        </m:r>
        <m:r>
          <m:rPr>
            <m:sty m:val="p"/>
          </m:rPr>
          <m:t>%</m:t>
        </m:r>
        <m:r>
          <m:rPr>
            <m:sty m:val="p"/>
          </m:rPr>
          <m:t>]</m:t>
        </m:r>
      </m:oMath>
      <w:r>
        <w:t xml:space="preserve">, spans both cost increase and cost reduction. Its width is</w:t>
      </w:r>
      <w:r>
        <w:t xml:space="preserve"> </w:t>
      </w:r>
      <w:r>
        <w:t xml:space="preserve">expected for only 10 heterogeneous resources and a service mix in which the</w:t>
      </w:r>
      <w:r>
        <w:t xml:space="preserve"> </w:t>
      </w:r>
      <w:r>
        <w:t xml:space="preserve">EC2 and RDS effects have opposite signs. The point estimate is therefore a</w:t>
      </w:r>
      <w:r>
        <w:t xml:space="preserve"> </w:t>
      </w:r>
      <w:r>
        <w:t xml:space="preserve">transparent case-study summary, not evidence that the same aggregate saving</w:t>
      </w:r>
      <w:r>
        <w:t xml:space="preserve"> </w:t>
      </w:r>
      <w:r>
        <w:t xml:space="preserve">would generalize to a production fleet.</w:t>
      </w:r>
    </w:p>
    <w:bookmarkEnd w:id="35"/>
    <w:bookmarkStart w:id="37" w:name="ablations-runtime-and-rule-sanity-checks"/>
    <w:p>
      <w:pPr>
        <w:pStyle w:val="Heading2"/>
      </w:pPr>
      <w:r>
        <w:rPr>
          <w:rStyle w:val="SectionNumber"/>
        </w:rPr>
        <w:t xml:space="preserve">6.3</w:t>
      </w:r>
      <w:r>
        <w:tab/>
      </w:r>
      <w:r>
        <w:t xml:space="preserve">Ablations, Runtime, and Rule Sanity Checks</w:t>
      </w:r>
    </w:p>
    <w:p>
      <w:pPr>
        <w:pStyle w:val="FirstParagraph"/>
      </w:pPr>
      <w:r>
        <w:t xml:space="preserve">Table </w:t>
      </w:r>
      <w:hyperlink w:anchor="tab:ablations">
        <w:r>
          <w:rPr>
            <w:rStyle w:val="Hyperlink"/>
          </w:rPr>
          <w:t xml:space="preserve">[tab:ablations]</w:t>
        </w:r>
      </w:hyperlink>
      <w:r>
        <w:t xml:space="preserve"> </w:t>
      </w:r>
      <w:r>
        <w:t xml:space="preserve">reports the full synthetic ablation grid. The</w:t>
      </w:r>
      <w:r>
        <w:t xml:space="preserve"> </w:t>
      </w:r>
      <w:r>
        <w:t xml:space="preserve">percentile and headroom rows show a mapped-cost/headroom tradeoff: lower</w:t>
      </w:r>
      <w:r>
        <w:t xml:space="preserve"> </w:t>
      </w:r>
      <w:r>
        <w:t xml:space="preserve">requirements can produce higher apparent mapped savings, while P95 x 1.3</w:t>
      </w:r>
      <w:r>
        <w:t xml:space="preserve"> </w:t>
      </w:r>
      <w:r>
        <w:t xml:space="preserve">selects more candidate capacity. These rows do not measure operational</w:t>
      </w:r>
      <w:r>
        <w:t xml:space="preserve"> </w:t>
      </w:r>
      <w:r>
        <w:t xml:space="preserve">performance effects. The table also keeps</w:t>
      </w:r>
      <w:r>
        <w:t xml:space="preserve"> </w:t>
      </w:r>
      <w:r>
        <w:t xml:space="preserve">budget infeasibilities visible rather than converting fallback diagnostics</w:t>
      </w:r>
      <w:r>
        <w:t xml:space="preserve"> </w:t>
      </w:r>
      <w:r>
        <w:t xml:space="preserve">into comparable savings.</w:t>
      </w:r>
    </w:p>
    <w:p>
      <w:pPr>
        <w:pStyle w:val="BodyText"/>
      </w:pPr>
      <w:r>
        <w:t xml:space="preserve">@&gt;</w:t>
      </w:r>
    </w:p>
    <w:p>
      <w:pPr>
        <w:pStyle w:val="BodyText"/>
      </w:pPr>
      <w:r>
        <w:t xml:space="preserve">p</w:t>
      </w:r>
      <w:r>
        <w:t xml:space="preserve">0.15</w:t>
      </w:r>
      <w:r>
        <w:t xml:space="preserve"> </w:t>
      </w:r>
      <w:r>
        <w:t xml:space="preserve">Y r r r r &gt;</w:t>
      </w:r>
    </w:p>
    <w:p>
      <w:pPr>
        <w:pStyle w:val="BodyText"/>
      </w:pPr>
      <w:r>
        <w:t xml:space="preserve">p</w:t>
      </w:r>
      <w:r>
        <w:t xml:space="preserve">0.23</w:t>
      </w:r>
      <w:r>
        <w:t xml:space="preserve">@</w:t>
      </w:r>
    </w:p>
    <w:p>
      <w:pPr>
        <w:pStyle w:val="BodyText"/>
      </w:pPr>
      <w:r>
        <w:t xml:space="preserve">Dimension &amp; Level &amp; &amp;</w:t>
      </w:r>
      <w:r>
        <w:t xml:space="preserve"> </w:t>
      </w:r>
      <w:r>
        <w:t xml:space="preserve">&amp; &amp; Recs/vars &amp; Status</w:t>
      </w:r>
      <w:r>
        <w:br/>
      </w:r>
      <w:r>
        <w:t xml:space="preserve">percentile q &amp; 0.75 &amp; 478 &amp; 61.5 &amp; 1.2 &amp; 232 &amp; Optimal</w:t>
      </w:r>
      <w:r>
        <w:br/>
      </w:r>
      <w:r>
        <w:t xml:space="preserve">percentile q &amp; 0.90 &amp; 1,006 &amp; 19.0 &amp; 0.0 &amp; 232 &amp; Optimal</w:t>
      </w:r>
      <w:r>
        <w:br/>
      </w:r>
      <w:r>
        <w:t xml:space="preserve">percentile q &amp; 0.95 &amp; 1,006 &amp; 19.0 &amp; 0.0 &amp; 232 &amp; Optimal</w:t>
      </w:r>
      <w:r>
        <w:br/>
      </w:r>
      <w:r>
        <w:t xml:space="preserve">percentile q &amp; 0.99 &amp; 1,141 &amp; 8.1 &amp; 0.0 &amp; 232 &amp; Optimal</w:t>
      </w:r>
      <w:r>
        <w:br/>
      </w:r>
      <w:r>
        <w:t xml:space="preserve">headroom h &amp; 1.0 &amp; 660 &amp; 46.8 &amp; 0.0 &amp; 232 &amp; Optimal</w:t>
      </w:r>
      <w:r>
        <w:br/>
      </w:r>
      <w:r>
        <w:t xml:space="preserve">headroom h &amp; 1.1 &amp; 660 &amp; 46.8 &amp; 0.0 &amp; 232 &amp; Optimal</w:t>
      </w:r>
      <w:r>
        <w:br/>
      </w:r>
      <w:r>
        <w:t xml:space="preserve">headroom h &amp; 1.3 &amp; 1,006 &amp; 19.0 &amp; 0.0 &amp; 232 &amp; Optimal</w:t>
      </w:r>
      <w:r>
        <w:br/>
      </w:r>
      <w:r>
        <w:t xml:space="preserve">headroom h &amp; 1.5 &amp; 1,141 &amp; 8.1 &amp; 0.0 &amp; 232 &amp; Optimal</w:t>
      </w:r>
      <w:r>
        <w:br/>
      </w:r>
      <w:r>
        <w:t xml:space="preserve">memory constraint &amp; off &amp; 585 &amp; 52.9 &amp; 0.0 &amp; 232 &amp; Optimal</w:t>
      </w:r>
      <w:r>
        <w:br/>
      </w:r>
      <w:r>
        <w:t xml:space="preserve">memory constraint &amp; observed &amp; 1,006 &amp; 19.0 &amp; 0.0 &amp; 232 &amp; Optimal</w:t>
      </w:r>
      <w:r>
        <w:br/>
      </w:r>
      <w:r>
        <w:t xml:space="preserve">budget cap &amp; none &amp; 1,006 &amp; 19.0 &amp; 0.0 &amp; 232 &amp; Optimal</w:t>
      </w:r>
      <w:r>
        <w:br/>
      </w:r>
      <w:r>
        <w:t xml:space="preserve">budget cap &amp; 100% current &amp; – &amp; – &amp; – &amp; 232 &amp; Partial (EC2 Infeasible)</w:t>
      </w:r>
      <w:r>
        <w:br/>
      </w:r>
      <w:r>
        <w:t xml:space="preserve">budget cap &amp; 90% current &amp; – &amp; – &amp; – &amp; 232 &amp; Partial (EC2 Infeasible)</w:t>
      </w:r>
      <w:r>
        <w:br/>
      </w:r>
      <w:r>
        <w:t xml:space="preserve">budget cap &amp; 75% current &amp; – &amp; – &amp; – &amp; 232 &amp; Partial (EC2 Infeasible)</w:t>
      </w:r>
      <w:r>
        <w:br/>
      </w:r>
      <w:r>
        <w:t xml:space="preserve">budget cap &amp; 1% current &amp; – &amp; – &amp; – &amp; 232 &amp;</w:t>
      </w:r>
      <w:r>
        <w:t xml:space="preserve"> </w:t>
      </w:r>
      <w:r>
        <w:t xml:space="preserve">Failed (EC2 Infeasible, RDS Infeasible)</w:t>
      </w:r>
      <w:r>
        <w:br/>
      </w:r>
      <w:r>
        <w:t xml:space="preserve">rule set &amp; MILP right-sizing only &amp; – &amp; – &amp; – &amp; 2 &amp; $362.81/mo</w:t>
      </w:r>
      <w:r>
        <w:br/>
      </w:r>
      <w:r>
        <w:t xml:space="preserve">rule set &amp; reserved pricing only &amp; – &amp; – &amp; – &amp; 2 &amp; $125.85/mo</w:t>
      </w:r>
      <w:r>
        <w:br/>
      </w:r>
      <w:r>
        <w:t xml:space="preserve">rule set &amp; waste rules only &amp; – &amp; – &amp; – &amp; 11 &amp; $19.17/mo</w:t>
      </w:r>
      <w:r>
        <w:br/>
      </w:r>
      <w:r>
        <w:t xml:space="preserve">rule set &amp; all rules, deduplicated &amp; – &amp; – &amp; – &amp; 15 &amp; $507.83/mo</w:t>
      </w:r>
      <w:r>
        <w:br/>
      </w:r>
    </w:p>
    <w:p>
      <w:pPr>
        <w:pStyle w:val="BodyText"/>
      </w:pPr>
      <w:r>
        <w:t xml:space="preserve">Table </w:t>
      </w:r>
      <w:hyperlink w:anchor="tab:runtime">
        <w:r>
          <w:rPr>
            <w:rStyle w:val="Hyperlink"/>
          </w:rPr>
          <w:t xml:space="preserve">[tab:runtime]</w:t>
        </w:r>
      </w:hyperlink>
      <w:r>
        <w:t xml:space="preserve"> </w:t>
      </w:r>
      <w:r>
        <w:t xml:space="preserve">records runtime and clone-stress diagnostics for the</w:t>
      </w:r>
      <w:r>
        <w:t xml:space="preserve"> </w:t>
      </w:r>
      <w:r>
        <w:t xml:space="preserve">generated evidence script. These are not a hardware-normalized scalability</w:t>
      </w:r>
      <w:r>
        <w:t xml:space="preserve"> </w:t>
      </w:r>
      <w:r>
        <w:t xml:space="preserve">study, but they document solver status, solve counts, and EC2 MILP stress</w:t>
      </w:r>
      <w:r>
        <w:t xml:space="preserve"> </w:t>
      </w:r>
      <w:r>
        <w:t xml:space="preserve">sizes used by the current artifact.</w:t>
      </w:r>
    </w:p>
    <w:p>
      <w:pPr>
        <w:pStyle w:val="BodyText"/>
      </w:pPr>
      <w:r>
        <w:t xml:space="preserve">@Y r r r r r l@</w:t>
      </w:r>
      <w:r>
        <w:t xml:space="preserve"> </w:t>
      </w:r>
      <w:r>
        <w:t xml:space="preserve">Experiment &amp;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&amp; Vars &amp; Solves &amp; Solve s &amp; Peak MB &amp; Status</w:t>
      </w:r>
      <w:r>
        <w:br/>
      </w:r>
      <w:r>
        <w:t xml:space="preserve">baseline sweep &amp; 10 &amp; 1624 &amp; 14 &amp; 0.117 &amp; 114.1 &amp; computed</w:t>
      </w:r>
      <w:r>
        <w:br/>
      </w:r>
      <w:r>
        <w:t xml:space="preserve">ablation sweep &amp; 10 &amp; 3480 &amp; 30 &amp; 0.248 &amp; 118.6 &amp; computed</w:t>
      </w:r>
      <w:r>
        <w:br/>
      </w:r>
      <w:r>
        <w:t xml:space="preserve">rule-set ablation &amp; 10 &amp; 0 &amp; 0 &amp; 0.557 &amp; 118.6 &amp; computed</w:t>
      </w:r>
      <w:r>
        <w:br/>
      </w:r>
      <w:r>
        <w:t xml:space="preserve">EC2 MILP stress n=100 &amp; 100 &amp; 2800 &amp; 1 &amp; 0.071 &amp; 120.4 &amp; Optimal</w:t>
      </w:r>
      <w:r>
        <w:br/>
      </w:r>
      <w:r>
        <w:t xml:space="preserve">EC2 MILP stress n=500 &amp; 500 &amp; 14000 &amp; 1 &amp; 0.396 &amp; 141.5 &amp; Optimal</w:t>
      </w:r>
      <w:r>
        <w:br/>
      </w:r>
      <w:r>
        <w:t xml:space="preserve">EC2 MILP stress n=1000 &amp; 1000 &amp; 28000 &amp; 1 &amp; 1.285 &amp; 171.4 &amp; Optimal</w:t>
      </w:r>
      <w:r>
        <w:br/>
      </w:r>
      <w:r>
        <w:t xml:space="preserve">evidence script total &amp; 10 &amp; 49904 &amp; 47 &amp; 7.860 &amp; 171.4 &amp; computed</w:t>
      </w:r>
      <w:r>
        <w:br/>
      </w:r>
    </w:p>
    <w:p>
      <w:pPr>
        <w:pStyle w:val="BodyText"/>
      </w:pPr>
      <w:r>
        <w:t xml:space="preserve">The recomputed implementation sanity check emits 15 deduplicated</w:t>
      </w:r>
      <w:r>
        <w:t xml:space="preserve"> </w:t>
      </w:r>
      <w:r>
        <w:t xml:space="preserve">recommendations worth $507.83/mo under the committed demo</w:t>
      </w:r>
      <w:r>
        <w:t xml:space="preserve"> </w:t>
      </w:r>
      <w:r>
        <w:t xml:space="preserve">database path. This is retained as system-context evidence only. The stale</w:t>
      </w:r>
      <w:r>
        <w:t xml:space="preserve"> </w:t>
      </w:r>
      <w:r>
        <w:t xml:space="preserve">stored 19-row recommendation table is not used as a headline result.</w:t>
      </w:r>
    </w:p>
    <w:p>
      <w:pPr>
        <w:pStyle w:val="BodyText"/>
      </w:pPr>
      <w:r>
        <w:t xml:space="preserve">Table </w:t>
      </w:r>
      <w:hyperlink w:anchor="tab:ri-replay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reports the paper-side synthetic EC2 usage-hour RI</w:t>
      </w:r>
      <w:r>
        <w:t xml:space="preserve"> </w:t>
      </w:r>
      <w:r>
        <w:t xml:space="preserve">replay baseline. The 7-, 30-, and 60-day windows collapse to the same row</w:t>
      </w:r>
      <w:r>
        <w:t xml:space="preserve"> </w:t>
      </w:r>
      <w:r>
        <w:t xml:space="preserve">because the same six eligible on-demand EC2 instances have complete metric</w:t>
      </w:r>
      <w:r>
        <w:t xml:space="preserve"> </w:t>
      </w:r>
      <w:r>
        <w:t xml:space="preserve">coverage in every window and the snapshot reserved/on-demand prices are</w:t>
      </w:r>
      <w:r>
        <w:t xml:space="preserve"> </w:t>
      </w:r>
      <w:r>
        <w:t xml:space="preserve">static. This table is not third-party recommender output.</w:t>
      </w:r>
    </w:p>
    <w:bookmarkStart w:id="36" w:name="tab:ri-replay"/>
    <w:p>
      <w:pPr>
        <w:pStyle w:val="TableCaption"/>
      </w:pPr>
      <w:r>
        <w:t xml:space="preserve">Paper-side EC2 usage-hour RI replay baseline. The replay uses trailing observed metric coverage and the same snapshot EC2 on-demand/reserved prices; it is not AWS Compute Optimizer, Cost Explorer, Azure Advisor, or third-party recommender output. The 7-, 30-, and 60-day windows collapse to one row because they select the same six fully observed synthetic EC2 instances.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Paper-side EC2 usage-hour RI replay baseline. The replay uses trailing observed metric coverage and the same snapshot EC2 on-demand/reserved prices; it is not AWS Compute Optimizer, Cost Explorer, Azure Advisor, or third-party recommender output. The 7-, 30-, and 60-day windows collapse to one row because they select the same six fully observed synthetic EC2 instances."/>
      </w:tblPr>
      <w:tblGrid>
        <w:gridCol w:w="1320"/>
        <w:gridCol w:w="1320"/>
        <w:gridCol w:w="1320"/>
        <w:gridCol w:w="1320"/>
        <w:gridCol w:w="1320"/>
        <w:gridCol w:w="1320"/>
      </w:tblGrid>
      <w:tr>
        <w:tc>
          <w:tcPr/>
          <w:p>
            <w:pPr>
              <w:pStyle w:val="Compact"/>
              <w:jc w:val="left"/>
            </w:pPr>
            <w:r>
              <w:t xml:space="preserve">Recency windows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Recs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Current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Saving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Saving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(days)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($/mo)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($/mo)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7/30/60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paper-side replay</w:t>
            </w:r>
          </w:p>
        </w:tc>
      </w:tr>
    </w:tbl>
    <w:bookmarkEnd w:id="36"/>
    <w:bookmarkEnd w:id="37"/>
    <w:bookmarkStart w:id="38" w:name="synthetic-forecasting-context"/>
    <w:p>
      <w:pPr>
        <w:pStyle w:val="Heading2"/>
      </w:pPr>
      <w:r>
        <w:rPr>
          <w:rStyle w:val="SectionNumber"/>
        </w:rPr>
        <w:t xml:space="preserve">6.4</w:t>
      </w:r>
      <w:r>
        <w:tab/>
      </w:r>
      <w:r>
        <w:t xml:space="preserve">Synthetic Forecasting Context</w:t>
      </w:r>
    </w:p>
    <w:p>
      <w:pPr>
        <w:pStyle w:val="FirstParagraph"/>
      </w:pPr>
      <w:r>
        <w:t xml:space="preserve">Forecasting is useful for monitoring, but not decisive for the cost claims.</w:t>
      </w:r>
      <w:r>
        <w:t xml:space="preserve"> </w:t>
      </w:r>
      <w:r>
        <w:t xml:space="preserve">Table </w:t>
      </w:r>
      <w:hyperlink w:anchor="tab:mape">
        <w:r>
          <w:rPr>
            <w:rStyle w:val="Hyperlink"/>
          </w:rPr>
          <w:t xml:space="preserve">[tab:mape]</w:t>
        </w:r>
      </w:hyperlink>
      <w:r>
        <w:t xml:space="preserve"> </w:t>
      </w:r>
      <w:r>
        <w:t xml:space="preserve">shows walk-forward MAPE on the synthetic account. ETS has</w:t>
      </w:r>
      <w:r>
        <w:t xml:space="preserve"> </w:t>
      </w:r>
      <w:r>
        <w:t xml:space="preserve">the best 30-day mean (11.2%), but the ETS versus seasonal-naive</w:t>
      </w:r>
      <w:r>
        <w:t xml:space="preserve"> </w:t>
      </w:r>
      <w:r>
        <w:t xml:space="preserve">difference is not statistically significant at the reported sample size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0.198</m:t>
        </m:r>
      </m:oMath>
      <w:r>
        <w:t xml:space="preserve">). The paper therefore treats ETS as a selected monitoring</w:t>
      </w:r>
      <w:r>
        <w:t xml:space="preserve"> </w:t>
      </w:r>
      <w:r>
        <w:t xml:space="preserve">model, not proof of forecast-driven optimization superiority.</w:t>
      </w:r>
    </w:p>
    <w:p>
      <w:pPr>
        <w:pStyle w:val="BodyText"/>
      </w:pPr>
      <w:r>
        <w:t xml:space="preserve">@l *</w:t>
      </w:r>
      <w:r>
        <w:t xml:space="preserve">5</w:t>
      </w:r>
      <w:r>
        <w:t xml:space="preserve">Z</w:t>
      </w:r>
      <w:r>
        <w:t xml:space="preserve">@</w:t>
      </w:r>
      <w:r>
        <w:t xml:space="preserve"> </w:t>
      </w:r>
      <w:r>
        <w:t xml:space="preserve">Model &amp;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&amp;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14</m:t>
        </m:r>
      </m:oMath>
      <w:r>
        <w:t xml:space="preserve"> </w:t>
      </w:r>
      <w:r>
        <w:t xml:space="preserve">&amp;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&amp;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&amp;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90</m:t>
        </m:r>
      </m:oMath>
      <w:r>
        <w:br/>
      </w:r>
      <w:r>
        <w:t xml:space="preserve">ETS (selected) &amp; 11.28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2.54 &amp; 11.24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2.45 &amp;</w:t>
      </w:r>
      <w:r>
        <w:t xml:space="preserve"> </w:t>
      </w:r>
      <w:r>
        <w:rPr>
          <w:b/>
          <w:bCs/>
        </w:rPr>
        <w:t xml:space="preserve">11.20</w:t>
      </w:r>
      <w:r>
        <w:rPr>
          <w:b/>
          <w:bCs/>
        </w:rPr>
        <w:t xml:space="preserve"> </w:t>
      </w:r>
      <m:oMath>
        <m:r>
          <m:rPr>
            <m:sty m:val="p"/>
          </m:rPr>
          <m:t>±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0.57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11.39</w:t>
      </w:r>
      <w:r>
        <w:rPr>
          <w:b/>
          <w:bCs/>
        </w:rPr>
        <w:t xml:space="preserve"> </w:t>
      </w:r>
      <m:oMath>
        <m:r>
          <m:rPr>
            <m:sty m:val="p"/>
          </m:rPr>
          <m:t>±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0.74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12.15</w:t>
      </w:r>
      <w:r>
        <w:rPr>
          <w:b/>
          <w:bCs/>
        </w:rPr>
        <w:t xml:space="preserve"> </w:t>
      </w:r>
      <m:oMath>
        <m:r>
          <m:rPr>
            <m:sty m:val="p"/>
          </m:rPr>
          <m:t>±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2.39</w:t>
      </w:r>
      <w:r>
        <w:br/>
      </w:r>
      <w:r>
        <w:t xml:space="preserve">SeasonalNaive &amp;</w:t>
      </w:r>
      <w:r>
        <w:t xml:space="preserve"> </w:t>
      </w:r>
      <w:r>
        <w:rPr>
          <w:b/>
          <w:bCs/>
        </w:rPr>
        <w:t xml:space="preserve">10.18</w:t>
      </w:r>
      <w:r>
        <w:rPr>
          <w:b/>
          <w:bCs/>
        </w:rPr>
        <w:t xml:space="preserve"> </w:t>
      </w:r>
      <m:oMath>
        <m:r>
          <m:rPr>
            <m:sty m:val="p"/>
          </m:rPr>
          <m:t>±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2.84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10.84</w:t>
      </w:r>
      <w:r>
        <w:rPr>
          <w:b/>
          <w:bCs/>
        </w:rPr>
        <w:t xml:space="preserve"> </w:t>
      </w:r>
      <m:oMath>
        <m:r>
          <m:rPr>
            <m:sty m:val="p"/>
          </m:rPr>
          <m:t>±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2.75</w:t>
      </w:r>
      <w:r>
        <w:t xml:space="preserve"> </w:t>
      </w:r>
      <w:r>
        <w:t xml:space="preserve">&amp; 12.28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2.82 &amp;</w:t>
      </w:r>
      <w:r>
        <w:t xml:space="preserve"> </w:t>
      </w:r>
      <w:r>
        <w:t xml:space="preserve">12.66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2.21 &amp; 12.91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2.02</w:t>
      </w:r>
      <w:r>
        <w:br/>
      </w:r>
      <w:r>
        <w:t xml:space="preserve">Prophet &amp; 14.41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6.22 &amp; 20.47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7.40 &amp;</w:t>
      </w:r>
      <w:r>
        <w:t xml:space="preserve"> </w:t>
      </w:r>
      <w:r>
        <w:t xml:space="preserve">20.93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7.53 &amp; 19.70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7.89 &amp; 18.08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8.42</w:t>
      </w:r>
      <w:r>
        <w:br/>
      </w:r>
      <w:r>
        <w:t xml:space="preserve">Naive &amp; 25.16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4.47 &amp; 27.90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3.52 &amp;</w:t>
      </w:r>
      <w:r>
        <w:t xml:space="preserve"> </w:t>
      </w:r>
      <w:r>
        <w:t xml:space="preserve">27.26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4.36 &amp; 27.87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4.09 &amp; 27.38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3.70</w:t>
      </w:r>
      <w:r>
        <w:br/>
      </w:r>
    </w:p>
    <w:bookmarkEnd w:id="38"/>
    <w:bookmarkEnd w:id="39"/>
    <w:bookmarkStart w:id="50" w:name="sec:study2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Study II: Restored GWA Real-Trace Validation</w:t>
      </w:r>
    </w:p>
    <w:bookmarkStart w:id="40" w:name="restoration-and-cost-model"/>
    <w:p>
      <w:pPr>
        <w:pStyle w:val="Heading2"/>
      </w:pPr>
      <w:r>
        <w:rPr>
          <w:rStyle w:val="SectionNumber"/>
        </w:rPr>
        <w:t xml:space="preserve">7.1</w:t>
      </w:r>
      <w:r>
        <w:tab/>
      </w:r>
      <w:r>
        <w:t xml:space="preserve">Restoration and Cost Model</w:t>
      </w:r>
    </w:p>
    <w:p>
      <w:pPr>
        <w:pStyle w:val="FirstParagraph"/>
      </w:pPr>
      <w:r>
        <w:t xml:space="preserve">Study II was restored and rerun from raw GWA inputs. The artifact records</w:t>
      </w:r>
      <w:r>
        <w:t xml:space="preserve"> </w:t>
      </w:r>
      <w:r>
        <w:t xml:space="preserve">archive-content SHA256 hashes for the Bitbrains fastStorage zip, Bitbrains Rnd</w:t>
      </w:r>
      <w:r>
        <w:t xml:space="preserve"> </w:t>
      </w:r>
      <w:r>
        <w:t xml:space="preserve">zip, and Materna zip, plus filename-and-size manifest SHA256 hashes for the</w:t>
      </w:r>
      <w:r>
        <w:t xml:space="preserve"> </w:t>
      </w:r>
      <w:r>
        <w:t xml:space="preserve">extracted CSV trees. The rerun uses a</w:t>
      </w:r>
      <w:r>
        <w:t xml:space="preserve"> </w:t>
      </w:r>
      <w:r>
        <w:t xml:space="preserve">snapshot-dated AWS EC2 catalog from 2026-06-30 with 28</w:t>
      </w:r>
      <w:r>
        <w:t xml:space="preserve"> </w:t>
      </w:r>
      <w:r>
        <w:t xml:space="preserve">candidate types. Each VM baseline maps provisioned cores and memory to the</w:t>
      </w:r>
      <w:r>
        <w:t xml:space="preserve"> </w:t>
      </w:r>
      <w:r>
        <w:t xml:space="preserve">cheapest covering AWS type. The optimized assignment uses the same deployed</w:t>
      </w:r>
      <w:r>
        <w:t xml:space="preserve"> </w:t>
      </w:r>
      <m:oMath>
        <m:sSub>
          <m:e>
            <m:r>
              <m:t>q</m:t>
            </m:r>
          </m:e>
          <m:sub>
            <m:r>
              <m:t>0.95</m:t>
            </m:r>
          </m:sub>
        </m:sSub>
        <m:r>
          <m:rPr>
            <m:sty m:val="p"/>
          </m:rPr>
          <m:t>×</m:t>
        </m:r>
        <m:r>
          <m:t>1.3</m:t>
        </m:r>
      </m:oMath>
      <w:r>
        <w:t xml:space="preserve"> </w:t>
      </w:r>
      <w:r>
        <w:t xml:space="preserve">requirement.</w:t>
      </w:r>
    </w:p>
    <w:p>
      <w:pPr>
        <w:pStyle w:val="BodyText"/>
      </w:pPr>
      <w:r>
        <w:t xml:space="preserve">Table </w:t>
      </w:r>
      <w:hyperlink w:anchor="tab:gwa-provenance">
        <w:r>
          <w:rPr>
            <w:rStyle w:val="Hyperlink"/>
          </w:rPr>
          <w:t xml:space="preserve">[tab:gwa-provenance]</w:t>
        </w:r>
      </w:hyperlink>
      <w:r>
        <w:t xml:space="preserve"> </w:t>
      </w:r>
      <w:r>
        <w:t xml:space="preserve">summarizes the restored inputs. It reports</w:t>
      </w:r>
      <w:r>
        <w:t xml:space="preserve"> </w:t>
      </w:r>
      <w:r>
        <w:t xml:space="preserve">16-hex prefixes for readability; the complete archive-content and</w:t>
      </w:r>
      <w:r>
        <w:t xml:space="preserve"> </w:t>
      </w:r>
      <w:r>
        <w:t xml:space="preserve">filename-and-size manifest SHA256 values are preserved in</w:t>
      </w:r>
      <w:r>
        <w:t xml:space="preserve"> </w:t>
      </w:r>
      <w:r>
        <w:t xml:space="preserve">and 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584"/>
        <w:gridCol w:w="1584"/>
        <w:gridCol w:w="1584"/>
        <w:gridCol w:w="1584"/>
        <w:gridCol w:w="1584"/>
      </w:tblGrid>
      <w:tr>
        <w:tc>
          <w:tcPr/>
          <w:p>
            <w:pPr>
              <w:pStyle w:val="Compact"/>
              <w:jc w:val="left"/>
            </w:pPr>
            <w:r>
              <w:t xml:space="preserve">Archive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Bytes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Extracted CSVs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Archive SHA256 prefix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SHA256 prefix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fastStorage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134,047,207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11313f528a0cbcbe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63e26df5c3af611b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163,099,172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d3d9ddebb689c0b5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5e288d1ae5c7cb8e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Materna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145,292,565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1,593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1380879f0de17cb5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07ff13555d88df59</w:t>
            </w:r>
          </w:p>
        </w:tc>
      </w:tr>
    </w:tbl>
    <w:p>
      <w:pPr>
        <w:pStyle w:val="BodyText"/>
      </w:pPr>
      <w:r>
        <w:t xml:space="preserve">The recorded rerun wall times were 176.06 seconds for fetch/extraction,</w:t>
      </w:r>
      <w:r>
        <w:t xml:space="preserve"> </w:t>
      </w:r>
      <w:r>
        <w:t xml:space="preserve">169.12 seconds for external validation, 127.34 seconds for the checksum,</w:t>
      </w:r>
      <w:r>
        <w:t xml:space="preserve"> </w:t>
      </w:r>
      <w:r>
        <w:t xml:space="preserve">raw-quantile-scan, and baseline-grid helper stages, and 4.51 seconds for the</w:t>
      </w:r>
      <w:r>
        <w:t xml:space="preserve"> </w:t>
      </w:r>
      <w:r>
        <w:t xml:space="preserve">real-trace policy simulation. These timings document the artifact run; they</w:t>
      </w:r>
      <w:r>
        <w:t xml:space="preserve"> </w:t>
      </w:r>
      <w:r>
        <w:t xml:space="preserve">are not a hardware-normalized scalability benchmark; a full</w:t>
      </w:r>
      <w:r>
        <w:t xml:space="preserve"> </w:t>
      </w:r>
      <w:r>
        <w:t xml:space="preserve">process-memory and dependency-version inventory was not recorded.</w:t>
      </w:r>
    </w:p>
    <w:p>
      <w:pPr>
        <w:pStyle w:val="BodyText"/>
      </w:pPr>
      <w:r>
        <w:t xml:space="preserve">The absolute dollar values are mapped costs, not observed AWS bills. The GWA</w:t>
      </w:r>
      <w:r>
        <w:t xml:space="preserve"> </w:t>
      </w:r>
      <w:r>
        <w:t xml:space="preserve">traces are older managed-hosting traces priced against a 2026 AWS catalog.</w:t>
      </w:r>
      <w:r>
        <w:t xml:space="preserve"> </w:t>
      </w:r>
      <w:r>
        <w:t xml:space="preserve">The percentages provide within-model comparisons under this shared mapping.</w:t>
      </w:r>
    </w:p>
    <w:bookmarkEnd w:id="40"/>
    <w:bookmarkStart w:id="42" w:name="Xac5758f6c75d982f3437f9e1c0923839fbd8c6d"/>
    <w:p>
      <w:pPr>
        <w:pStyle w:val="Heading2"/>
      </w:pPr>
      <w:r>
        <w:rPr>
          <w:rStyle w:val="SectionNumber"/>
        </w:rPr>
        <w:t xml:space="preserve">7.2</w:t>
      </w:r>
      <w:r>
        <w:tab/>
      </w:r>
      <w:r>
        <w:t xml:space="preserve">Right-Sizing Results with Confidence Intervals</w:t>
      </w:r>
    </w:p>
    <w:p>
      <w:pPr>
        <w:pStyle w:val="FirstParagraph"/>
      </w:pPr>
      <w:r>
        <w:t xml:space="preserve">Table </w:t>
      </w:r>
      <w:hyperlink w:anchor="tab:external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reports the restored GWA right-sizing results under</w:t>
      </w:r>
      <w:r>
        <w:t xml:space="preserve"> </w:t>
      </w:r>
      <w:r>
        <w:t xml:space="preserve">the evaluated mapping. On Bitbrains fastStorage and Rnd, the mapped-cost</w:t>
      </w:r>
      <w:r>
        <w:t xml:space="preserve"> </w:t>
      </w:r>
      <w:r>
        <w:t xml:space="preserve">reductions are 33.6% (95% CI</w:t>
      </w:r>
      <w:r>
        <w:t xml:space="preserve"> </w:t>
      </w:r>
      <w:r>
        <w:t xml:space="preserve">24.5–41.8%) and 33.1%</w:t>
      </w:r>
      <w:r>
        <w:t xml:space="preserve"> </w:t>
      </w:r>
      <w:r>
        <w:t xml:space="preserve">(19.3–46.3%), respectively. On Materna, the</w:t>
      </w:r>
      <w:r>
        <w:t xml:space="preserve"> </w:t>
      </w:r>
      <w:r>
        <w:t xml:space="preserve">mapped reduction is 74.2%</w:t>
      </w:r>
      <w:r>
        <w:t xml:space="preserve"> </w:t>
      </w:r>
      <w:r>
        <w:t xml:space="preserve">(71.4–76.8%). Across all restored GWA VMs,</w:t>
      </w:r>
      <w:r>
        <w:t xml:space="preserve"> </w:t>
      </w:r>
      <w:r>
        <w:t xml:space="preserve">the aggregate mapped reduction is 41.8%</w:t>
      </w:r>
      <w:r>
        <w:t xml:space="preserve"> </w:t>
      </w:r>
      <w:r>
        <w:t xml:space="preserve">(35.9–47.5%). Applying one-year</w:t>
      </w:r>
      <w:r>
        <w:t xml:space="preserve"> </w:t>
      </w:r>
      <w:r>
        <w:t xml:space="preserve">reserved pricing to the optimized always-on fleet raises the aggregate mapped</w:t>
      </w:r>
      <w:r>
        <w:t xml:space="preserve"> </w:t>
      </w:r>
      <w:r>
        <w:t xml:space="preserve">reduction to 63.4%</w:t>
      </w:r>
      <w:r>
        <w:t xml:space="preserve"> </w:t>
      </w:r>
      <w:r>
        <w:t xml:space="preserve">(59.7–67.0%).</w:t>
      </w:r>
    </w:p>
    <w:bookmarkStart w:id="41" w:name="tab:external"/>
    <w:p>
      <w:pPr>
        <w:pStyle w:val="TableCaption"/>
      </w:pPr>
      <w:r>
        <w:t xml:space="preserve">Study II restored-GWA right-sizing at AWS on-demand rates from</w:t>
      </w:r>
      <w:r>
        <w:t xml:space="preserve"> </w:t>
      </w:r>
      <w:r>
        <w:t xml:space="preserve">snapshot 2026-06-30.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RI column applies one-year reserved pricing.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Study II restored-GWA right-sizing at AWS on-demand rates from snapshot 2026-06-30. The +RI column applies one-year reserved pricing."/>
      </w:tblPr>
      <w:tblGrid>
        <w:gridCol w:w="1584"/>
        <w:gridCol w:w="1584"/>
        <w:gridCol w:w="1584"/>
        <w:gridCol w:w="1584"/>
        <w:gridCol w:w="1584"/>
      </w:tblGrid>
      <w:tr>
        <w:tc>
          <w:tcPr/>
          <w:p>
            <w:pPr>
              <w:pStyle w:val="Compact"/>
              <w:jc w:val="left"/>
            </w:pPr>
            <w:r>
              <w:t xml:space="preserve">Dataset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Baseline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Optimized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Saving /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</m:oMath>
            <w:r>
              <w:t xml:space="preserve">RI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($/mo)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($/mo)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fastStorage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128,588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85,414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33.6 / 58.3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44,294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29,614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33.1 / 58.0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Materna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44,184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11,398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74.2 / 83.8</w:t>
            </w:r>
          </w:p>
        </w:tc>
      </w:tr>
    </w:tbl>
    <w:bookmarkEnd w:id="41"/>
    <w:bookmarkEnd w:id="42"/>
    <w:bookmarkStart w:id="43" w:name="X9ae4e3a5091c1ce31e030996c7a15e50c4d99f2"/>
    <w:p>
      <w:pPr>
        <w:pStyle w:val="Heading2"/>
      </w:pPr>
      <w:r>
        <w:rPr>
          <w:rStyle w:val="SectionNumber"/>
        </w:rPr>
        <w:t xml:space="preserve">7.3</w:t>
      </w:r>
      <w:r>
        <w:tab/>
      </w:r>
      <w:r>
        <w:t xml:space="preserve">Full Baseline Grid and Mapped-Cost/Headroom Interpretation</w:t>
      </w:r>
    </w:p>
    <w:p>
      <w:pPr>
        <w:pStyle w:val="FirstParagraph"/>
      </w:pPr>
      <w:r>
        <w:t xml:space="preserve">Table </w:t>
      </w:r>
      <w:hyperlink w:anchor="tab:external-baselines-full">
        <w:r>
          <w:rPr>
            <w:rStyle w:val="Hyperlink"/>
          </w:rPr>
          <w:t xml:space="preserve">[tab:external-baselines-full]</w:t>
        </w:r>
      </w:hyperlink>
      <w:r>
        <w:t xml:space="preserve"> </w:t>
      </w:r>
      <w:r>
        <w:t xml:space="preserve">gives the full restored-GWA baseline</w:t>
      </w:r>
      <w:r>
        <w:t xml:space="preserve"> </w:t>
      </w:r>
      <w:r>
        <w:t xml:space="preserve">grid with costs and bootstrap intervals. Mean, median, and less-conservative</w:t>
      </w:r>
      <w:r>
        <w:t xml:space="preserve"> </w:t>
      </w:r>
      <w:r>
        <w:t xml:space="preserve">percentile sizing can produce higher apparent mapped savings than</w:t>
      </w:r>
      <w:r>
        <w:t xml:space="preserve"> </w:t>
      </w:r>
      <m:oMath>
        <m:sSub>
          <m:e>
            <m:r>
              <m:t>q</m:t>
            </m:r>
          </m:e>
          <m:sub>
            <m:r>
              <m:t>0.95</m:t>
            </m:r>
          </m:sub>
        </m:sSub>
        <m:r>
          <m:rPr>
            <m:sty m:val="p"/>
          </m:rPr>
          <m:t>×</m:t>
        </m:r>
        <m:r>
          <m:t>1.3</m:t>
        </m:r>
      </m:oMath>
      <w:r>
        <w:t xml:space="preserve">. These rows are not automatically better policies because</w:t>
      </w:r>
      <w:r>
        <w:t xml:space="preserve"> </w:t>
      </w:r>
      <w:r>
        <w:t xml:space="preserve">the repository does not evaluate SLO, latency, error, throughput, availability,</w:t>
      </w:r>
      <w:r>
        <w:t xml:space="preserve"> </w:t>
      </w:r>
      <w:r>
        <w:t xml:space="preserve">or other operational outcomes after right-sizing. The table exposes a</w:t>
      </w:r>
      <w:r>
        <w:t xml:space="preserve"> </w:t>
      </w:r>
      <w:r>
        <w:t xml:space="preserve">mapped-cost/headroom tradeoff: P95 x 1.3 selects larger candidate capacities</w:t>
      </w:r>
      <w:r>
        <w:t xml:space="preserve"> </w:t>
      </w:r>
      <w:r>
        <w:t xml:space="preserve">and yields lower mapped savings than several rows. Added headroom is not</w:t>
      </w:r>
      <w:r>
        <w:t xml:space="preserve"> </w:t>
      </w:r>
      <w:r>
        <w:t xml:space="preserve">evidence of operational performance safety.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Dataset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Cost ($/mo)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Saving [95% CI]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fastStorage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Lift-and-shift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128,588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 [0.0, 0.0]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fastStorage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23,920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81.4 [79.0, 83.6]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fastStorage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16,973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86.8 [85.0, 88.3]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fastStorage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68,673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46.6 [38.8, 53.9]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fastStorage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76,845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40.2 [32.0, 48.0]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fastStorage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84,908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34.0 [25.6, 41.8]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fastStorage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119,196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7.3 [-1.1, 15.4]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fastStorage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P95 x 1.3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85,414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33.6 [24.5, 41.8]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Lift-and-shift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44,294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 [0.0, 0.0]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7,728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82.6 [79.4, 85.5]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4,273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90.4 [88.7, 91.9]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25,697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42.0 [28.6, 54.3]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27,720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37.4 [23.5, 50.3]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30,088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32.1 [17.9, 45.0]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45,947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-3.7 [-18.8, 10.6]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P95 x 1.3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29,614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33.1 [19.3, 46.3]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Materna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Lift-and-shift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44,184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 [0.0, 0.0]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Materna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6,141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86.1 [84.7, 87.3]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Materna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5,974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86.5 [85.1, 87.7]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Materna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8,223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81.4 [79.4, 83.2]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Materna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9,370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78.8 [76.5, 80.9]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Materna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11,786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73.3 [70.5, 75.9]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Materna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25,300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42.7 [38.3, 47.3]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Materna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P95 x 1.3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11,398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74.2 [71.4, 76.8]</w:t>
            </w:r>
          </w:p>
        </w:tc>
      </w:tr>
    </w:tbl>
    <w:bookmarkEnd w:id="43"/>
    <w:bookmarkStart w:id="44" w:name="azure-boundary-condition"/>
    <w:p>
      <w:pPr>
        <w:pStyle w:val="Heading2"/>
      </w:pPr>
      <w:r>
        <w:rPr>
          <w:rStyle w:val="SectionNumber"/>
        </w:rPr>
        <w:t xml:space="preserve">7.4</w:t>
      </w:r>
      <w:r>
        <w:tab/>
      </w:r>
      <w:r>
        <w:t xml:space="preserve">Azure Boundary Condition</w:t>
      </w:r>
    </w:p>
    <w:p>
      <w:pPr>
        <w:pStyle w:val="FirstParagraph"/>
      </w:pPr>
      <w:r>
        <w:t xml:space="preserve">The Azure Public Dataset V2 result is retained as a boundary condition, not as</w:t>
      </w:r>
      <w:r>
        <w:t xml:space="preserve"> </w:t>
      </w:r>
      <w:r>
        <w:t xml:space="preserve">a rerun claim. The raw</w:t>
      </w:r>
      <w:r>
        <w:t xml:space="preserve"> </w:t>
      </w:r>
      <w:r>
        <w:rPr>
          <w:rStyle w:val="VerbatimChar"/>
        </w:rPr>
        <w:t xml:space="preserve">vmtable.csv.gz</w:t>
      </w:r>
      <w:r>
        <w:t xml:space="preserve"> </w:t>
      </w:r>
      <w:r>
        <w:t xml:space="preserve">file was not present in this</w:t>
      </w:r>
      <w:r>
        <w:t xml:space="preserve"> </w:t>
      </w:r>
      <w:r>
        <w:t xml:space="preserve">workspace, so the Azure arm was not restored, checksummed, rerun, or extended</w:t>
      </w:r>
      <w:r>
        <w:t xml:space="preserve"> </w:t>
      </w:r>
      <w:r>
        <w:t xml:space="preserve">with confidence intervals. The committed generated artifact contains</w:t>
      </w:r>
      <w:r>
        <w:t xml:space="preserve"> </w:t>
      </w:r>
      <w:r>
        <w:t xml:space="preserve">237,272 filtered VMs from 2,695,548 rows. Under the recorded Azure</w:t>
      </w:r>
      <w:r>
        <w:t xml:space="preserve"> </w:t>
      </w:r>
      <w:r>
        <w:t xml:space="preserve">preprocessing and metric-semantics assumptions, the mapped right-sizing result</w:t>
      </w:r>
      <w:r>
        <w:t xml:space="preserve"> </w:t>
      </w:r>
      <w:r>
        <w:t xml:space="preserve">was -3.8%, while the recorded result with reserved pricing was</w:t>
      </w:r>
      <w:r>
        <w:t xml:space="preserve"> </w:t>
      </w:r>
      <w:r>
        <w:t xml:space="preserve">34.8%. Because the raw Azure input was not restored and those</w:t>
      </w:r>
      <w:r>
        <w:t xml:space="preserve"> </w:t>
      </w:r>
      <w:r>
        <w:t xml:space="preserve">assumptions were not independently ablated, this result identifies a boundary</w:t>
      </w:r>
      <w:r>
        <w:t xml:space="preserve"> </w:t>
      </w:r>
      <w:r>
        <w:t xml:space="preserve">case but does not establish which assumption caused the reversal.</w:t>
      </w:r>
    </w:p>
    <w:bookmarkEnd w:id="44"/>
    <w:bookmarkStart w:id="49" w:name="real-trace-forecasting-context"/>
    <w:p>
      <w:pPr>
        <w:pStyle w:val="Heading2"/>
      </w:pPr>
      <w:r>
        <w:rPr>
          <w:rStyle w:val="SectionNumber"/>
        </w:rPr>
        <w:t xml:space="preserve">7.5</w:t>
      </w:r>
      <w:r>
        <w:tab/>
      </w:r>
      <w:r>
        <w:t xml:space="preserve">Real-Trace Forecasting Context</w:t>
      </w:r>
    </w:p>
    <w:p>
      <w:pPr>
        <w:pStyle w:val="FirstParagraph"/>
      </w:pPr>
      <w:r>
        <w:t xml:space="preserve">Table </w:t>
      </w:r>
      <w:hyperlink w:anchor="tab:extmape">
        <w:r>
          <w:rPr>
            <w:rStyle w:val="Hyperlink"/>
          </w:rPr>
          <w:t xml:space="preserve">[tab:extmape]</w:t>
        </w:r>
      </w:hyperlink>
      <w:r>
        <w:t xml:space="preserve"> </w:t>
      </w:r>
      <w:r>
        <w:t xml:space="preserve">reports the Rnd aggregate forecast errors, and</w:t>
      </w:r>
      <w:r>
        <w:t xml:space="preserve"> </w:t>
      </w:r>
      <w:r>
        <w:t xml:space="preserve">Figure </w:t>
      </w:r>
      <w:hyperlink w:anchor="fig:ext-series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shows the series used for forecasting and policy</w:t>
      </w:r>
      <w:r>
        <w:t xml:space="preserve"> </w:t>
      </w:r>
      <w:r>
        <w:t xml:space="preserve">replay. Forecasting the real aggregate is difficult. At 24 hours, the best hourly model is</w:t>
      </w:r>
      <w:r>
        <w:t xml:space="preserve"> </w:t>
      </w:r>
      <w:r>
        <w:t xml:space="preserve">Prophet with 60.8% MAPE, and tested pairwise differences are</w:t>
      </w:r>
      <w:r>
        <w:t xml:space="preserve"> </w:t>
      </w:r>
      <w:r>
        <w:t xml:space="preserve">not statistically significant (for example, ETS vs. seasonal-naive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0.232</m:t>
        </m:r>
      </m:oMath>
      <w:r>
        <w:t xml:space="preserve">). The evidence supports treating forecasts as monitoring context</w:t>
      </w:r>
      <w:r>
        <w:t xml:space="preserve"> </w:t>
      </w:r>
      <w:r>
        <w:t xml:space="preserve">rather than the source of right-sizing savings.</w:t>
      </w:r>
    </w:p>
    <w:p>
      <w:pPr>
        <w:pStyle w:val="BodyText"/>
      </w:pPr>
      <w:r>
        <w:t xml:space="preserve">@l *</w:t>
      </w:r>
      <w:r>
        <w:t xml:space="preserve">6</w:t>
      </w:r>
      <w:r>
        <w:t xml:space="preserve">Z</w:t>
      </w:r>
      <w:r>
        <w:t xml:space="preserve">@</w:t>
      </w:r>
      <w:r>
        <w:t xml:space="preserve"> </w:t>
      </w:r>
      <w:r>
        <w:t xml:space="preserve">Model &amp;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6</m:t>
        </m:r>
      </m:oMath>
      <w:r>
        <w:t xml:space="preserve"> h &amp;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12</m:t>
        </m:r>
      </m:oMath>
      <w:r>
        <w:t xml:space="preserve"> h &amp;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24</m:t>
        </m:r>
      </m:oMath>
      <w:r>
        <w:t xml:space="preserve"> h &amp;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48</m:t>
        </m:r>
      </m:oMath>
      <w:r>
        <w:t xml:space="preserve"> h &amp;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7</m:t>
        </m:r>
      </m:oMath>
      <w:r>
        <w:t xml:space="preserve"> d &amp;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14</m:t>
        </m:r>
      </m:oMath>
      <w:r>
        <w:t xml:space="preserve"> d</w:t>
      </w:r>
      <w:r>
        <w:br/>
      </w:r>
      <w:r>
        <w:t xml:space="preserve">ETS &amp;</w:t>
      </w:r>
      <w:r>
        <w:t xml:space="preserve"> </w:t>
      </w:r>
      <w:r>
        <w:rPr>
          <w:b/>
          <w:bCs/>
        </w:rPr>
        <w:t xml:space="preserve">48.2</w:t>
      </w:r>
      <w:r>
        <w:rPr>
          <w:b/>
          <w:bCs/>
        </w:rPr>
        <w:t xml:space="preserve"> </w:t>
      </w:r>
      <m:oMath>
        <m:r>
          <m:rPr>
            <m:sty m:val="p"/>
          </m:rPr>
          <m:t>±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46.2</w:t>
      </w:r>
      <w:r>
        <w:t xml:space="preserve"> </w:t>
      </w:r>
      <w:r>
        <w:t xml:space="preserve">&amp; 71.9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55.4 &amp;</w:t>
      </w:r>
      <w:r>
        <w:t xml:space="preserve"> </w:t>
      </w:r>
      <w:r>
        <w:t xml:space="preserve">77.0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57.2 &amp; 91.2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47.8 &amp;</w:t>
      </w:r>
      <w:r>
        <w:t xml:space="preserve"> </w:t>
      </w:r>
      <w:r>
        <w:rPr>
          <w:b/>
          <w:bCs/>
        </w:rPr>
        <w:t xml:space="preserve">52.1</w:t>
      </w:r>
      <w:r>
        <w:rPr>
          <w:b/>
          <w:bCs/>
        </w:rPr>
        <w:t xml:space="preserve"> </w:t>
      </w:r>
      <m:oMath>
        <m:r>
          <m:rPr>
            <m:sty m:val="p"/>
          </m:rPr>
          <m:t>±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29.9</w:t>
      </w:r>
      <w:r>
        <w:t xml:space="preserve"> </w:t>
      </w:r>
      <w:r>
        <w:t xml:space="preserve">&amp; 64.4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40.9</w:t>
      </w:r>
      <w:r>
        <w:br/>
      </w:r>
      <w:r>
        <w:t xml:space="preserve">SeasonalNaive &amp; 65.9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33.6 &amp; 73.7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46.3 &amp;</w:t>
      </w:r>
      <w:r>
        <w:t xml:space="preserve"> </w:t>
      </w:r>
      <w:r>
        <w:t xml:space="preserve">65.0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40.3 &amp;</w:t>
      </w:r>
      <w:r>
        <w:t xml:space="preserve"> </w:t>
      </w:r>
      <w:r>
        <w:rPr>
          <w:b/>
          <w:bCs/>
        </w:rPr>
        <w:t xml:space="preserve">65.8</w:t>
      </w:r>
      <w:r>
        <w:rPr>
          <w:b/>
          <w:bCs/>
        </w:rPr>
        <w:t xml:space="preserve"> </w:t>
      </w:r>
      <m:oMath>
        <m:r>
          <m:rPr>
            <m:sty m:val="p"/>
          </m:rPr>
          <m:t>±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33.8</w:t>
      </w:r>
      <w:r>
        <w:t xml:space="preserve"> </w:t>
      </w:r>
      <w:r>
        <w:t xml:space="preserve">&amp;</w:t>
      </w:r>
      <w:r>
        <w:t xml:space="preserve"> </w:t>
      </w:r>
      <w:r>
        <w:t xml:space="preserve">54.2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22.6 &amp;</w:t>
      </w:r>
      <w:r>
        <w:t xml:space="preserve"> </w:t>
      </w:r>
      <w:r>
        <w:rPr>
          <w:b/>
          <w:bCs/>
        </w:rPr>
        <w:t xml:space="preserve">59.7</w:t>
      </w:r>
      <w:r>
        <w:rPr>
          <w:b/>
          <w:bCs/>
        </w:rPr>
        <w:t xml:space="preserve"> </w:t>
      </w:r>
      <m:oMath>
        <m:r>
          <m:rPr>
            <m:sty m:val="p"/>
          </m:rPr>
          <m:t>±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32.9</w:t>
      </w:r>
      <w:r>
        <w:br/>
      </w:r>
      <w:r>
        <w:t xml:space="preserve">Prophet &amp; 49.0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26.2 &amp;</w:t>
      </w:r>
      <w:r>
        <w:t xml:space="preserve"> </w:t>
      </w:r>
      <w:r>
        <w:rPr>
          <w:b/>
          <w:bCs/>
        </w:rPr>
        <w:t xml:space="preserve">60.5</w:t>
      </w:r>
      <w:r>
        <w:rPr>
          <w:b/>
          <w:bCs/>
        </w:rPr>
        <w:t xml:space="preserve"> </w:t>
      </w:r>
      <m:oMath>
        <m:r>
          <m:rPr>
            <m:sty m:val="p"/>
          </m:rPr>
          <m:t>±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30.0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60.8</w:t>
      </w:r>
      <w:r>
        <w:rPr>
          <w:b/>
          <w:bCs/>
        </w:rPr>
        <w:t xml:space="preserve"> </w:t>
      </w:r>
      <m:oMath>
        <m:r>
          <m:rPr>
            <m:sty m:val="p"/>
          </m:rPr>
          <m:t>±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21.6</w:t>
      </w:r>
      <w:r>
        <w:t xml:space="preserve"> </w:t>
      </w:r>
      <w:r>
        <w:t xml:space="preserve">&amp; 88.1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42.3 &amp;</w:t>
      </w:r>
      <w:r>
        <w:t xml:space="preserve"> </w:t>
      </w:r>
      <w:r>
        <w:t xml:space="preserve">59.8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36.9 &amp; 66.7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30.0</w:t>
      </w:r>
      <w:r>
        <w:br/>
      </w:r>
      <w:r>
        <w:t xml:space="preserve">Naive &amp; 57.4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71.2 &amp; 87.9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86.1 &amp;</w:t>
      </w:r>
      <w:r>
        <w:t xml:space="preserve"> </w:t>
      </w:r>
      <w:r>
        <w:t xml:space="preserve">82.3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66.6 &amp; 94.2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55.7 &amp;</w:t>
      </w:r>
      <w:r>
        <w:t xml:space="preserve"> </w:t>
      </w:r>
      <w:r>
        <w:t xml:space="preserve">53.4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14.2 &amp; 66.5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44.5</w:t>
      </w:r>
      <w:r>
        <w:br/>
      </w:r>
    </w:p>
    <w:bookmarkStart w:id="48" w:name="fig:ext-series"/>
    <w:p>
      <w:pPr>
        <w:pStyle w:val="CaptionedFigure"/>
      </w:pPr>
      <w:r>
        <w:drawing>
          <wp:inline>
            <wp:extent cx="4907280" cy="1505534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fig_ext_series.pdf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15055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Bitbrains Rnd aggregate demand series used for real-trace</w:t>
      </w:r>
      <w:r>
        <w:t xml:space="preserve"> </w:t>
      </w:r>
      <w:r>
        <w:t xml:space="preserve">forecasting context and Study III policy replay.</w:t>
      </w:r>
    </w:p>
    <w:bookmarkEnd w:id="48"/>
    <w:bookmarkEnd w:id="49"/>
    <w:bookmarkEnd w:id="50"/>
    <w:bookmarkStart w:id="64" w:name="sec:study3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Study III: Capacity-Reservation Policy Simulation</w:t>
      </w:r>
    </w:p>
    <w:bookmarkStart w:id="51" w:name="protocol"/>
    <w:p>
      <w:pPr>
        <w:pStyle w:val="Heading2"/>
      </w:pPr>
      <w:r>
        <w:rPr>
          <w:rStyle w:val="SectionNumber"/>
        </w:rPr>
        <w:t xml:space="preserve">8.1</w:t>
      </w:r>
      <w:r>
        <w:tab/>
      </w:r>
      <w:r>
        <w:t xml:space="preserve">Protocol</w:t>
      </w:r>
    </w:p>
    <w:p>
      <w:pPr>
        <w:pStyle w:val="FirstParagraph"/>
      </w:pPr>
      <w:r>
        <w:t xml:space="preserve">Study III isolates the reservation-sizing question. Each simulation splits an</w:t>
      </w:r>
      <w:r>
        <w:t xml:space="preserve"> </w:t>
      </w:r>
      <w:r>
        <w:t xml:space="preserve">empirical proxy series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chronologically into train and test segments,</w:t>
      </w:r>
      <w:r>
        <w:t xml:space="preserve"> </w:t>
      </w:r>
      <w:r>
        <w:t xml:space="preserve">selects a commitment proxy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training data, and charges that</w:t>
      </w:r>
      <w:r>
        <w:t xml:space="preserve"> </w:t>
      </w:r>
      <w:r>
        <w:t xml:space="preserve">policy on the held-out suffix. The synthetic run uses 219</w:t>
      </w:r>
      <w:r>
        <w:t xml:space="preserve"> </w:t>
      </w:r>
      <w:r>
        <w:t xml:space="preserve">training days and 146 test days. The restored real-trace run</w:t>
      </w:r>
      <w:r>
        <w:t xml:space="preserve"> </w:t>
      </w:r>
      <w:r>
        <w:t xml:space="preserve">uses 1285 training hours and 857 test hours</w:t>
      </w:r>
      <w:r>
        <w:t xml:space="preserve"> </w:t>
      </w:r>
      <w:r>
        <w:t xml:space="preserve">from the Bitbrains Rnd aggregate.</w:t>
      </w:r>
    </w:p>
    <w:p>
      <w:pPr>
        <w:pStyle w:val="BodyText"/>
      </w:pPr>
      <w:r>
        <w:t xml:space="preserve">The deployed</w:t>
      </w:r>
      <w:r>
        <w:t xml:space="preserve"> </w:t>
      </w:r>
      <m:oMath>
        <m:sSub>
          <m:e>
            <m:r>
              <m:t>q</m:t>
            </m:r>
          </m:e>
          <m:sub>
            <m:r>
              <m:t>0.95</m:t>
            </m:r>
          </m:sub>
        </m:sSub>
        <m:r>
          <m:rPr>
            <m:sty m:val="p"/>
          </m:rPr>
          <m:t>×</m:t>
        </m:r>
        <m:r>
          <m:t>1.3</m:t>
        </m:r>
      </m:oMath>
      <w:r>
        <w:t xml:space="preserve"> </w:t>
      </w:r>
      <w:r>
        <w:t xml:space="preserve">right-sizing rule is reused</w:t>
      </w:r>
      <w:r>
        <w:t xml:space="preserve"> </w:t>
      </w:r>
      <w:r>
        <w:t xml:space="preserve">counterfactually as a naive reservation-sizing rule. This is neither deployed</w:t>
      </w:r>
      <w:r>
        <w:t xml:space="preserve"> </w:t>
      </w:r>
      <w:r>
        <w:t xml:space="preserve">reservation behavior nor a model of AWS, Azure, or commercial recommendation</w:t>
      </w:r>
      <w:r>
        <w:t xml:space="preserve"> </w:t>
      </w:r>
      <w:r>
        <w:t xml:space="preserve">systems. The counterfactual quantifies mapped cost when the algebra of a</w:t>
      </w:r>
      <w:r>
        <w:t xml:space="preserve"> </w:t>
      </w:r>
      <w:r>
        <w:t xml:space="preserve">high-headroom sizing rule is applied to a commitment-proxy decision.</w:t>
      </w:r>
    </w:p>
    <w:bookmarkEnd w:id="51"/>
    <w:bookmarkStart w:id="52" w:name="empirical-mapping-and-units"/>
    <w:p>
      <w:pPr>
        <w:pStyle w:val="Heading2"/>
      </w:pPr>
      <w:r>
        <w:rPr>
          <w:rStyle w:val="SectionNumber"/>
        </w:rPr>
        <w:t xml:space="preserve">8.2</w:t>
      </w:r>
      <w:r>
        <w:tab/>
      </w:r>
      <w:r>
        <w:t xml:space="preserve">Empirical Mapping and Units</w:t>
      </w:r>
    </w:p>
    <w:p>
      <w:pPr>
        <w:pStyle w:val="FirstParagraph"/>
      </w:pPr>
      <w:r>
        <w:t xml:space="preserve">The theoretical formulation in Section 3 expresses</w:t>
      </w:r>
      <w:r>
        <w:t xml:space="preserve"> </w:t>
      </w:r>
      <m:oMath>
        <m:sSub>
          <m:e>
            <m:r>
              <m:t>D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physical-capacity units. The empirical simulations preserve the objective’s</w:t>
      </w:r>
      <w:r>
        <w:t xml:space="preserve"> </w:t>
      </w:r>
      <w:r>
        <w:t xml:space="preserve">algebra but use arm-specific quantities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to avoid implying</w:t>
      </w:r>
      <w:r>
        <w:t xml:space="preserve"> </w:t>
      </w:r>
      <w:r>
        <w:t xml:space="preserve">that both inputs are physical capacity. In the synthetic arm,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daily account-cost series read from</w:t>
      </w:r>
      <w:r>
        <w:t xml:space="preserve"> </w:t>
      </w:r>
      <w:r>
        <w:rPr>
          <w:rStyle w:val="VerbatimChar"/>
        </w:rPr>
        <w:t xml:space="preserve">total_cost</w:t>
      </w:r>
      <w:r>
        <w:t xml:space="preserve">; both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measured in USD/day. This arm evaluates relative temporal policy</w:t>
      </w:r>
      <w:r>
        <w:t xml:space="preserve"> </w:t>
      </w:r>
      <w:r>
        <w:t xml:space="preserve">behavior on a cost-proxy time series. It does not simulate provider billing or</w:t>
      </w:r>
      <w:r>
        <w:t xml:space="preserve"> </w:t>
      </w:r>
      <w:r>
        <w:t xml:space="preserve">physical-capacity allocation directly.</w:t>
      </w:r>
    </w:p>
    <w:p>
      <w:pPr>
        <w:pStyle w:val="BodyText"/>
      </w:pPr>
      <w:r>
        <w:t xml:space="preserve">In the restored real-trace arm,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is the hourly aggregate CPU demand</w:t>
      </w:r>
      <w:r>
        <w:t xml:space="preserve"> </w:t>
      </w:r>
      <w:r>
        <w:t xml:space="preserve">constructed by summing per-VM hourly-mean CPU use, and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measured in MHz. The objective then has on-demand-rate-normalized,</w:t>
      </w:r>
      <w:r>
        <w:t xml:space="preserve"> </w:t>
      </w:r>
      <w:r>
        <w:t xml:space="preserve">MHz-equivalent mapped-cost units per hourly period; it is not an observed</w:t>
      </w:r>
      <w:r>
        <w:t xml:space="preserve"> </w:t>
      </w:r>
      <w:r>
        <w:t xml:space="preserve">cloud bill or a resource-level allocation simulation. Reported percentages</w:t>
      </w:r>
      <w:r>
        <w:t xml:space="preserve"> </w:t>
      </w:r>
      <w:r>
        <w:t xml:space="preserve">divide each arm’s mapped cost by its own on-demand-only baseline and are</w:t>
      </w:r>
      <w:r>
        <w:t xml:space="preserve"> </w:t>
      </w:r>
      <w:r>
        <w:t xml:space="preserve">dimensionless. Absolute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values and mapped-cost units are not compared</w:t>
      </w:r>
      <w:r>
        <w:t xml:space="preserve"> </w:t>
      </w:r>
      <w:r>
        <w:t xml:space="preserve">across arms.</w:t>
      </w:r>
    </w:p>
    <w:p>
      <w:pPr>
        <w:pStyle w:val="BodyText"/>
      </w:pPr>
      <w:r>
        <w:t xml:space="preserve">For an empirical training sample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, the static proxy objective is the</w:t>
      </w:r>
      <w:r>
        <w:t xml:space="preserve"> </w:t>
      </w:r>
      <w:r>
        <w:t xml:space="preserve">sample analogue of the theoretical model: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C</m:t>
                  </m:r>
                </m:e>
              </m:acc>
            </m:e>
            <m:sub>
              <m:r>
                <m:t>γ</m:t>
              </m:r>
            </m:sub>
          </m:sSub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;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γ</m:t>
          </m:r>
          <m:r>
            <m:t>Q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|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|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x</m:t>
          </m:r>
          <m:r>
            <m:rPr>
              <m:sty m:val="p"/>
            </m:rPr>
            <m:t>−</m:t>
          </m:r>
          <m:r>
            <m:t>Q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Every non-clairvoyant policy is sized only on the chronological training</w:t>
      </w:r>
      <w:r>
        <w:t xml:space="preserve"> </w:t>
      </w:r>
      <w:r>
        <w:t xml:space="preserve">prefix and is then charged on the untouched test suffix. The policy set is: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OD:</w:t>
      </w:r>
      <w:r>
        <w:t xml:space="preserve"> </w:t>
      </w:r>
      <w:r>
        <w:t xml:space="preserve">on-demand only,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HEUR: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1.3</m:t>
        </m:r>
        <m:sSub>
          <m:e>
            <m:r>
              <m:t>q</m:t>
            </m:r>
          </m:e>
          <m:sub>
            <m:r>
              <m:t>0.95</m:t>
            </m:r>
          </m:sub>
        </m:sSub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 the deployed right-sizing rule</w:t>
      </w:r>
      <w:r>
        <w:t xml:space="preserve"> </w:t>
      </w:r>
      <w:r>
        <w:t xml:space="preserve">read counterfactually as proxy commitment sizing.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NV: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γ</m:t>
            </m:r>
          </m:sub>
        </m:sSub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 the empirical newsvendor solution.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SAA:</w:t>
      </w:r>
      <w:r>
        <w:t xml:space="preserve"> </w:t>
      </w:r>
      <w:r>
        <w:t xml:space="preserve">a PuLP/CBC linear program that minimizes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C</m:t>
                </m:r>
              </m:e>
            </m:acc>
          </m:e>
          <m:sub>
            <m:r>
              <m:t>γ</m:t>
            </m:r>
          </m:sub>
        </m:sSub>
      </m:oMath>
      <w:r>
        <w:t xml:space="preserve"> </w:t>
      </w:r>
      <w:r>
        <w:t xml:space="preserve">over the training scenarios. It represents the same</w:t>
      </w:r>
      <w:r>
        <w:t xml:space="preserve"> </w:t>
      </w:r>
      <w:r>
        <w:t xml:space="preserve">static objective as NV and is used as an implementation cross-check, not as</w:t>
      </w:r>
      <w:r>
        <w:t xml:space="preserve"> </w:t>
      </w:r>
      <w:r>
        <w:t xml:space="preserve">an independent adversarial baseline.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LOOK7/30/60:</w:t>
      </w:r>
      <w:r>
        <w:t xml:space="preserve"> </w:t>
      </w:r>
      <w:r>
        <w:t xml:space="preserve">the NV/SAA objective fitted to only the trailing</w:t>
      </w:r>
      <w:r>
        <w:t xml:space="preserve"> </w:t>
      </w:r>
      <w:r>
        <w:t xml:space="preserve">7, 30, or 60 days of training data. These are 7/30/60 daily observations in</w:t>
      </w:r>
      <w:r>
        <w:t xml:space="preserve"> </w:t>
      </w:r>
      <w:r>
        <w:t xml:space="preserve">the synthetic arm and 168/</w:t>
      </w:r>
      <w:r>
        <w:t xml:space="preserve"> </w:t>
      </w:r>
      <w:r>
        <w:t xml:space="preserve">720/1285 hourly observations in</w:t>
      </w:r>
      <w:r>
        <w:t xml:space="preserve"> </w:t>
      </w:r>
      <w:r>
        <w:t xml:space="preserve">the real-trace arm. If the requested window exceeds the training prefix, the</w:t>
      </w:r>
      <w:r>
        <w:t xml:space="preserve"> </w:t>
      </w:r>
      <w:r>
        <w:t xml:space="preserve">implementation uses the complete prefix. These rows are paper-side</w:t>
      </w:r>
      <w:r>
        <w:t xml:space="preserve"> </w:t>
      </w:r>
      <w:r>
        <w:t xml:space="preserve">recency-window baselines, not evidence about recommendation systems.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DUAL/DUALC:</w:t>
      </w:r>
      <w:r>
        <w:t xml:space="preserve"> </w:t>
      </w:r>
      <w:r>
        <w:t xml:space="preserve">a two-level SAA with always-reserved base</w:t>
      </w:r>
      <w:r>
        <w:t xml:space="preserve"> </w:t>
      </w:r>
      <m:oMath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, supplementary proxy commitment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, and a training threshold</w:t>
      </w:r>
      <w:r>
        <w:t xml:space="preserve"> </w:t>
      </w:r>
      <w:r>
        <w:t xml:space="preserve">of the mean plus two standard deviations. DUAL observes the contemporaneous</w:t>
      </w:r>
      <w:r>
        <w:t xml:space="preserve"> </w:t>
      </w:r>
      <w:r>
        <w:t xml:space="preserve">threshold state and is an information-rich comparator; DUALC activates the</w:t>
      </w:r>
      <w:r>
        <w:t xml:space="preserve"> </w:t>
      </w:r>
      <w:r>
        <w:t xml:space="preserve">same supplementary level from the previous period’s threshold signal.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LB:</w:t>
      </w:r>
      <w:r>
        <w:t xml:space="preserve"> </w:t>
      </w:r>
      <w:r>
        <w:t xml:space="preserve">The perfect-information lower-bound cost is</w:t>
      </w:r>
      <w:r>
        <w:t xml:space="preserve"> </w:t>
      </w:r>
      <m:oMath>
        <m:sSub>
          <m:e>
            <m:r>
              <m:t>C</m:t>
            </m:r>
          </m:e>
          <m:sub>
            <m:r>
              <m:rPr>
                <m:sty m:val="p"/>
              </m:rPr>
              <m:t>L</m:t>
            </m:r>
            <m:r>
              <m:rPr>
                <m:sty m:val="p"/>
              </m:rPr>
              <m:t>B</m:t>
            </m:r>
          </m:sub>
        </m:sSub>
        <m:r>
          <m:rPr>
            <m:sty m:val="p"/>
          </m:rPr>
          <m:t>=</m:t>
        </m:r>
        <m:r>
          <m:t>γ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]</m:t>
        </m:r>
      </m:oMath>
      <w:r>
        <w:t xml:space="preserve">, obtained by allowing a</w:t>
      </w:r>
      <w:r>
        <w:t xml:space="preserve"> </w:t>
      </w:r>
      <w:r>
        <w:t xml:space="preserve">period-specific proxy commitment</w:t>
      </w:r>
      <w:r>
        <w:t xml:space="preserve"> </w:t>
      </w:r>
      <m:oMath>
        <m:sSub>
          <m:e>
            <m:r>
              <m:t>Q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. Its units are USD/day proxy</w:t>
      </w:r>
      <w:r>
        <w:t xml:space="preserve"> </w:t>
      </w:r>
      <w:r>
        <w:t xml:space="preserve">units in the synthetic arm and on-demand-rate-normalized MHz-equivalent units</w:t>
      </w:r>
      <w:r>
        <w:t xml:space="preserve"> </w:t>
      </w:r>
      <w:r>
        <w:t xml:space="preserve">per hourly period in the real-trace arm. The bound is unattainable under</w:t>
      </w:r>
      <w:r>
        <w:t xml:space="preserve"> </w:t>
      </w:r>
      <w:r>
        <w:t xml:space="preserve">advance commitment because it uses each future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to choose</w:t>
      </w:r>
      <w:r>
        <w:t xml:space="preserve"> </w:t>
      </w:r>
      <m:oMath>
        <m:sSub>
          <m:e>
            <m:r>
              <m:t>Q</m:t>
            </m:r>
          </m:e>
          <m:sub>
            <m:r>
              <m:t>t</m:t>
            </m:r>
          </m:sub>
        </m:sSub>
      </m:oMath>
      <w:r>
        <w:t xml:space="preserve">.</w:t>
      </w:r>
    </w:p>
    <w:bookmarkEnd w:id="52"/>
    <w:bookmarkStart w:id="63" w:name="synthetic-and-real-trace-proxy-results"/>
    <w:p>
      <w:pPr>
        <w:pStyle w:val="Heading2"/>
      </w:pPr>
      <w:r>
        <w:rPr>
          <w:rStyle w:val="SectionNumber"/>
        </w:rPr>
        <w:t xml:space="preserve">8.3</w:t>
      </w:r>
      <w:r>
        <w:tab/>
      </w:r>
      <w:r>
        <w:t xml:space="preserve">Synthetic and Real-Trace Proxy Results</w:t>
      </w:r>
    </w:p>
    <w:p>
      <w:pPr>
        <w:pStyle w:val="FirstParagraph"/>
      </w:pPr>
      <w:r>
        <w:t xml:space="preserve">At the evaluated catalog-average ratio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0.63</m:t>
        </m:r>
      </m:oMath>
      <w:r>
        <w:t xml:space="preserve">, the</w:t>
      </w:r>
      <w:r>
        <w:t xml:space="preserve"> </w:t>
      </w:r>
      <w:r>
        <w:t xml:space="preserve">high-percentile counterfactual realizes</w:t>
      </w:r>
      <w:r>
        <w:t xml:space="preserve"> </w:t>
      </w:r>
      <w:r>
        <w:t xml:space="preserve">101.8% of on-demand cost on the synthetic USD/day proxy and</w:t>
      </w:r>
      <w:r>
        <w:t xml:space="preserve"> </w:t>
      </w:r>
      <w:r>
        <w:t xml:space="preserve">153.5% on the real-trace MHz proxy. The newsvendor fractile realizes</w:t>
      </w:r>
      <w:r>
        <w:t xml:space="preserve"> </w:t>
      </w:r>
      <w:r>
        <w:t xml:space="preserve">73.6% and 86.2%. This is the mapped-cost gap from counterfactually</w:t>
      </w:r>
      <w:r>
        <w:t xml:space="preserve"> </w:t>
      </w:r>
      <w:r>
        <w:t xml:space="preserve">reusing a high-headroom sizing rule as proxy commitment sizing under the</w:t>
      </w:r>
      <w:r>
        <w:t xml:space="preserve"> </w:t>
      </w:r>
      <w:r>
        <w:t xml:space="preserve">evaluated model. Table </w:t>
      </w:r>
      <w:hyperlink w:anchor="tab:policy-star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reports the complete policy</w:t>
      </w:r>
      <w:r>
        <w:t xml:space="preserve"> </w:t>
      </w:r>
      <w:r>
        <w:t xml:space="preserve">comparison at this ratio.</w:t>
      </w:r>
    </w:p>
    <w:bookmarkStart w:id="53" w:name="tab:policy-star"/>
    <w:p>
      <w:pPr>
        <w:pStyle w:val="TableCaption"/>
      </w:pPr>
      <w:r>
        <w:t xml:space="preserve">Held-out policy cost at the evaluated catalog-average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0.63</m:t>
        </m:r>
      </m:oMath>
      <w:r>
        <w:t xml:space="preserve">, as a percentage of on-demand-only cost. LOOK rows</w:t>
      </w:r>
      <w:r>
        <w:t xml:space="preserve"> </w:t>
      </w:r>
      <w:r>
        <w:t xml:space="preserve">are recency-window replay baselines; DUAL observes contemporaneous state; LB</w:t>
      </w:r>
      <w:r>
        <w:t xml:space="preserve"> </w:t>
      </w:r>
      <w:r>
        <w:t xml:space="preserve">is an unattainable perfect-information cost lower bound.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Held-out policy cost at the evaluated catalog-average \gamma=0.63, as a percentage of on-demand-only cost. LOOK rows are recency-window replay baselines; DUAL observes contemporaneous state; LB is an unattainable perfect-information cost lower bound.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  <w:jc w:val="left"/>
            </w:pPr>
            <w:r>
              <w:t xml:space="preserve">Policy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cost-proxy arm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proxy arm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On-demand only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P95 x 1.3 counterfactual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153.5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Newsvendor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LOOK7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LOOK30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LOOK60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Dual, observed state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Dual, lagged signal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Perfect-information bound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63.0</w:t>
            </w:r>
          </w:p>
        </w:tc>
      </w:tr>
    </w:tbl>
    <w:bookmarkEnd w:id="53"/>
    <w:p>
      <w:pPr>
        <w:pStyle w:val="BodyText"/>
      </w:pPr>
      <w:r>
        <w:t xml:space="preserve">To avoid comparing the price-aware policies only against the deliberately</w:t>
      </w:r>
      <w:r>
        <w:t xml:space="preserve"> </w:t>
      </w:r>
      <w:r>
        <w:t xml:space="preserve">conservative HEUR counterfactual, we include LOOK7, LOOK30, and LOOK60 as</w:t>
      </w:r>
      <w:r>
        <w:t xml:space="preserve"> </w:t>
      </w:r>
      <w:r>
        <w:t xml:space="preserve">paper-side recency-window replay baselines. They are not outputs of, or</w:t>
      </w:r>
      <w:r>
        <w:t xml:space="preserve"> </w:t>
      </w:r>
      <w:r>
        <w:t xml:space="preserve">evidence about, third-party recommendation systems. On the real trace at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0.63</m:t>
        </m:r>
      </m:oMath>
      <w:r>
        <w:t xml:space="preserve">, the 7-day replay realizes 91.2%,</w:t>
      </w:r>
      <w:r>
        <w:t xml:space="preserve"> </w:t>
      </w:r>
      <w:r>
        <w:t xml:space="preserve">the 30-day replay realizes 84.9%, and the 60-day replay</w:t>
      </w:r>
      <w:r>
        <w:t xml:space="preserve"> </w:t>
      </w:r>
      <w:r>
        <w:t xml:space="preserve">realizes 86.2% of on-demand cost. The LOOK60 row equals the</w:t>
      </w:r>
      <w:r>
        <w:t xml:space="preserve"> </w:t>
      </w:r>
      <w:r>
        <w:t xml:space="preserve">newsvendor row in the real-trace grid because the requested 60-day window</w:t>
      </w:r>
      <w:r>
        <w:t xml:space="preserve"> </w:t>
      </w:r>
      <w:r>
        <w:t xml:space="preserve">exceeds the available training split; the implementation falls back to the</w:t>
      </w:r>
      <w:r>
        <w:t xml:space="preserve"> </w:t>
      </w:r>
      <w:r>
        <w:t xml:space="preserve">full training set, making LOOK60 use the same empirical distribution as the</w:t>
      </w:r>
      <w:r>
        <w:t xml:space="preserve"> </w:t>
      </w:r>
      <w:r>
        <w:t xml:space="preserve">newsvendor policy.</w:t>
      </w:r>
    </w:p>
    <w:p>
      <w:pPr>
        <w:pStyle w:val="BodyText"/>
      </w:pPr>
      <w:r>
        <w:t xml:space="preserve">The dual-capacity rows are close to NV on the synthetic daily series and have</w:t>
      </w:r>
      <w:r>
        <w:t xml:space="preserve"> </w:t>
      </w:r>
      <w:r>
        <w:t xml:space="preserve">lower mapped cost than NV on the real trace under the evaluated simplified</w:t>
      </w:r>
      <w:r>
        <w:t xml:space="preserve"> </w:t>
      </w:r>
      <w:r>
        <w:t xml:space="preserve">model and price ratios. This observational comparison does not establish why</w:t>
      </w:r>
      <w:r>
        <w:t xml:space="preserve"> </w:t>
      </w:r>
      <w:r>
        <w:t xml:space="preserve">the difference occurs. The simulation remains an aggregate model, not a full</w:t>
      </w:r>
      <w:r>
        <w:t xml:space="preserve"> </w:t>
      </w:r>
      <w:r>
        <w:t xml:space="preserve">dynamic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contract implementation.</w:t>
      </w:r>
    </w:p>
    <w:p>
      <w:pPr>
        <w:pStyle w:val="BodyText"/>
      </w:pPr>
      <w:r>
        <w:t xml:space="preserve">The split-sensitivity replay shows how the mapped-cost ordering varies across</w:t>
      </w:r>
      <w:r>
        <w:t xml:space="preserve"> </w:t>
      </w:r>
      <w:r>
        <w:t xml:space="preserve">alternative chronological splits. Across 50/60/70% training fractions,</w:t>
      </w:r>
      <w:r>
        <w:t xml:space="preserve"> </w:t>
      </w:r>
      <w:r>
        <w:t xml:space="preserve">newsvendor</w:t>
      </w:r>
      <w:r>
        <w:t xml:space="preserve"> </w:t>
      </w:r>
      <w:r>
        <w:t xml:space="preserve">saves 26.1–26.4% on the synthetic series and</w:t>
      </w:r>
      <w:r>
        <w:t xml:space="preserve"> </w:t>
      </w:r>
      <w:r>
        <w:t xml:space="preserve">12.5–16.0% on the real series. The corresponding</w:t>
      </w:r>
      <w:r>
        <w:t xml:space="preserve"> </w:t>
      </w:r>
      <w:r>
        <w:t xml:space="preserve">HEUR-minus-NV gaps are 22.6–28.2 and</w:t>
      </w:r>
      <w:r>
        <w:t xml:space="preserve"> </w:t>
      </w:r>
      <w:r>
        <w:t xml:space="preserve">45.8–116.4 on-demand-cost percentage points. These are</w:t>
      </w:r>
      <w:r>
        <w:t xml:space="preserve"> </w:t>
      </w:r>
      <w:r>
        <w:t xml:space="preserve">deterministic alternative splits, not confidence intervals.</w:t>
      </w:r>
    </w:p>
    <w:p>
      <w:pPr>
        <w:pStyle w:val="BodyText"/>
      </w:pPr>
      <w:r>
        <w:t xml:space="preserve">Figure </w:t>
      </w:r>
      <w:hyperlink w:anchor="fig:policy-curves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shows both proxy-arm policy curves</w:t>
      </w:r>
      <w:r>
        <w:t xml:space="preserve"> </w:t>
      </w:r>
      <w:r>
        <w:t xml:space="preserve">across the full price-ratio sweep. Tables </w:t>
      </w:r>
      <w:hyperlink w:anchor="tab:policy-synth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and </w:t>
      </w:r>
      <w:hyperlink w:anchor="tab:policy-real">
        <w:r>
          <w:rPr>
            <w:rStyle w:val="Hyperlink"/>
          </w:rPr>
          <w:t xml:space="preserve">6</w:t>
        </w:r>
      </w:hyperlink>
      <w:r>
        <w:t xml:space="preserve"> </w:t>
      </w:r>
      <w:r>
        <w:t xml:space="preserve">give the exact grid at four representative ratios.</w:t>
      </w:r>
    </w:p>
    <w:bookmarkStart w:id="54" w:name="tab:policy-synth"/>
    <w:p>
      <w:pPr>
        <w:pStyle w:val="TableCaption"/>
      </w:pPr>
      <w:r>
        <w:t xml:space="preserve">Study III synthetic daily cost-proxy results as % of the</w:t>
      </w:r>
      <w:r>
        <w:t xml:space="preserve"> </w:t>
      </w:r>
      <w:r>
        <w:t xml:space="preserve">on-demand-only baseline across the price-ratio grid. LOOK rows are paper-side</w:t>
      </w:r>
      <w:r>
        <w:t xml:space="preserve"> </w:t>
      </w:r>
      <w:r>
        <w:t xml:space="preserve">recency-window baselines.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tudy III synthetic daily cost-proxy results as % of the on-demand-only baseline across the price-ratio grid. LOOK rows are paper-side recency-window baselines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Policy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γ</m:t>
              </m:r>
              <m:r>
                <m:rPr>
                  <m:sty m:val="p"/>
                </m:rPr>
                <m:t>=</m:t>
              </m:r>
              <m:r>
                <m:t>0.60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γ</m:t>
              </m:r>
              <m:r>
                <m:rPr>
                  <m:sty m:val="p"/>
                </m:rPr>
                <m:t>=</m:t>
              </m:r>
              <m:r>
                <m:t>0.70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γ</m:t>
              </m:r>
              <m:r>
                <m:rPr>
                  <m:sty m:val="p"/>
                </m:rPr>
                <m:t>=</m:t>
              </m:r>
              <m:r>
                <m:t>0.80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γ</m:t>
              </m:r>
              <m:r>
                <m:rPr>
                  <m:sty m:val="p"/>
                </m:rPr>
                <m:t>=</m:t>
              </m:r>
              <m:r>
                <m:t>0.90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P95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1.3 counterfactual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144.9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newsvendor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t>γ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70.8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SAA stochastic program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7-day recency-window replay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30-day recency-window replay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70.5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79.7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87.4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94.3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60-day recency-window replay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dual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obs. state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dual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lagged signal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perfect-information bound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90.0</w:t>
            </w:r>
          </w:p>
        </w:tc>
      </w:tr>
    </w:tbl>
    <w:bookmarkEnd w:id="54"/>
    <w:p/>
    <w:bookmarkStart w:id="55" w:name="tab:policy-real"/>
    <w:p>
      <w:pPr>
        <w:pStyle w:val="TableCaption"/>
      </w:pPr>
      <w:r>
        <w:t xml:space="preserve">Study III real-trace hourly CPU-demand-proxy results as % of the</w:t>
      </w:r>
      <w:r>
        <w:t xml:space="preserve"> </w:t>
      </w:r>
      <w:r>
        <w:t xml:space="preserve">on-demand-only baseline across the price-ratio grid. LOOK60 degenerates to NV</w:t>
      </w:r>
      <w:r>
        <w:t xml:space="preserve"> </w:t>
      </w:r>
      <w:r>
        <w:t xml:space="preserve">because it uses the full training prefix.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tudy III real-trace hourly CPU-demand-proxy results as % of the on-demand-only baseline across the price-ratio grid. LOOK60 degenerates to NV because it uses the full training prefix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Policy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γ</m:t>
              </m:r>
              <m:r>
                <m:rPr>
                  <m:sty m:val="p"/>
                </m:rPr>
                <m:t>=</m:t>
              </m:r>
              <m:r>
                <m:t>0.60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γ</m:t>
              </m:r>
              <m:r>
                <m:rPr>
                  <m:sty m:val="p"/>
                </m:rPr>
                <m:t>=</m:t>
              </m:r>
              <m:r>
                <m:t>0.70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γ</m:t>
              </m:r>
              <m:r>
                <m:rPr>
                  <m:sty m:val="p"/>
                </m:rPr>
                <m:t>=</m:t>
              </m:r>
              <m:r>
                <m:t>0.80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γ</m:t>
              </m:r>
              <m:r>
                <m:rPr>
                  <m:sty m:val="p"/>
                </m:rPr>
                <m:t>=</m:t>
              </m:r>
              <m:r>
                <m:t>0.90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P95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1.3 counterfactual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146.2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219.3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newsvendor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t>γ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84.4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SAA stochastic program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7-day recency-window replay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103.6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30-day recency-window replay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60-day recency-window replay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dual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obs. state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dual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lagged signal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75.8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83.1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89.6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95.3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perfect-information bound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90.0</w:t>
            </w:r>
          </w:p>
        </w:tc>
      </w:tr>
    </w:tbl>
    <w:bookmarkEnd w:id="55"/>
    <w:bookmarkStart w:id="62" w:name="fig:policy-curves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3960"/>
        <w:gridCol w:w="3960"/>
      </w:tblGrid>
      <w:tr>
        <w:tc>
          <w:tcPr/>
          <w:p>
            <w:pPr>
              <w:jc w:val="center"/>
            </w:pPr>
            <w:r>
              <w:drawing>
                <wp:inline>
                  <wp:extent cx="2667000" cy="1849693"/>
                  <wp:effectExtent b="0" l="0" r="0" t="0"/>
                  <wp:docPr descr="image" title="" id="57" name="Picture"/>
                  <a:graphic>
                    <a:graphicData uri="http://schemas.openxmlformats.org/drawingml/2006/picture">
                      <pic:pic>
                        <pic:nvPicPr>
                          <pic:cNvPr descr="fig_policy_gamma.pdf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8496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b/>
                <w:bCs/>
              </w:rPr>
              <w:t xml:space="preserve">(a)</w:t>
            </w:r>
            <w:r>
              <w:t xml:space="preserve"> </w:t>
            </w:r>
            <w:r>
              <w:t xml:space="preserve">Synthetic daily account-cost proxy (USD/day).</w:t>
            </w:r>
          </w:p>
        </w:tc>
        <w:tc>
          <w:tcPr/>
          <w:p>
            <w:pPr>
              <w:jc w:val="center"/>
            </w:pPr>
            <w:r>
              <w:drawing>
                <wp:inline>
                  <wp:extent cx="2667000" cy="1849693"/>
                  <wp:effectExtent b="0" l="0" r="0" t="0"/>
                  <wp:docPr descr="image" title="" id="60" name="Picture"/>
                  <a:graphic>
                    <a:graphicData uri="http://schemas.openxmlformats.org/drawingml/2006/picture">
                      <pic:pic>
                        <pic:nvPicPr>
                          <pic:cNvPr descr="fig_policy_gamma_ext.pdf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8496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b/>
                <w:bCs/>
              </w:rPr>
              <w:t xml:space="preserve">(b)</w:t>
            </w:r>
            <w:r>
              <w:t xml:space="preserve"> </w:t>
            </w:r>
            <w:r>
              <w:t xml:space="preserve">Real-trace hourly aggregate CPU demand (MHz).</w:t>
            </w:r>
          </w:p>
        </w:tc>
      </w:tr>
    </w:tbl>
    <w:p>
      <w:pPr>
        <w:pStyle w:val="ImageCaption"/>
      </w:pPr>
      <w:r>
        <w:t xml:space="preserve">Study III held-out mapped cost as a percentage of each arm’s</w:t>
      </w:r>
      <w:r>
        <w:t xml:space="preserve"> </w:t>
      </w:r>
      <w:r>
        <w:t xml:space="preserve">on-demand-only baseline across the price-ratio sweep. At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0.63</m:t>
        </m:r>
      </m:oMath>
      <w:r>
        <w:t xml:space="preserve">, the P95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1.3 counterfactual exceeds the</w:t>
      </w:r>
      <w:r>
        <w:t xml:space="preserve"> </w:t>
      </w:r>
      <w:r>
        <w:t xml:space="preserve">synthetic baseline and has higher mapped cost than the reported price-aware</w:t>
      </w:r>
      <w:r>
        <w:t xml:space="preserve"> </w:t>
      </w:r>
      <w:r>
        <w:t xml:space="preserve">policies on both proxy arms. Panel (b)’s dual-level variants have lower mapped</w:t>
      </w:r>
      <w:r>
        <w:t xml:space="preserve"> </w:t>
      </w:r>
      <w:r>
        <w:t xml:space="preserve">cost than NV on this trace under the simplified model. These curves are not</w:t>
      </w:r>
      <w:r>
        <w:t xml:space="preserve"> </w:t>
      </w:r>
      <w:r>
        <w:t xml:space="preserve">provider-billing or physical-allocation simulations.</w:t>
      </w:r>
    </w:p>
    <w:bookmarkEnd w:id="62"/>
    <w:bookmarkEnd w:id="63"/>
    <w:bookmarkEnd w:id="64"/>
    <w:bookmarkStart w:id="68" w:name="discussion"/>
    <w:p>
      <w:pPr>
        <w:pStyle w:val="Heading1"/>
      </w:pPr>
      <w:r>
        <w:rPr>
          <w:rStyle w:val="SectionNumber"/>
        </w:rPr>
        <w:t xml:space="preserve">9</w:t>
      </w:r>
      <w:r>
        <w:tab/>
      </w:r>
      <w:r>
        <w:t xml:space="preserve">Discussion</w:t>
      </w:r>
    </w:p>
    <w:bookmarkStart w:id="65" w:name="what-the-evidence-supports"/>
    <w:p>
      <w:pPr>
        <w:pStyle w:val="Heading2"/>
      </w:pPr>
      <w:r>
        <w:rPr>
          <w:rStyle w:val="SectionNumber"/>
        </w:rPr>
        <w:t xml:space="preserve">9.1</w:t>
      </w:r>
      <w:r>
        <w:tab/>
      </w:r>
      <w:r>
        <w:t xml:space="preserve">What the Evidence Supports</w:t>
      </w:r>
    </w:p>
    <w:p>
      <w:pPr>
        <w:pStyle w:val="FirstParagraph"/>
      </w:pPr>
      <w:r>
        <w:t xml:space="preserve">The evaluated evidence supports three scoped observations. First, the</w:t>
      </w:r>
      <w:r>
        <w:t xml:space="preserve"> </w:t>
      </w:r>
      <w:r>
        <w:t xml:space="preserve">implemented system operationalizes a percentile-and-headroom rule through MILP</w:t>
      </w:r>
      <w:r>
        <w:t xml:space="preserve"> </w:t>
      </w:r>
      <w:r>
        <w:t xml:space="preserve">right-sizing and transparent service rules, subject to price-basis and</w:t>
      </w:r>
      <w:r>
        <w:t xml:space="preserve"> </w:t>
      </w:r>
      <w:r>
        <w:t xml:space="preserve">candidate-catalog feasibility. Second, the documented artifact reruns report</w:t>
      </w:r>
      <w:r>
        <w:t xml:space="preserve"> </w:t>
      </w:r>
      <w:r>
        <w:t xml:space="preserve">results from the synthetic database, restored public GWA traces, and a</w:t>
      </w:r>
      <w:r>
        <w:t xml:space="preserve"> </w:t>
      </w:r>
      <w:r>
        <w:t xml:space="preserve">snapshot-dated price catalog. Third, a paper-side simulation that reuses</w:t>
      </w:r>
      <w:r>
        <w:t xml:space="preserve"> </w:t>
      </w:r>
      <w:r>
        <w:t xml:space="preserve">inherited reservation logic reports different mapped costs for the</w:t>
      </w:r>
      <w:r>
        <w:t xml:space="preserve"> </w:t>
      </w:r>
      <w:r>
        <w:t xml:space="preserve">high-headroom counterfactual and price-aware policies on two explicitly</w:t>
      </w:r>
      <w:r>
        <w:t xml:space="preserve"> </w:t>
      </w:r>
      <w:r>
        <w:t xml:space="preserve">labeled proxy series.</w:t>
      </w:r>
    </w:p>
    <w:p>
      <w:pPr>
        <w:pStyle w:val="BodyText"/>
      </w:pPr>
      <w:r>
        <w:t xml:space="preserve">The central empirical evidence is the combination of restored GWA</w:t>
      </w:r>
      <w:r>
        <w:t xml:space="preserve"> </w:t>
      </w:r>
      <w:r>
        <w:t xml:space="preserve">right-sizing with confidence intervals and the held-out reservation-policy</w:t>
      </w:r>
      <w:r>
        <w:t xml:space="preserve"> </w:t>
      </w:r>
      <w:r>
        <w:t xml:space="preserve">simulation, rather than the synthetic aggregate alone. Study I records</w:t>
      </w:r>
      <w:r>
        <w:t xml:space="preserve"> </w:t>
      </w:r>
      <w:r>
        <w:t xml:space="preserve">price-basis and catalog-completeness issues in a controlled repository</w:t>
      </w:r>
      <w:r>
        <w:t xml:space="preserve"> </w:t>
      </w:r>
      <w:r>
        <w:t xml:space="preserve">account. On the restored GWA traces, the same right-sizing rule produced the</w:t>
      </w:r>
      <w:r>
        <w:t xml:space="preserve"> </w:t>
      </w:r>
      <w:r>
        <w:t xml:space="preserve">reported mapped-cost reductions relative to lift-and-shift under the evaluated</w:t>
      </w:r>
      <w:r>
        <w:t xml:space="preserve"> </w:t>
      </w:r>
      <w:r>
        <w:t xml:space="preserve">catalog and mapping. Study III reports dimensionless within-arm cost ratios</w:t>
      </w:r>
      <w:r>
        <w:t xml:space="preserve"> </w:t>
      </w:r>
      <w:r>
        <w:t xml:space="preserve">under the synthetic USD/day cost proxy, the real-trace MHz demand proxy, the</w:t>
      </w:r>
      <w:r>
        <w:t xml:space="preserve"> </w:t>
      </w:r>
      <w:r>
        <w:t xml:space="preserve">static objective, and the evaluated price ratios. It does not convert either</w:t>
      </w:r>
      <w:r>
        <w:t xml:space="preserve"> </w:t>
      </w:r>
      <w:r>
        <w:t xml:space="preserve">arm into provider-billing or deployed-allocation evidence.</w:t>
      </w:r>
    </w:p>
    <w:bookmarkEnd w:id="65"/>
    <w:bookmarkStart w:id="66" w:name="what-should-not-be-oversold"/>
    <w:p>
      <w:pPr>
        <w:pStyle w:val="Heading2"/>
      </w:pPr>
      <w:r>
        <w:rPr>
          <w:rStyle w:val="SectionNumber"/>
        </w:rPr>
        <w:t xml:space="preserve">9.2</w:t>
      </w:r>
      <w:r>
        <w:tab/>
      </w:r>
      <w:r>
        <w:t xml:space="preserve">What Should Not Be Oversold</w:t>
      </w:r>
    </w:p>
    <w:p>
      <w:pPr>
        <w:pStyle w:val="FirstParagraph"/>
      </w:pPr>
      <w:r>
        <w:t xml:space="preserve">The deployed system does not implement the full dynamic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policy of</w:t>
      </w:r>
      <w:r>
        <w:t xml:space="preserve"> </w:t>
      </w:r>
      <w:r>
        <w:t xml:space="preserve">Chen et al. </w:t>
      </w:r>
      <w:r>
        <w:t xml:space="preserve">(Chen et al. 2024)</w:t>
      </w:r>
      <w:r>
        <w:t xml:space="preserve">. It implements static high-percentile</w:t>
      </w:r>
      <w:r>
        <w:t xml:space="preserve"> </w:t>
      </w:r>
      <w:r>
        <w:t xml:space="preserve">right-sizing and always-on reserved-pricing checks. The newsvendor, SAA,</w:t>
      </w:r>
      <w:r>
        <w:t xml:space="preserve"> </w:t>
      </w:r>
      <w:r>
        <w:t xml:space="preserve">dual-level, and recency-window results reuse inherited policy structure in</w:t>
      </w:r>
      <w:r>
        <w:t xml:space="preserve"> </w:t>
      </w:r>
      <w:r>
        <w:t xml:space="preserve">paper-side simulations; they are not a theoretical extension. The LLM advisor</w:t>
      </w:r>
      <w:r>
        <w:t xml:space="preserve"> </w:t>
      </w:r>
      <w:r>
        <w:t xml:space="preserve">is not evaluated for savings. The external baselines are mathematical or</w:t>
      </w:r>
      <w:r>
        <w:t xml:space="preserve"> </w:t>
      </w:r>
      <w:r>
        <w:t xml:space="preserve">replay baselines, not direct runs of AWS, Azure, or third-party recommenders.</w:t>
      </w:r>
      <w:r>
        <w:t xml:space="preserve"> </w:t>
      </w:r>
      <w:r>
        <w:t xml:space="preserve">The EC2 catalog comparison uses a documented 28-type snapshot, not an all-SKU</w:t>
      </w:r>
      <w:r>
        <w:t xml:space="preserve"> </w:t>
      </w:r>
      <w:r>
        <w:t xml:space="preserve">AWS catalog.</w:t>
      </w:r>
    </w:p>
    <w:p>
      <w:pPr>
        <w:pStyle w:val="BodyText"/>
      </w:pPr>
      <w:r>
        <w:t xml:space="preserve">The prior Azure aggregate remains a boundary case under recorded preprocessing</w:t>
      </w:r>
      <w:r>
        <w:t xml:space="preserve"> </w:t>
      </w:r>
      <w:r>
        <w:t xml:space="preserve">and metric-semantics assumptions. Without the restored raw input or targeted</w:t>
      </w:r>
      <w:r>
        <w:t xml:space="preserve"> </w:t>
      </w:r>
      <w:r>
        <w:t xml:space="preserve">ablations, it does not identify the cause of the mapped-cost reversal.</w:t>
      </w:r>
    </w:p>
    <w:p>
      <w:pPr>
        <w:pStyle w:val="BodyText"/>
      </w:pPr>
      <w:r>
        <w:t xml:space="preserve">The higher-savings rows in Study II should also not be overread. They may be</w:t>
      </w:r>
      <w:r>
        <w:t xml:space="preserve"> </w:t>
      </w:r>
      <w:r>
        <w:t xml:space="preserve">lower-cost under the mapping, but the repository does not measure latency,</w:t>
      </w:r>
      <w:r>
        <w:t xml:space="preserve"> </w:t>
      </w:r>
      <w:r>
        <w:t xml:space="preserve">errors, throughput, availability, or SLO outcomes after right-sizing. The</w:t>
      </w:r>
      <w:r>
        <w:t xml:space="preserve"> </w:t>
      </w:r>
      <w:r>
        <w:t xml:space="preserve">paper can therefore discuss a mapped-cost/candidate-capacity tradeoff, but it</w:t>
      </w:r>
      <w:r>
        <w:t xml:space="preserve"> </w:t>
      </w:r>
      <w:r>
        <w:t xml:space="preserve">cannot claim that any row is operationally safe.</w:t>
      </w:r>
    </w:p>
    <w:bookmarkEnd w:id="66"/>
    <w:bookmarkStart w:id="67" w:name="implications-for-practice"/>
    <w:p>
      <w:pPr>
        <w:pStyle w:val="Heading2"/>
      </w:pPr>
      <w:r>
        <w:rPr>
          <w:rStyle w:val="SectionNumber"/>
        </w:rPr>
        <w:t xml:space="preserve">9.3</w:t>
      </w:r>
      <w:r>
        <w:tab/>
      </w:r>
      <w:r>
        <w:t xml:space="preserve">Implications for Practice</w:t>
      </w:r>
    </w:p>
    <w:p>
      <w:pPr>
        <w:pStyle w:val="FirstParagraph"/>
      </w:pPr>
      <w:r>
        <w:t xml:space="preserve">The practical implication is to separate the modeled decisions and their</w:t>
      </w:r>
      <w:r>
        <w:t xml:space="preserve"> </w:t>
      </w:r>
      <w:r>
        <w:t xml:space="preserve">evidence. The implemented P95 x 1.3 rule adds capacity headroom and selects</w:t>
      </w:r>
      <w:r>
        <w:t xml:space="preserve"> </w:t>
      </w:r>
      <w:r>
        <w:t xml:space="preserve">larger candidate sizes under the right-sizing mapping; the study does not</w:t>
      </w:r>
      <w:r>
        <w:t xml:space="preserve"> </w:t>
      </w:r>
      <w:r>
        <w:t xml:space="preserve">establish whether that headroom improves latency, errors, throughput,</w:t>
      </w:r>
      <w:r>
        <w:t xml:space="preserve"> </w:t>
      </w:r>
      <w:r>
        <w:t xml:space="preserve">availability, or SLO attainment. The paper-side reservation simulation</w:t>
      </w:r>
      <w:r>
        <w:t xml:space="preserve"> </w:t>
      </w:r>
      <w:r>
        <w:t xml:space="preserve">separately accounts for the price ratio and proxy-series distribution. Under</w:t>
      </w:r>
      <w:r>
        <w:t xml:space="preserve"> </w:t>
      </w:r>
      <w:r>
        <w:t xml:space="preserve">the evaluated series and price ratios, counterfactually reusing P95 x 1.3</w:t>
      </w:r>
      <w:r>
        <w:t xml:space="preserve"> </w:t>
      </w:r>
      <w:r>
        <w:t xml:space="preserve">produced higher mapped cost than the reported price-aware alternatives. That</w:t>
      </w:r>
      <w:r>
        <w:t xml:space="preserve"> </w:t>
      </w:r>
      <w:r>
        <w:t xml:space="preserve">comparison remains a simulation result, not implemented provider behavior.</w:t>
      </w:r>
    </w:p>
    <w:bookmarkEnd w:id="67"/>
    <w:bookmarkEnd w:id="68"/>
    <w:bookmarkStart w:id="69" w:name="threats-to-validity"/>
    <w:p>
      <w:pPr>
        <w:pStyle w:val="Heading1"/>
      </w:pPr>
      <w:r>
        <w:rPr>
          <w:rStyle w:val="SectionNumber"/>
        </w:rPr>
        <w:t xml:space="preserve">10</w:t>
      </w:r>
      <w:r>
        <w:tab/>
      </w:r>
      <w:r>
        <w:t xml:space="preserve">Threats to Validity</w:t>
      </w:r>
    </w:p>
    <w:p>
      <w:pPr>
        <w:pStyle w:val="FirstParagraph"/>
      </w:pPr>
      <w:r>
        <w:rPr>
          <w:b/>
          <w:bCs/>
        </w:rPr>
        <w:t xml:space="preserve">Synthetic data and demo pricing.</w:t>
      </w:r>
      <w:r>
        <w:t xml:space="preserve"> </w:t>
      </w:r>
      <w:r>
        <w:t xml:space="preserve">Study I uses the repository’s</w:t>
      </w:r>
      <w:r>
        <w:t xml:space="preserve"> </w:t>
      </w:r>
      <w:r>
        <w:t xml:space="preserve">synthetic AWS account. Its dollar values are method-illustrative and should</w:t>
      </w:r>
      <w:r>
        <w:t xml:space="preserve"> </w:t>
      </w:r>
      <w:r>
        <w:t xml:space="preserve">not be presented as production savings. The aggregate P95 x 1.3 compute-scope</w:t>
      </w:r>
      <w:r>
        <w:t xml:space="preserve"> </w:t>
      </w:r>
      <w:r>
        <w:t xml:space="preserve">change is dominated by demo-priced RDS while EC2 increases on the shared</w:t>
      </w:r>
      <w:r>
        <w:t xml:space="preserve"> </w:t>
      </w:r>
      <w:r>
        <w:t xml:space="preserve">snapshot on-demand basis.</w:t>
      </w:r>
    </w:p>
    <w:p>
      <w:pPr>
        <w:pStyle w:val="BodyText"/>
      </w:pPr>
      <w:r>
        <w:rPr>
          <w:b/>
          <w:bCs/>
        </w:rPr>
        <w:t xml:space="preserve">Price basis and catalog scope.</w:t>
      </w:r>
      <w:r>
        <w:t xml:space="preserve"> </w:t>
      </w:r>
      <w:r>
        <w:t xml:space="preserve">EC2 right-sizing rows use a</w:t>
      </w:r>
      <w:r>
        <w:t xml:space="preserve"> </w:t>
      </w:r>
      <w:r>
        <w:t xml:space="preserve">snapshot-dated 28-type catalog, not an all-SKU AWS catalog and not live AWS</w:t>
      </w:r>
      <w:r>
        <w:t xml:space="preserve"> </w:t>
      </w:r>
      <w:r>
        <w:t xml:space="preserve">Compute Optimizer output. RDS remains on the committed demo database basis.</w:t>
      </w:r>
      <w:r>
        <w:t xml:space="preserve"> </w:t>
      </w:r>
      <w:r>
        <w:t xml:space="preserve">Reserved-instance effects are separated from right-sizing.</w:t>
      </w:r>
    </w:p>
    <w:p>
      <w:pPr>
        <w:pStyle w:val="BodyText"/>
      </w:pPr>
      <w:r>
        <w:rPr>
          <w:b/>
          <w:bCs/>
        </w:rPr>
        <w:t xml:space="preserve">Trace age and provider mapping.</w:t>
      </w:r>
      <w:r>
        <w:t xml:space="preserve"> </w:t>
      </w:r>
      <w:r>
        <w:t xml:space="preserve">Bitbrains and Materna are older</w:t>
      </w:r>
      <w:r>
        <w:t xml:space="preserve"> </w:t>
      </w:r>
      <w:r>
        <w:t xml:space="preserve">managed-hosting traces. They are mapped to a 2026 AWS catalog, so percentages</w:t>
      </w:r>
      <w:r>
        <w:t xml:space="preserve"> </w:t>
      </w:r>
      <w:r>
        <w:t xml:space="preserve">are more defensible than absolute dollar values.</w:t>
      </w:r>
    </w:p>
    <w:p>
      <w:pPr>
        <w:pStyle w:val="BodyText"/>
      </w:pPr>
      <w:r>
        <w:rPr>
          <w:b/>
          <w:bCs/>
        </w:rPr>
        <w:t xml:space="preserve">Azure raw-input gap.</w:t>
      </w:r>
      <w:r>
        <w:t xml:space="preserve"> </w:t>
      </w:r>
      <w:r>
        <w:t xml:space="preserve">The Azure result remains a generated boundary</w:t>
      </w:r>
      <w:r>
        <w:t xml:space="preserve"> </w:t>
      </w:r>
      <w:r>
        <w:t xml:space="preserve">condition because raw</w:t>
      </w:r>
      <w:r>
        <w:t xml:space="preserve"> </w:t>
      </w:r>
      <w:r>
        <w:rPr>
          <w:rStyle w:val="VerbatimChar"/>
        </w:rPr>
        <w:t xml:space="preserve">vmtable.csv.gz</w:t>
      </w:r>
      <w:r>
        <w:t xml:space="preserve"> </w:t>
      </w:r>
      <w:r>
        <w:t xml:space="preserve">was absent. It needs</w:t>
      </w:r>
      <w:r>
        <w:t xml:space="preserve"> </w:t>
      </w:r>
      <w:r>
        <w:t xml:space="preserve">restoration, checksum verification, rerun, confidence intervals, and runtime</w:t>
      </w:r>
      <w:r>
        <w:t xml:space="preserve"> </w:t>
      </w:r>
      <w:r>
        <w:t xml:space="preserve">recording before it can carry the same evidentiary weight as the GWA study.</w:t>
      </w:r>
    </w:p>
    <w:p>
      <w:pPr>
        <w:pStyle w:val="BodyText"/>
      </w:pPr>
      <w:r>
        <w:rPr>
          <w:b/>
          <w:bCs/>
        </w:rPr>
        <w:t xml:space="preserve">Azure preprocessing and metric semantics.</w:t>
      </w:r>
      <w:r>
        <w:t xml:space="preserve"> </w:t>
      </w:r>
      <w:r>
        <w:t xml:space="preserve">Under the recorded</w:t>
      </w:r>
      <w:r>
        <w:t xml:space="preserve"> </w:t>
      </w:r>
      <w:r>
        <w:t xml:space="preserve">assumptions, the Azure mapped result is a boundary case. Because the raw input</w:t>
      </w:r>
      <w:r>
        <w:t xml:space="preserve"> </w:t>
      </w:r>
      <w:r>
        <w:t xml:space="preserve">was not restored and the assumptions were not independently ablated, the</w:t>
      </w:r>
      <w:r>
        <w:t xml:space="preserve"> </w:t>
      </w:r>
      <w:r>
        <w:t xml:space="preserve">study cannot attribute the reversal to max-based CPU semantics, unavailable</w:t>
      </w:r>
      <w:r>
        <w:t xml:space="preserve"> </w:t>
      </w:r>
      <w:r>
        <w:t xml:space="preserve">memory utilization, or any specific preprocessing choice.</w:t>
      </w:r>
    </w:p>
    <w:p>
      <w:pPr>
        <w:pStyle w:val="BodyText"/>
      </w:pPr>
      <w:r>
        <w:rPr>
          <w:b/>
          <w:bCs/>
        </w:rPr>
        <w:t xml:space="preserve">Policy abstraction and empirical units.</w:t>
      </w:r>
      <w:r>
        <w:t xml:space="preserve"> </w:t>
      </w:r>
      <w:r>
        <w:t xml:space="preserve">Study III uses a daily</w:t>
      </w:r>
      <w:r>
        <w:t xml:space="preserve"> </w:t>
      </w:r>
      <w:r>
        <w:t xml:space="preserve">account-cost proxy in USD/day for the synthetic arm and hourly aggregate CPU</w:t>
      </w:r>
      <w:r>
        <w:t xml:space="preserve"> </w:t>
      </w:r>
      <w:r>
        <w:t xml:space="preserve">demand in MHz for the real-trace arm. Its within-arm percentages are</w:t>
      </w:r>
      <w:r>
        <w:t xml:space="preserve"> </w:t>
      </w:r>
      <w:r>
        <w:t xml:space="preserve">dimensionless, but its absolute proxy commitments are not comparable across</w:t>
      </w:r>
      <w:r>
        <w:t xml:space="preserve"> </w:t>
      </w:r>
      <w:r>
        <w:t xml:space="preserve">arms. The simulation does not model provider billing, physical allocation,</w:t>
      </w:r>
      <w:r>
        <w:t xml:space="preserve"> </w:t>
      </w:r>
      <w:r>
        <w:t xml:space="preserve">all real contract terms, partial upfront payments, cancellation, resale,</w:t>
      </w:r>
      <w:r>
        <w:t xml:space="preserve"> </w:t>
      </w:r>
      <w:r>
        <w:t xml:space="preserve">family constraints, regional capacity, Savings Plans, or fragmentation.</w:t>
      </w:r>
    </w:p>
    <w:p>
      <w:pPr>
        <w:pStyle w:val="BodyText"/>
      </w:pPr>
      <w:r>
        <w:rPr>
          <w:b/>
          <w:bCs/>
        </w:rPr>
        <w:t xml:space="preserve">Policy uncertainty.</w:t>
      </w:r>
      <w:r>
        <w:t xml:space="preserve"> </w:t>
      </w:r>
      <w:r>
        <w:t xml:space="preserve">Study III is deterministic for each</w:t>
      </w:r>
      <w:r>
        <w:t xml:space="preserve"> </w:t>
      </w:r>
      <w:r>
        <w:t xml:space="preserve">chronological split and reports split sensitivity, but it does not provide</w:t>
      </w:r>
      <w:r>
        <w:t xml:space="preserve"> </w:t>
      </w:r>
      <w:r>
        <w:t xml:space="preserve">confidence intervals for policy-cost ratios. The dual-state results also</w:t>
      </w:r>
      <w:r>
        <w:t xml:space="preserve"> </w:t>
      </w:r>
      <w:r>
        <w:t xml:space="preserve">depend on a mean-plus-two-standard-deviations surge threshold and should be</w:t>
      </w:r>
      <w:r>
        <w:t xml:space="preserve"> </w:t>
      </w:r>
      <w:r>
        <w:t xml:space="preserve">read as model sensitivity rather than a production guarantee.</w:t>
      </w:r>
    </w:p>
    <w:p>
      <w:pPr>
        <w:pStyle w:val="BodyText"/>
      </w:pPr>
      <w:r>
        <w:rPr>
          <w:b/>
          <w:bCs/>
        </w:rPr>
        <w:t xml:space="preserve">No direct third-party baseline.</w:t>
      </w:r>
      <w:r>
        <w:t xml:space="preserve"> </w:t>
      </w:r>
      <w:r>
        <w:t xml:space="preserve">The usage-hour RI replay and</w:t>
      </w:r>
      <w:r>
        <w:t xml:space="preserve"> </w:t>
      </w:r>
      <w:r>
        <w:t xml:space="preserve">recency-window rows are paper-side baselines only. The repository contains no</w:t>
      </w:r>
      <w:r>
        <w:t xml:space="preserve"> </w:t>
      </w:r>
      <w:r>
        <w:t xml:space="preserve">direct AWS, Azure, or third-party recommender output on the same workload.</w:t>
      </w:r>
    </w:p>
    <w:p>
      <w:pPr>
        <w:pStyle w:val="BodyText"/>
      </w:pPr>
      <w:r>
        <w:rPr>
          <w:b/>
          <w:bCs/>
        </w:rPr>
        <w:t xml:space="preserve">No SLO or performance-risk validation.</w:t>
      </w:r>
      <w:r>
        <w:t xml:space="preserve"> </w:t>
      </w:r>
      <w:r>
        <w:t xml:space="preserve">The artifact reports mapped</w:t>
      </w:r>
      <w:r>
        <w:t xml:space="preserve"> </w:t>
      </w:r>
      <w:r>
        <w:t xml:space="preserve">costs and limited exceedance proxies, but no live SLO, latency, error-rate, or</w:t>
      </w:r>
      <w:r>
        <w:t xml:space="preserve"> </w:t>
      </w:r>
      <w:r>
        <w:t xml:space="preserve">business-performance outcomes. It therefore cannot claim safe performance</w:t>
      </w:r>
      <w:r>
        <w:t xml:space="preserve"> </w:t>
      </w:r>
      <w:r>
        <w:t xml:space="preserve">after more aggressive right-sizing.</w:t>
      </w:r>
    </w:p>
    <w:p>
      <w:pPr>
        <w:pStyle w:val="BodyText"/>
      </w:pPr>
      <w:r>
        <w:rPr>
          <w:b/>
          <w:bCs/>
        </w:rPr>
        <w:t xml:space="preserve">Statistical power.</w:t>
      </w:r>
      <w:r>
        <w:t xml:space="preserve"> </w:t>
      </w:r>
      <w:r>
        <w:t xml:space="preserve">Forecasting tests use limited walk-forward folds.</w:t>
      </w:r>
      <w:r>
        <w:t xml:space="preserve"> </w:t>
      </w:r>
      <w:r>
        <w:t xml:space="preserve">Non-significant differences remain non-claims.</w:t>
      </w:r>
    </w:p>
    <w:bookmarkEnd w:id="69"/>
    <w:bookmarkStart w:id="70" w:name="X8a5eb990c23f59a7f5ce400a2cc5aca385a9dca"/>
    <w:p>
      <w:pPr>
        <w:pStyle w:val="Heading1"/>
      </w:pPr>
      <w:r>
        <w:rPr>
          <w:rStyle w:val="SectionNumber"/>
        </w:rPr>
        <w:t xml:space="preserve">11</w:t>
      </w:r>
      <w:r>
        <w:tab/>
      </w:r>
      <w:r>
        <w:t xml:space="preserve">Reproducibility and Artifact Availability</w:t>
      </w:r>
    </w:p>
    <w:p>
      <w:pPr>
        <w:pStyle w:val="FirstParagraph"/>
      </w:pPr>
      <w:r>
        <w:t xml:space="preserve">Most headline values are imported from generated artifacts, and the</w:t>
      </w:r>
      <w:r>
        <w:t xml:space="preserve"> </w:t>
      </w:r>
      <w:r>
        <w:t xml:space="preserve">documented scripts provide rerun paths for the principal synthetic,</w:t>
      </w:r>
      <w:r>
        <w:t xml:space="preserve"> </w:t>
      </w:r>
      <w:r>
        <w:t xml:space="preserve">restored-GWA, and policy results. Some compact presentation tables contain</w:t>
      </w:r>
      <w:r>
        <w:t xml:space="preserve"> </w:t>
      </w:r>
      <w:r>
        <w:t xml:space="preserve">transcribed summaries or checksum prefixes. Synthetic evidence is generated</w:t>
      </w:r>
      <w:r>
        <w:t xml:space="preserve"> </w:t>
      </w:r>
      <w:r>
        <w:t xml:space="preserve">by and</w:t>
      </w:r>
      <w:r>
        <w:t xml:space="preserve"> </w:t>
      </w:r>
      <w:r>
        <w:t xml:space="preserve">; GWA evidence uses</w:t>
      </w:r>
      <w:r>
        <w:t xml:space="preserve"> </w:t>
      </w:r>
      <w:r>
        <w:t xml:space="preserve">,</w:t>
      </w:r>
      <w:r>
        <w:t xml:space="preserve"> </w:t>
      </w:r>
      <w:r>
        <w:t xml:space="preserve">, and the commands in</w:t>
      </w:r>
      <w:r>
        <w:t xml:space="preserve"> </w:t>
      </w:r>
      <w:r>
        <w:t xml:space="preserve">; policy results use</w:t>
      </w:r>
      <w:r>
        <w:t xml:space="preserve"> </w:t>
      </w:r>
      <w:r>
        <w:t xml:space="preserve">and . The reference</w:t>
      </w:r>
      <w:r>
        <w:t xml:space="preserve"> </w:t>
      </w:r>
      <w:r>
        <w:t xml:space="preserve">audit in records that the 23 citation keys used</w:t>
      </w:r>
      <w:r>
        <w:t xml:space="preserve"> </w:t>
      </w:r>
      <w:r>
        <w:t xml:space="preserve">by the source manuscript resolve. This article uses the same audited key set</w:t>
      </w:r>
      <w:r>
        <w:t xml:space="preserve"> </w:t>
      </w:r>
      <w:r>
        <w:t xml:space="preserve">and introduces no new bibliography entries.</w:t>
      </w:r>
    </w:p>
    <w:p>
      <w:pPr>
        <w:pStyle w:val="BodyText"/>
      </w:pPr>
      <w:r>
        <w:t xml:space="preserve">The principal rerun path is documented, but dependency pinning and independent</w:t>
      </w:r>
      <w:r>
        <w:t xml:space="preserve"> </w:t>
      </w:r>
      <w:r>
        <w:t xml:space="preserve">clean-room verification are not part of the current artifact. Azure is not</w:t>
      </w:r>
      <w:r>
        <w:t xml:space="preserve"> </w:t>
      </w:r>
      <w:r>
        <w:t xml:space="preserve">reproducible in this workspace because the raw</w:t>
      </w:r>
      <w:r>
        <w:t xml:space="preserve"> </w:t>
      </w:r>
      <w:r>
        <w:rPr>
          <w:rStyle w:val="VerbatimChar"/>
        </w:rPr>
        <w:t xml:space="preserve">vmtable.csv.gz</w:t>
      </w:r>
      <w:r>
        <w:t xml:space="preserve"> </w:t>
      </w:r>
      <w:r>
        <w:t xml:space="preserve">input</w:t>
      </w:r>
      <w:r>
        <w:t xml:space="preserve"> </w:t>
      </w:r>
      <w:r>
        <w:t xml:space="preserve">was not restored. The implementation, generated evidence, build scripts, and</w:t>
      </w:r>
      <w:r>
        <w:t xml:space="preserve"> </w:t>
      </w:r>
      <w:r>
        <w:t xml:space="preserve">reproducibility materials are maintained in the project repository and are</w:t>
      </w:r>
      <w:r>
        <w:t xml:space="preserve"> </w:t>
      </w:r>
      <w:r>
        <w:t xml:space="preserve">available from the corresponding author. No public archive DOI has been</w:t>
      </w:r>
      <w:r>
        <w:t xml:space="preserve"> </w:t>
      </w:r>
      <w:r>
        <w:t xml:space="preserve">assigned. The current artifact does not provide a dependency lock, a complete</w:t>
      </w:r>
      <w:r>
        <w:t xml:space="preserve"> </w:t>
      </w:r>
      <w:r>
        <w:t xml:space="preserve">environment and execution-hardware inventory, or final generated-file hashes.</w:t>
      </w:r>
    </w:p>
    <w:bookmarkEnd w:id="70"/>
    <w:bookmarkStart w:id="71" w:name="conclusion"/>
    <w:p>
      <w:pPr>
        <w:pStyle w:val="Heading1"/>
      </w:pPr>
      <w:r>
        <w:rPr>
          <w:rStyle w:val="SectionNumber"/>
        </w:rPr>
        <w:t xml:space="preserve">12</w:t>
      </w:r>
      <w:r>
        <w:tab/>
      </w:r>
      <w:r>
        <w:t xml:space="preserve">Conclusion</w:t>
      </w:r>
    </w:p>
    <w:p>
      <w:pPr>
        <w:pStyle w:val="FirstParagraph"/>
      </w:pPr>
      <w:r>
        <w:t xml:space="preserve">This study contributes an empirical and systems comparison, not new</w:t>
      </w:r>
      <w:r>
        <w:t xml:space="preserve"> </w:t>
      </w:r>
      <w:r>
        <w:t xml:space="preserve">reservation theory. The implemented behavior is a</w:t>
      </w:r>
      <w:r>
        <w:t xml:space="preserve"> </w:t>
      </w:r>
      <m:oMath>
        <m:sSub>
          <m:e>
            <m:r>
              <m:t>q</m:t>
            </m:r>
          </m:e>
          <m:sub>
            <m:r>
              <m:t>0.95</m:t>
            </m:r>
          </m:sub>
        </m:sSub>
        <m:r>
          <m:rPr>
            <m:sty m:val="p"/>
          </m:rPr>
          <m:t>×</m:t>
        </m:r>
        <m:r>
          <m:t>1.3</m:t>
        </m:r>
      </m:oMath>
      <w:r>
        <w:t xml:space="preserve"> </w:t>
      </w:r>
      <w:r>
        <w:t xml:space="preserve">MILP right-sizing pipeline whose reported outcomes</w:t>
      </w:r>
      <w:r>
        <w:t xml:space="preserve"> </w:t>
      </w:r>
      <w:r>
        <w:t xml:space="preserve">depend on price comparability and candidate-catalog feasibility. On the</w:t>
      </w:r>
      <w:r>
        <w:t xml:space="preserve"> </w:t>
      </w:r>
      <w:r>
        <w:t xml:space="preserve">synthetic account, the -19.0% service-mixed change combines</w:t>
      </w:r>
      <w:r>
        <w:t xml:space="preserve"> </w:t>
      </w:r>
      <w:r>
        <w:t xml:space="preserve">an EC2 increase of 15.0% with a demo-priced RDS decrease of</w:t>
      </w:r>
      <w:r>
        <w:t xml:space="preserve"> </w:t>
      </w:r>
      <w:r>
        <w:t xml:space="preserve">91.2%. On restored Bitbrains and Materna traces, the same</w:t>
      </w:r>
      <w:r>
        <w:t xml:space="preserve"> </w:t>
      </w:r>
      <w:r>
        <w:t xml:space="preserve">implemented rule produces 41.8% lower mapped cost than</w:t>
      </w:r>
      <w:r>
        <w:t xml:space="preserve"> </w:t>
      </w:r>
      <w:r>
        <w:t xml:space="preserve">lift-and-shift under the evaluated catalog and mapping (95% CI</w:t>
      </w:r>
      <w:r>
        <w:t xml:space="preserve"> </w:t>
      </w:r>
      <w:r>
        <w:t xml:space="preserve">35.9–47.5%). The Study III results</w:t>
      </w:r>
      <w:r>
        <w:t xml:space="preserve"> </w:t>
      </w:r>
      <w:r>
        <w:t xml:space="preserve">are separate paper-side simulations that reuse theory-derived logic on a</w:t>
      </w:r>
      <w:r>
        <w:t xml:space="preserve"> </w:t>
      </w:r>
      <w:r>
        <w:t xml:space="preserve">synthetic USD/day cost proxy and a real-trace MHz demand proxy. They do not</w:t>
      </w:r>
      <w:r>
        <w:t xml:space="preserve"> </w:t>
      </w:r>
      <w:r>
        <w:t xml:space="preserve">represent provider billing, commercial recommender behavior, or physical</w:t>
      </w:r>
      <w:r>
        <w:t xml:space="preserve"> </w:t>
      </w:r>
      <w:r>
        <w:t xml:space="preserve">allocation. The Azure arm remains unrestored, and operational performance and</w:t>
      </w:r>
      <w:r>
        <w:t xml:space="preserve"> </w:t>
      </w:r>
      <w:r>
        <w:t xml:space="preserve">SLO effects remain unresolved.</w:t>
      </w:r>
    </w:p>
    <w:bookmarkEnd w:id="71"/>
    <w:bookmarkStart w:id="72" w:name="declarations"/>
    <w:p>
      <w:pPr>
        <w:pStyle w:val="Heading1"/>
      </w:pPr>
      <w:r>
        <w:t xml:space="preserve">Declarations</w:t>
      </w:r>
    </w:p>
    <w:p>
      <w:pPr>
        <w:pStyle w:val="FirstParagraph"/>
      </w:pPr>
      <w:r>
        <w:rPr>
          <w:b/>
          <w:bCs/>
        </w:rPr>
        <w:t xml:space="preserve">Funding.</w:t>
      </w:r>
      <w:r>
        <w:t xml:space="preserve"> </w:t>
      </w:r>
      <w:r>
        <w:t xml:space="preserve">This research received no external funding.</w:t>
      </w:r>
    </w:p>
    <w:p>
      <w:pPr>
        <w:pStyle w:val="BodyText"/>
      </w:pPr>
      <w:r>
        <w:rPr>
          <w:b/>
          <w:bCs/>
        </w:rPr>
        <w:t xml:space="preserve">Ethics approval.</w:t>
      </w:r>
      <w:r>
        <w:t xml:space="preserve"> </w:t>
      </w:r>
      <w:r>
        <w:t xml:space="preserve">Not applicable. The study did not involve human</w:t>
      </w:r>
      <w:r>
        <w:t xml:space="preserve"> </w:t>
      </w:r>
      <w:r>
        <w:t xml:space="preserve">participants, personal data, interviews, surveys, medical information, or</w:t>
      </w:r>
      <w:r>
        <w:t xml:space="preserve"> </w:t>
      </w:r>
      <w:r>
        <w:t xml:space="preserve">identifiable customer data.</w:t>
      </w:r>
    </w:p>
    <w:p>
      <w:pPr>
        <w:pStyle w:val="BodyText"/>
      </w:pPr>
      <w:r>
        <w:rPr>
          <w:b/>
          <w:bCs/>
        </w:rPr>
        <w:t xml:space="preserve">Consent to participate.</w:t>
      </w:r>
      <w:r>
        <w:t xml:space="preserve"> </w:t>
      </w:r>
      <w:r>
        <w:t xml:space="preserve">Not applicable.</w:t>
      </w:r>
    </w:p>
    <w:p>
      <w:pPr>
        <w:pStyle w:val="BodyText"/>
      </w:pPr>
      <w:r>
        <w:rPr>
          <w:b/>
          <w:bCs/>
        </w:rPr>
        <w:t xml:space="preserve">Consent for publication.</w:t>
      </w:r>
      <w:r>
        <w:t xml:space="preserve"> </w:t>
      </w:r>
      <w:r>
        <w:t xml:space="preserve">Not applicable.</w:t>
      </w:r>
    </w:p>
    <w:p>
      <w:pPr>
        <w:pStyle w:val="BodyText"/>
      </w:pPr>
      <w:r>
        <w:rPr>
          <w:b/>
          <w:bCs/>
        </w:rPr>
        <w:t xml:space="preserve">Data availability.</w:t>
      </w:r>
      <w:r>
        <w:t xml:space="preserve"> </w:t>
      </w:r>
      <w:r>
        <w:t xml:space="preserve">The study uses publicly available workload traces,</w:t>
      </w:r>
      <w:r>
        <w:t xml:space="preserve"> </w:t>
      </w:r>
      <w:r>
        <w:t xml:space="preserve">pricing and catalog artifacts, and derived synthetic data. The public sources,</w:t>
      </w:r>
      <w:r>
        <w:t xml:space="preserve"> </w:t>
      </w:r>
      <w:r>
        <w:t xml:space="preserve">checksums, preprocessing procedures, and generated evidence are documented in</w:t>
      </w:r>
      <w:r>
        <w:t xml:space="preserve"> </w:t>
      </w:r>
      <w:r>
        <w:t xml:space="preserve">the accompanying artifact materials. The workloads were reorganized into a</w:t>
      </w:r>
      <w:r>
        <w:t xml:space="preserve"> </w:t>
      </w:r>
      <w:r>
        <w:t xml:space="preserve">unified synthetic EC2/RDS-style account environment with generated resource</w:t>
      </w:r>
      <w:r>
        <w:t xml:space="preserve"> </w:t>
      </w:r>
      <w:r>
        <w:t xml:space="preserve">identifiers. The raw Azure input associated with the retained prior aggregate</w:t>
      </w:r>
      <w:r>
        <w:t xml:space="preserve"> </w:t>
      </w:r>
      <w:r>
        <w:t xml:space="preserve">result was not restored and is identified as an artifact limitation.</w:t>
      </w:r>
    </w:p>
    <w:p>
      <w:pPr>
        <w:pStyle w:val="BodyText"/>
      </w:pPr>
      <w:r>
        <w:rPr>
          <w:b/>
          <w:bCs/>
        </w:rPr>
        <w:t xml:space="preserve">Code availability.</w:t>
      </w:r>
      <w:r>
        <w:t xml:space="preserve"> </w:t>
      </w:r>
      <w:r>
        <w:t xml:space="preserve">The implementation, generated evidence, build</w:t>
      </w:r>
      <w:r>
        <w:t xml:space="preserve"> </w:t>
      </w:r>
      <w:r>
        <w:t xml:space="preserve">scripts, and reproducibility materials are maintained in the project</w:t>
      </w:r>
      <w:r>
        <w:t xml:space="preserve"> </w:t>
      </w:r>
      <w:r>
        <w:t xml:space="preserve">repository and are available from the corresponding author.</w:t>
      </w:r>
    </w:p>
    <w:p>
      <w:pPr>
        <w:pStyle w:val="BodyText"/>
      </w:pPr>
      <w:r>
        <w:rPr>
          <w:b/>
          <w:bCs/>
        </w:rPr>
        <w:t xml:space="preserve">AI-assistance disclosure.</w:t>
      </w:r>
      <w:r>
        <w:t xml:space="preserve"> </w:t>
      </w:r>
      <w:r>
        <w:t xml:space="preserve">The corresponding author used generative</w:t>
      </w:r>
      <w:r>
        <w:t xml:space="preserve"> </w:t>
      </w:r>
      <w:r>
        <w:t xml:space="preserve">AI tools for organizing the synthetic infrastructure representation, assigning</w:t>
      </w:r>
      <w:r>
        <w:t xml:space="preserve"> </w:t>
      </w:r>
      <w:r>
        <w:t xml:space="preserve">processed workloads across EC2-style and RDS-style resources, software</w:t>
      </w:r>
      <w:r>
        <w:t xml:space="preserve"> </w:t>
      </w:r>
      <w:r>
        <w:t xml:space="preserve">organization, code review, and manuscript presentation. Reported numerical</w:t>
      </w:r>
      <w:r>
        <w:t xml:space="preserve"> </w:t>
      </w:r>
      <w:r>
        <w:t xml:space="preserve">results were produced by the documented repository workflows. The</w:t>
      </w:r>
      <w:r>
        <w:t xml:space="preserve"> </w:t>
      </w:r>
      <w:r>
        <w:t xml:space="preserve">corresponding author reviewed and verified the final code, experimental</w:t>
      </w:r>
      <w:r>
        <w:t xml:space="preserve"> </w:t>
      </w:r>
      <w:r>
        <w:t xml:space="preserve">outputs, numerical values, claims, citations, and manuscript text.</w:t>
      </w:r>
    </w:p>
    <w:p>
      <w:pPr>
        <w:pStyle w:val="BodyText"/>
      </w:pPr>
      <w:r>
        <w:rPr>
          <w:b/>
          <w:bCs/>
        </w:rPr>
        <w:t xml:space="preserve">Prior dissemination.</w:t>
      </w:r>
      <w:r>
        <w:t xml:space="preserve"> </w:t>
      </w:r>
      <w:r>
        <w:t xml:space="preserve">An earlier version of this work was prepared as</w:t>
      </w:r>
      <w:r>
        <w:t xml:space="preserve"> </w:t>
      </w:r>
      <w:r>
        <w:t xml:space="preserve">a university project report. The manuscript has not previously been submitted</w:t>
      </w:r>
      <w:r>
        <w:t xml:space="preserve"> </w:t>
      </w:r>
      <w:r>
        <w:t xml:space="preserve">to or published by a conference or journal.</w:t>
      </w:r>
    </w:p>
    <w:bookmarkEnd w:id="72"/>
    <w:bookmarkStart w:id="79" w:name="author-contact-information"/>
    <w:p>
      <w:pPr>
        <w:pStyle w:val="Heading1"/>
      </w:pPr>
      <w:r>
        <w:t xml:space="preserve">Author Contact Information</w:t>
      </w:r>
    </w:p>
    <w:p>
      <w:pPr>
        <w:pStyle w:val="FirstParagraph"/>
      </w:pPr>
      <w:r>
        <w:rPr>
          <w:b/>
          <w:bCs/>
        </w:rPr>
        <w:t xml:space="preserve">Corresponding author:</w:t>
      </w:r>
      <w:r>
        <w:t xml:space="preserve"> </w:t>
      </w:r>
      <w:r>
        <w:t xml:space="preserve">Ibrahim Mohamed:</w:t>
      </w:r>
      <w:r>
        <w:t xml:space="preserve"> </w:t>
      </w:r>
      <w:hyperlink r:id="rId73">
        <w:r>
          <w:rPr>
            <w:rStyle w:val="VerbatimChar"/>
          </w:rPr>
          <w:t xml:space="preserve">ibrahimmohamedabdelsadek@gmail.com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Author emails:</w:t>
      </w:r>
      <w:r>
        <w:t xml:space="preserve"> </w:t>
      </w:r>
      <w:r>
        <w:t xml:space="preserve">Mariam Emad:</w:t>
      </w:r>
      <w:r>
        <w:t xml:space="preserve"> </w:t>
      </w:r>
      <w:hyperlink r:id="rId74">
        <w:r>
          <w:rPr>
            <w:rStyle w:val="VerbatimChar"/>
          </w:rPr>
          <w:t xml:space="preserve">mariamemadcs@gmail.com</w:t>
        </w:r>
      </w:hyperlink>
      <w:r>
        <w:t xml:space="preserve">; Hazem Ibrahim:</w:t>
      </w:r>
      <w:r>
        <w:t xml:space="preserve"> </w:t>
      </w:r>
      <w:hyperlink r:id="rId75">
        <w:r>
          <w:rPr>
            <w:rStyle w:val="VerbatimChar"/>
          </w:rPr>
          <w:t xml:space="preserve">Ihazem28@gmail.com</w:t>
        </w:r>
      </w:hyperlink>
      <w:r>
        <w:t xml:space="preserve">; Ahmed Sameh:</w:t>
      </w:r>
      <w:r>
        <w:t xml:space="preserve"> </w:t>
      </w:r>
      <w:hyperlink r:id="rId76">
        <w:r>
          <w:rPr>
            <w:rStyle w:val="VerbatimChar"/>
          </w:rPr>
          <w:t xml:space="preserve">ahmed.sameh.12543@gmail.com</w:t>
        </w:r>
      </w:hyperlink>
      <w:r>
        <w:t xml:space="preserve">; Mahmoud Ahmed:</w:t>
      </w:r>
      <w:r>
        <w:t xml:space="preserve"> </w:t>
      </w:r>
      <w:hyperlink r:id="rId77">
        <w:r>
          <w:rPr>
            <w:rStyle w:val="VerbatimChar"/>
          </w:rPr>
          <w:t xml:space="preserve">mahmoudkamel9102003@gmail.com</w:t>
        </w:r>
      </w:hyperlink>
      <w:r>
        <w:t xml:space="preserve">; John Ehab:</w:t>
      </w:r>
      <w:r>
        <w:t xml:space="preserve"> </w:t>
      </w:r>
      <w:hyperlink r:id="rId78">
        <w:r>
          <w:rPr>
            <w:rStyle w:val="VerbatimChar"/>
          </w:rPr>
          <w:t xml:space="preserve">ehabjohn22@gmail.com</w:t>
        </w:r>
      </w:hyperlink>
      <w:r>
        <w:t xml:space="preserve">.</w:t>
      </w:r>
    </w:p>
    <w:bookmarkEnd w:id="79"/>
    <w:bookmarkStart w:id="127" w:name="bibliography"/>
    <w:p>
      <w:pPr>
        <w:pStyle w:val="Heading1"/>
      </w:pPr>
      <w:r>
        <w:t xml:space="preserve">References</w:t>
      </w:r>
    </w:p>
    <w:bookmarkStart w:id="126" w:name="refs"/>
    <w:bookmarkStart w:id="81" w:name="ref-agullo2025forecasting"/>
    <w:p>
      <w:pPr>
        <w:pStyle w:val="Bibliography"/>
      </w:pPr>
      <w:r>
        <w:t xml:space="preserve">Agulló, Ferran, Alberto Gutierrez-Torre, Jordi Torres, and Josep Ll. Berral. 2025.</w:t>
      </w:r>
      <w:r>
        <w:t xml:space="preserve"> </w:t>
      </w:r>
      <w:r>
        <w:t xml:space="preserve">“Enhancing the Output of Time Series Forecasting Algorithms for Cloud Resource Provisioning.”</w:t>
      </w:r>
      <w:r>
        <w:t xml:space="preserve"> </w:t>
      </w:r>
      <w:r>
        <w:rPr>
          <w:i/>
          <w:iCs/>
        </w:rPr>
        <w:t xml:space="preserve">Future Generation Computer Systems</w:t>
      </w:r>
      <w:r>
        <w:t xml:space="preserve"> </w:t>
      </w:r>
      <w:r>
        <w:t xml:space="preserve">170: 107833.</w:t>
      </w:r>
      <w:r>
        <w:t xml:space="preserve"> </w:t>
      </w:r>
      <w:hyperlink r:id="rId80">
        <w:r>
          <w:rPr>
            <w:rStyle w:val="Hyperlink"/>
          </w:rPr>
          <w:t xml:space="preserve">https://doi.org/10.1016/j.future.2025.107833</w:t>
        </w:r>
      </w:hyperlink>
      <w:r>
        <w:t xml:space="preserve">.</w:t>
      </w:r>
    </w:p>
    <w:bookmarkEnd w:id="81"/>
    <w:bookmarkStart w:id="83" w:name="ref-alves2025iaas"/>
    <w:p>
      <w:pPr>
        <w:pStyle w:val="Bibliography"/>
      </w:pPr>
      <w:r>
        <w:t xml:space="preserve">Alves, Moab, and Fabio Morais. 2025.</w:t>
      </w:r>
      <w:r>
        <w:t xml:space="preserve"> </w:t>
      </w:r>
      <w:r>
        <w:t xml:space="preserve">“</w:t>
      </w:r>
      <w:r>
        <w:t xml:space="preserve">IaaS</w:t>
      </w:r>
      <w:r>
        <w:t xml:space="preserve"> </w:t>
      </w:r>
      <w:r>
        <w:t xml:space="preserve">Capacity Planning with Multiple Pricing Models Using Predictive Heuristics.”</w:t>
      </w:r>
      <w:r>
        <w:t xml:space="preserve"> </w:t>
      </w:r>
      <w:r>
        <w:rPr>
          <w:i/>
          <w:iCs/>
        </w:rPr>
        <w:t xml:space="preserve">2025 IEEE International Conference on Cloud Computing Technology and Science (CloudCom)</w:t>
      </w:r>
      <w:r>
        <w:t xml:space="preserve"> </w:t>
      </w:r>
      <w:r>
        <w:t xml:space="preserve">(Shenzhen, China), 1–8.</w:t>
      </w:r>
      <w:r>
        <w:t xml:space="preserve"> </w:t>
      </w:r>
      <w:hyperlink r:id="rId82">
        <w:r>
          <w:rPr>
            <w:rStyle w:val="Hyperlink"/>
          </w:rPr>
          <w:t xml:space="preserve">https://doi.org/10.1109/CloudCom67567.2025.11331429</w:t>
        </w:r>
      </w:hyperlink>
      <w:r>
        <w:t xml:space="preserve">.</w:t>
      </w:r>
    </w:p>
    <w:bookmarkEnd w:id="83"/>
    <w:bookmarkStart w:id="85" w:name="ref-arrow1951inventory"/>
    <w:p>
      <w:pPr>
        <w:pStyle w:val="Bibliography"/>
      </w:pPr>
      <w:r>
        <w:t xml:space="preserve">Arrow, Kenneth J., Theodore Harris, and Jacob Marschak. 1951.</w:t>
      </w:r>
      <w:r>
        <w:t xml:space="preserve"> </w:t>
      </w:r>
      <w:r>
        <w:t xml:space="preserve">“Optimal Inventory Policy.”</w:t>
      </w:r>
      <w:r>
        <w:t xml:space="preserve"> </w:t>
      </w:r>
      <w:r>
        <w:rPr>
          <w:i/>
          <w:iCs/>
        </w:rPr>
        <w:t xml:space="preserve">Econometrica</w:t>
      </w:r>
      <w:r>
        <w:t xml:space="preserve"> </w:t>
      </w:r>
      <w:r>
        <w:t xml:space="preserve">19 (3): 250–72.</w:t>
      </w:r>
      <w:r>
        <w:t xml:space="preserve"> </w:t>
      </w:r>
      <w:hyperlink r:id="rId84">
        <w:r>
          <w:rPr>
            <w:rStyle w:val="Hyperlink"/>
          </w:rPr>
          <w:t xml:space="preserve">https://doi.org/10.2307/1906813</w:t>
        </w:r>
      </w:hyperlink>
      <w:r>
        <w:t xml:space="preserve">.</w:t>
      </w:r>
    </w:p>
    <w:bookmarkEnd w:id="85"/>
    <w:bookmarkStart w:id="87" w:name="ref-aydin2020binpacking"/>
    <w:p>
      <w:pPr>
        <w:pStyle w:val="Bibliography"/>
      </w:pPr>
      <w:r>
        <w:t xml:space="preserve">Aydın, Nurşen, İbrahim Muter, and Ş. İlker Birbil. 2020.</w:t>
      </w:r>
      <w:r>
        <w:t xml:space="preserve"> </w:t>
      </w:r>
      <w:r>
        <w:t xml:space="preserve">“Multi-Objective Temporal Bin Packing Problem: An Application in Cloud Computing.”</w:t>
      </w:r>
      <w:r>
        <w:t xml:space="preserve"> </w:t>
      </w:r>
      <w:r>
        <w:rPr>
          <w:i/>
          <w:iCs/>
        </w:rPr>
        <w:t xml:space="preserve">Computers &amp; Operations Research</w:t>
      </w:r>
      <w:r>
        <w:t xml:space="preserve"> </w:t>
      </w:r>
      <w:r>
        <w:t xml:space="preserve">121: 104959.</w:t>
      </w:r>
      <w:r>
        <w:t xml:space="preserve"> </w:t>
      </w:r>
      <w:hyperlink r:id="rId86">
        <w:r>
          <w:rPr>
            <w:rStyle w:val="Hyperlink"/>
          </w:rPr>
          <w:t xml:space="preserve">https://doi.org/10.1016/j.cor.2020.104959</w:t>
        </w:r>
      </w:hyperlink>
      <w:r>
        <w:t xml:space="preserve">.</w:t>
      </w:r>
    </w:p>
    <w:bookmarkEnd w:id="87"/>
    <w:bookmarkStart w:id="89" w:name="ref-ban2019newsvendor"/>
    <w:p>
      <w:pPr>
        <w:pStyle w:val="Bibliography"/>
      </w:pPr>
      <w:r>
        <w:t xml:space="preserve">Ban, Gah-Yi, and Cynthia Rudin. 2019.</w:t>
      </w:r>
      <w:r>
        <w:t xml:space="preserve"> </w:t>
      </w:r>
      <w:r>
        <w:t xml:space="preserve">“The Big Data Newsvendor: Practical Insights from Machine Learning.”</w:t>
      </w:r>
      <w:r>
        <w:t xml:space="preserve"> </w:t>
      </w:r>
      <w:r>
        <w:rPr>
          <w:i/>
          <w:iCs/>
        </w:rPr>
        <w:t xml:space="preserve">Operations Research</w:t>
      </w:r>
      <w:r>
        <w:t xml:space="preserve"> </w:t>
      </w:r>
      <w:r>
        <w:t xml:space="preserve">67 (1): 90–108.</w:t>
      </w:r>
      <w:r>
        <w:t xml:space="preserve"> </w:t>
      </w:r>
      <w:hyperlink r:id="rId88">
        <w:r>
          <w:rPr>
            <w:rStyle w:val="Hyperlink"/>
          </w:rPr>
          <w:t xml:space="preserve">https://doi.org/10.1287/opre.2018.1757</w:t>
        </w:r>
      </w:hyperlink>
      <w:r>
        <w:t xml:space="preserve">.</w:t>
      </w:r>
    </w:p>
    <w:bookmarkEnd w:id="89"/>
    <w:bookmarkStart w:id="91" w:name="ref-bulbul2021provisioning"/>
    <w:p>
      <w:pPr>
        <w:pStyle w:val="Bibliography"/>
      </w:pPr>
      <w:r>
        <w:t xml:space="preserve">Bülbül, Kerem, Nilay Noyan, and Hazal Erol. 2021.</w:t>
      </w:r>
      <w:r>
        <w:t xml:space="preserve"> </w:t>
      </w:r>
      <w:r>
        <w:t xml:space="preserve">“Multi-Stage Stochastic Programming Models for Provisioning Cloud Computing Resources.”</w:t>
      </w:r>
      <w:r>
        <w:t xml:space="preserve"> </w:t>
      </w:r>
      <w:r>
        <w:rPr>
          <w:i/>
          <w:iCs/>
        </w:rPr>
        <w:t xml:space="preserve">European Journal of Operational Research</w:t>
      </w:r>
      <w:r>
        <w:t xml:space="preserve"> </w:t>
      </w:r>
      <w:r>
        <w:t xml:space="preserve">288 (3): 886–901.</w:t>
      </w:r>
      <w:r>
        <w:t xml:space="preserve"> </w:t>
      </w:r>
      <w:hyperlink r:id="rId90">
        <w:r>
          <w:rPr>
            <w:rStyle w:val="Hyperlink"/>
          </w:rPr>
          <w:t xml:space="preserve">https://doi.org/10.1016/j.ejor.2020.06.027</w:t>
        </w:r>
      </w:hyperlink>
      <w:r>
        <w:t xml:space="preserve">.</w:t>
      </w:r>
    </w:p>
    <w:bookmarkEnd w:id="91"/>
    <w:bookmarkStart w:id="93" w:name="ref-cahoon2022doppler"/>
    <w:p>
      <w:pPr>
        <w:pStyle w:val="Bibliography"/>
      </w:pPr>
      <w:r>
        <w:t xml:space="preserve">Cahoon, Joyce, Wenjing Wang, Yiwen Zhu, et al. 2022.</w:t>
      </w:r>
      <w:r>
        <w:t xml:space="preserve"> </w:t>
      </w:r>
      <w:r>
        <w:t xml:space="preserve">“Doppler: Automated</w:t>
      </w:r>
      <w:r>
        <w:t xml:space="preserve"> </w:t>
      </w:r>
      <w:r>
        <w:t xml:space="preserve">SKU</w:t>
      </w:r>
      <w:r>
        <w:t xml:space="preserve"> </w:t>
      </w:r>
      <w:r>
        <w:t xml:space="preserve">Recommendation in Migrating</w:t>
      </w:r>
      <w:r>
        <w:t xml:space="preserve"> </w:t>
      </w:r>
      <w:r>
        <w:t xml:space="preserve">SQL</w:t>
      </w:r>
      <w:r>
        <w:t xml:space="preserve"> </w:t>
      </w:r>
      <w:r>
        <w:t xml:space="preserve">Workloads to the Cloud.”</w:t>
      </w:r>
      <w:r>
        <w:t xml:space="preserve"> </w:t>
      </w:r>
      <w:r>
        <w:rPr>
          <w:i/>
          <w:iCs/>
        </w:rPr>
        <w:t xml:space="preserve">Proceedings of the VLDB Endowment</w:t>
      </w:r>
      <w:r>
        <w:t xml:space="preserve"> </w:t>
      </w:r>
      <w:r>
        <w:t xml:space="preserve">15 (12): 3509–21.</w:t>
      </w:r>
      <w:r>
        <w:t xml:space="preserve"> </w:t>
      </w:r>
      <w:hyperlink r:id="rId92">
        <w:r>
          <w:rPr>
            <w:rStyle w:val="Hyperlink"/>
          </w:rPr>
          <w:t xml:space="preserve">https://doi.org/10.14778/3554821.3554840</w:t>
        </w:r>
      </w:hyperlink>
      <w:r>
        <w:t xml:space="preserve">.</w:t>
      </w:r>
    </w:p>
    <w:bookmarkEnd w:id="93"/>
    <w:bookmarkStart w:id="95" w:name="ref-chaisiri2012provisioning"/>
    <w:p>
      <w:pPr>
        <w:pStyle w:val="Bibliography"/>
      </w:pPr>
      <w:r>
        <w:t xml:space="preserve">Chaisiri, Sivadon, Bu-Sung Lee, and Dusit Niyato. 2012.</w:t>
      </w:r>
      <w:r>
        <w:t xml:space="preserve"> </w:t>
      </w:r>
      <w:r>
        <w:t xml:space="preserve">“Optimization of Resource Provisioning Cost in Cloud Computing.”</w:t>
      </w:r>
      <w:r>
        <w:t xml:space="preserve"> </w:t>
      </w:r>
      <w:r>
        <w:rPr>
          <w:i/>
          <w:iCs/>
        </w:rPr>
        <w:t xml:space="preserve">IEEE Transactions on Services Computing</w:t>
      </w:r>
      <w:r>
        <w:t xml:space="preserve"> </w:t>
      </w:r>
      <w:r>
        <w:t xml:space="preserve">5 (2): 164–77.</w:t>
      </w:r>
      <w:r>
        <w:t xml:space="preserve"> </w:t>
      </w:r>
      <w:hyperlink r:id="rId94">
        <w:r>
          <w:rPr>
            <w:rStyle w:val="Hyperlink"/>
          </w:rPr>
          <w:t xml:space="preserve">https://doi.org/10.1109/TSC.2011.7</w:t>
        </w:r>
      </w:hyperlink>
      <w:r>
        <w:t xml:space="preserve">.</w:t>
      </w:r>
    </w:p>
    <w:bookmarkEnd w:id="95"/>
    <w:bookmarkStart w:id="97" w:name="ref-chen2024capacity"/>
    <w:p>
      <w:pPr>
        <w:pStyle w:val="Bibliography"/>
      </w:pPr>
      <w:r>
        <w:t xml:space="preserve">Chen, Shi, Junfei Lei, and Kamran Moinzadeh. 2024.</w:t>
      </w:r>
      <w:r>
        <w:t xml:space="preserve"> </w:t>
      </w:r>
      <w:r>
        <w:t xml:space="preserve">“Cost Optimization in Cloud Computing: Capacity Reservation for Intermittent Random Demand Surges.”</w:t>
      </w:r>
      <w:r>
        <w:t xml:space="preserve"> </w:t>
      </w:r>
      <w:r>
        <w:rPr>
          <w:i/>
          <w:iCs/>
        </w:rPr>
        <w:t xml:space="preserve">Production and Operations Management</w:t>
      </w:r>
      <w:r>
        <w:t xml:space="preserve"> </w:t>
      </w:r>
      <w:r>
        <w:t xml:space="preserve">33 (6): 1265–84.</w:t>
      </w:r>
      <w:r>
        <w:t xml:space="preserve"> </w:t>
      </w:r>
      <w:hyperlink r:id="rId96">
        <w:r>
          <w:rPr>
            <w:rStyle w:val="Hyperlink"/>
          </w:rPr>
          <w:t xml:space="preserve">https://doi.org/10.1177/10591478241251614</w:t>
        </w:r>
      </w:hyperlink>
      <w:r>
        <w:t xml:space="preserve">.</w:t>
      </w:r>
    </w:p>
    <w:bookmarkEnd w:id="97"/>
    <w:bookmarkStart w:id="99" w:name="ref-cortez2017resource"/>
    <w:p>
      <w:pPr>
        <w:pStyle w:val="Bibliography"/>
      </w:pPr>
      <w:r>
        <w:t xml:space="preserve">Cortez, Eli, Anand Bonde, Alexandre Muzio, Mark Russinovich, Marcus Fontoura, and Ricardo Bianchini. 2017.</w:t>
      </w:r>
      <w:r>
        <w:t xml:space="preserve"> </w:t>
      </w:r>
      <w:r>
        <w:t xml:space="preserve">“Resource</w:t>
      </w:r>
      <w:r>
        <w:t xml:space="preserve"> </w:t>
      </w:r>
      <w:r>
        <w:t xml:space="preserve">Central</w:t>
      </w:r>
      <w:r>
        <w:t xml:space="preserve">: Understanding and Predicting Workloads for Improved Resource Management in Large Cloud Platforms.”</w:t>
      </w:r>
      <w:r>
        <w:t xml:space="preserve"> </w:t>
      </w:r>
      <w:r>
        <w:rPr>
          <w:i/>
          <w:iCs/>
        </w:rPr>
        <w:t xml:space="preserve">Proceedings of the 26th Symposium on Operating Systems Principles (SOSP)</w:t>
      </w:r>
      <w:r>
        <w:t xml:space="preserve">, 153–67.</w:t>
      </w:r>
      <w:r>
        <w:t xml:space="preserve"> </w:t>
      </w:r>
      <w:hyperlink r:id="rId98">
        <w:r>
          <w:rPr>
            <w:rStyle w:val="Hyperlink"/>
          </w:rPr>
          <w:t xml:space="preserve">https://doi.org/10.1145/3132747.3132772</w:t>
        </w:r>
      </w:hyperlink>
      <w:r>
        <w:t xml:space="preserve">.</w:t>
      </w:r>
    </w:p>
    <w:bookmarkEnd w:id="99"/>
    <w:bookmarkStart w:id="101" w:name="ref-diebold1995comparing"/>
    <w:p>
      <w:pPr>
        <w:pStyle w:val="Bibliography"/>
      </w:pPr>
      <w:r>
        <w:t xml:space="preserve">Diebold, Francis X., and Roberto S. Mariano. 1995.</w:t>
      </w:r>
      <w:r>
        <w:t xml:space="preserve"> </w:t>
      </w:r>
      <w:r>
        <w:t xml:space="preserve">“Comparing Predictive Accuracy.”</w:t>
      </w:r>
      <w:r>
        <w:t xml:space="preserve"> </w:t>
      </w:r>
      <w:r>
        <w:rPr>
          <w:i/>
          <w:iCs/>
        </w:rPr>
        <w:t xml:space="preserve">Journal of Business &amp; Economic Statistics</w:t>
      </w:r>
      <w:r>
        <w:t xml:space="preserve"> </w:t>
      </w:r>
      <w:r>
        <w:t xml:space="preserve">13 (3): 253–63.</w:t>
      </w:r>
      <w:r>
        <w:t xml:space="preserve"> </w:t>
      </w:r>
      <w:hyperlink r:id="rId100">
        <w:r>
          <w:rPr>
            <w:rStyle w:val="Hyperlink"/>
          </w:rPr>
          <w:t xml:space="preserve">https://doi.org/10.1080/07350015.1995.10524599</w:t>
        </w:r>
      </w:hyperlink>
      <w:r>
        <w:t xml:space="preserve">.</w:t>
      </w:r>
    </w:p>
    <w:bookmarkEnd w:id="101"/>
    <w:bookmarkStart w:id="103" w:name="ref-harvey1997testing"/>
    <w:p>
      <w:pPr>
        <w:pStyle w:val="Bibliography"/>
      </w:pPr>
      <w:r>
        <w:t xml:space="preserve">Harvey, David, Stephen Leybourne, and Paul Newbold. 1997.</w:t>
      </w:r>
      <w:r>
        <w:t xml:space="preserve"> </w:t>
      </w:r>
      <w:r>
        <w:t xml:space="preserve">“Testing the Equality of Prediction Mean Squared Errors.”</w:t>
      </w:r>
      <w:r>
        <w:t xml:space="preserve"> </w:t>
      </w:r>
      <w:r>
        <w:rPr>
          <w:i/>
          <w:iCs/>
        </w:rPr>
        <w:t xml:space="preserve">International Journal of Forecasting</w:t>
      </w:r>
      <w:r>
        <w:t xml:space="preserve"> </w:t>
      </w:r>
      <w:r>
        <w:t xml:space="preserve">13 (2): 281–91.</w:t>
      </w:r>
      <w:r>
        <w:t xml:space="preserve"> </w:t>
      </w:r>
      <w:hyperlink r:id="rId102">
        <w:r>
          <w:rPr>
            <w:rStyle w:val="Hyperlink"/>
          </w:rPr>
          <w:t xml:space="preserve">https://doi.org/10.1016/S0169-2070(96)00719-4</w:t>
        </w:r>
      </w:hyperlink>
      <w:r>
        <w:t xml:space="preserve">.</w:t>
      </w:r>
    </w:p>
    <w:bookmarkEnd w:id="103"/>
    <w:bookmarkStart w:id="105" w:name="ref-hyndman2008forecast"/>
    <w:p>
      <w:pPr>
        <w:pStyle w:val="Bibliography"/>
      </w:pPr>
      <w:r>
        <w:t xml:space="preserve">Hyndman, Rob J., and Yeasmin Khandakar. 2008.</w:t>
      </w:r>
      <w:r>
        <w:t xml:space="preserve"> </w:t>
      </w:r>
      <w:r>
        <w:t xml:space="preserve">“Automatic Time Series Forecasting: The Forecast Package for</w:t>
      </w:r>
      <w:r>
        <w:t xml:space="preserve"> </w:t>
      </w:r>
      <w:r>
        <w:t xml:space="preserve">R</w:t>
      </w:r>
      <w:r>
        <w:t xml:space="preserve">.”</w:t>
      </w:r>
      <w:r>
        <w:t xml:space="preserve"> </w:t>
      </w:r>
      <w:r>
        <w:rPr>
          <w:i/>
          <w:iCs/>
        </w:rPr>
        <w:t xml:space="preserve">Journal of Statistical Software</w:t>
      </w:r>
      <w:r>
        <w:t xml:space="preserve"> </w:t>
      </w:r>
      <w:r>
        <w:t xml:space="preserve">27 (3): 1–22.</w:t>
      </w:r>
      <w:r>
        <w:t xml:space="preserve"> </w:t>
      </w:r>
      <w:hyperlink r:id="rId104">
        <w:r>
          <w:rPr>
            <w:rStyle w:val="Hyperlink"/>
          </w:rPr>
          <w:t xml:space="preserve">https://doi.org/10.18637/jss.v027.i03</w:t>
        </w:r>
      </w:hyperlink>
      <w:r>
        <w:t xml:space="preserve">.</w:t>
      </w:r>
    </w:p>
    <w:bookmarkEnd w:id="105"/>
    <w:bookmarkStart w:id="107" w:name="ref-hyndman2006mase"/>
    <w:p>
      <w:pPr>
        <w:pStyle w:val="Bibliography"/>
      </w:pPr>
      <w:r>
        <w:t xml:space="preserve">Hyndman, Rob J., and Anne B. Koehler. 2006.</w:t>
      </w:r>
      <w:r>
        <w:t xml:space="preserve"> </w:t>
      </w:r>
      <w:r>
        <w:t xml:space="preserve">“Another Look at Measures of Forecast Accuracy.”</w:t>
      </w:r>
      <w:r>
        <w:t xml:space="preserve"> </w:t>
      </w:r>
      <w:r>
        <w:rPr>
          <w:i/>
          <w:iCs/>
        </w:rPr>
        <w:t xml:space="preserve">International Journal of Forecasting</w:t>
      </w:r>
      <w:r>
        <w:t xml:space="preserve"> </w:t>
      </w:r>
      <w:r>
        <w:t xml:space="preserve">22 (4): 679–88.</w:t>
      </w:r>
      <w:r>
        <w:t xml:space="preserve"> </w:t>
      </w:r>
      <w:hyperlink r:id="rId106">
        <w:r>
          <w:rPr>
            <w:rStyle w:val="Hyperlink"/>
          </w:rPr>
          <w:t xml:space="preserve">https://doi.org/10.1016/j.ijforecast.2006.03.001</w:t>
        </w:r>
      </w:hyperlink>
      <w:r>
        <w:t xml:space="preserve">.</w:t>
      </w:r>
    </w:p>
    <w:bookmarkEnd w:id="107"/>
    <w:bookmarkStart w:id="109" w:name="ref-iosup2008gwa"/>
    <w:p>
      <w:pPr>
        <w:pStyle w:val="Bibliography"/>
      </w:pPr>
      <w:r>
        <w:t xml:space="preserve">Iosup, Alexandru, Hui Li, Mathieu Jan, et al. 2008.</w:t>
      </w:r>
      <w:r>
        <w:t xml:space="preserve"> </w:t>
      </w:r>
      <w:r>
        <w:t xml:space="preserve">“The</w:t>
      </w:r>
      <w:r>
        <w:t xml:space="preserve"> </w:t>
      </w:r>
      <w:r>
        <w:t xml:space="preserve">Grid</w:t>
      </w:r>
      <w:r>
        <w:t xml:space="preserve"> </w:t>
      </w:r>
      <w:r>
        <w:t xml:space="preserve">Workloads Archive.”</w:t>
      </w:r>
      <w:r>
        <w:t xml:space="preserve"> </w:t>
      </w:r>
      <w:r>
        <w:rPr>
          <w:i/>
          <w:iCs/>
        </w:rPr>
        <w:t xml:space="preserve">Future Generation Computer Systems</w:t>
      </w:r>
      <w:r>
        <w:t xml:space="preserve"> </w:t>
      </w:r>
      <w:r>
        <w:t xml:space="preserve">24 (7): 672–86.</w:t>
      </w:r>
      <w:r>
        <w:t xml:space="preserve"> </w:t>
      </w:r>
      <w:hyperlink r:id="rId108">
        <w:r>
          <w:rPr>
            <w:rStyle w:val="Hyperlink"/>
          </w:rPr>
          <w:t xml:space="preserve">https://doi.org/10.1016/j.future.2008.02.003</w:t>
        </w:r>
      </w:hyperlink>
      <w:r>
        <w:t xml:space="preserve">.</w:t>
      </w:r>
    </w:p>
    <w:bookmarkEnd w:id="109"/>
    <w:bookmarkStart w:id="111" w:name="ref-kirchoff2024provisioning"/>
    <w:p>
      <w:pPr>
        <w:pStyle w:val="Bibliography"/>
      </w:pPr>
      <w:r>
        <w:t xml:space="preserve">Kirchoff, Dionatrã F., Vinícius Meyer, Rodrigo N. Calheiros, and Cesar A. F. De Rose. 2024.</w:t>
      </w:r>
      <w:r>
        <w:t xml:space="preserve"> </w:t>
      </w:r>
      <w:r>
        <w:t xml:space="preserve">“Evaluating Machine Learning Prediction Techniques and Their Impact on Proactive Resource Provisioning for Cloud Environments.”</w:t>
      </w:r>
      <w:r>
        <w:t xml:space="preserve"> </w:t>
      </w:r>
      <w:r>
        <w:rPr>
          <w:i/>
          <w:iCs/>
        </w:rPr>
        <w:t xml:space="preserve">The Journal of Supercomputing</w:t>
      </w:r>
      <w:r>
        <w:t xml:space="preserve"> </w:t>
      </w:r>
      <w:r>
        <w:t xml:space="preserve">80 (15): 21920–51.</w:t>
      </w:r>
      <w:r>
        <w:t xml:space="preserve"> </w:t>
      </w:r>
      <w:hyperlink r:id="rId110">
        <w:r>
          <w:rPr>
            <w:rStyle w:val="Hyperlink"/>
          </w:rPr>
          <w:t xml:space="preserve">https://doi.org/10.1007/s11227-024-06303-6</w:t>
        </w:r>
      </w:hyperlink>
      <w:r>
        <w:t xml:space="preserve">.</w:t>
      </w:r>
    </w:p>
    <w:bookmarkEnd w:id="111"/>
    <w:bookmarkStart w:id="113" w:name="ref-musa2024costeffective"/>
    <w:p>
      <w:pPr>
        <w:pStyle w:val="Bibliography"/>
      </w:pPr>
      <w:r>
        <w:t xml:space="preserve">Musa, Saira, and Douglas G. Down. 2024.</w:t>
      </w:r>
      <w:r>
        <w:t xml:space="preserve"> </w:t>
      </w:r>
      <w:r>
        <w:t xml:space="preserve">“Cost-Effective Cloud Resource Provisioning Using Linear Regression.”</w:t>
      </w:r>
      <w:r>
        <w:t xml:space="preserve"> </w:t>
      </w:r>
      <w:r>
        <w:rPr>
          <w:i/>
          <w:iCs/>
        </w:rPr>
        <w:t xml:space="preserve">2024 IEEE International Conference on Cloud Computing Technology and Science (CloudCom)</w:t>
      </w:r>
      <w:r>
        <w:t xml:space="preserve"> </w:t>
      </w:r>
      <w:r>
        <w:t xml:space="preserve">(Abu Dhabi, United Arab Emirates), 176–83.</w:t>
      </w:r>
      <w:r>
        <w:t xml:space="preserve"> </w:t>
      </w:r>
      <w:hyperlink r:id="rId112">
        <w:r>
          <w:rPr>
            <w:rStyle w:val="Hyperlink"/>
          </w:rPr>
          <w:t xml:space="preserve">https://doi.org/10.1109/CloudCom62794.2024.00036</w:t>
        </w:r>
      </w:hyperlink>
      <w:r>
        <w:t xml:space="preserve">.</w:t>
      </w:r>
    </w:p>
    <w:bookmarkEnd w:id="113"/>
    <w:bookmarkStart w:id="115" w:name="ref-rzadca2020autopilot"/>
    <w:p>
      <w:pPr>
        <w:pStyle w:val="Bibliography"/>
      </w:pPr>
      <w:r>
        <w:t xml:space="preserve">Rzadca, Krzysztof, Pawel Findeisen, Jacek Swiderski, et al. 2020.</w:t>
      </w:r>
      <w:r>
        <w:t xml:space="preserve"> </w:t>
      </w:r>
      <w:r>
        <w:t xml:space="preserve">“Autopilot: Workload Autoscaling at</w:t>
      </w:r>
      <w:r>
        <w:t xml:space="preserve"> </w:t>
      </w:r>
      <w:r>
        <w:t xml:space="preserve">Google</w:t>
      </w:r>
      <w:r>
        <w:t xml:space="preserve">.”</w:t>
      </w:r>
      <w:r>
        <w:t xml:space="preserve"> </w:t>
      </w:r>
      <w:r>
        <w:rPr>
          <w:i/>
          <w:iCs/>
        </w:rPr>
        <w:t xml:space="preserve">Proceedings of the Fifteenth European Conference on Computer Systems (EuroSys ’20)</w:t>
      </w:r>
      <w:r>
        <w:t xml:space="preserve">, 1–16.</w:t>
      </w:r>
      <w:r>
        <w:t xml:space="preserve"> </w:t>
      </w:r>
      <w:hyperlink r:id="rId114">
        <w:r>
          <w:rPr>
            <w:rStyle w:val="Hyperlink"/>
          </w:rPr>
          <w:t xml:space="preserve">https://doi.org/10.1145/3342195.3387524</w:t>
        </w:r>
      </w:hyperlink>
      <w:r>
        <w:t xml:space="preserve">.</w:t>
      </w:r>
    </w:p>
    <w:bookmarkEnd w:id="115"/>
    <w:bookmarkStart w:id="117" w:name="ref-shen2015bitbrains"/>
    <w:p>
      <w:pPr>
        <w:pStyle w:val="Bibliography"/>
      </w:pPr>
      <w:r>
        <w:t xml:space="preserve">Shen, Siqi, Vincent van Beek, and Alexandru Iosup. 2015.</w:t>
      </w:r>
      <w:r>
        <w:t xml:space="preserve"> </w:t>
      </w:r>
      <w:r>
        <w:t xml:space="preserve">“Statistical Characterization of Business-Critical Workloads Hosted in Cloud Datacenters.”</w:t>
      </w:r>
      <w:r>
        <w:t xml:space="preserve"> </w:t>
      </w:r>
      <w:r>
        <w:rPr>
          <w:i/>
          <w:iCs/>
        </w:rPr>
        <w:t xml:space="preserve">2015 15th IEEE/ACM Int. Symp. On Cluster, Cloud and Grid Computing (CCGrid)</w:t>
      </w:r>
      <w:r>
        <w:t xml:space="preserve">, 465–74.</w:t>
      </w:r>
      <w:r>
        <w:t xml:space="preserve"> </w:t>
      </w:r>
      <w:hyperlink r:id="rId116">
        <w:r>
          <w:rPr>
            <w:rStyle w:val="Hyperlink"/>
          </w:rPr>
          <w:t xml:space="preserve">https://doi.org/10.1109/CCGrid.2015.60</w:t>
        </w:r>
      </w:hyperlink>
      <w:r>
        <w:t xml:space="preserve">.</w:t>
      </w:r>
    </w:p>
    <w:bookmarkEnd w:id="117"/>
    <w:bookmarkStart w:id="119" w:name="ref-taylor2018prophet"/>
    <w:p>
      <w:pPr>
        <w:pStyle w:val="Bibliography"/>
      </w:pPr>
      <w:r>
        <w:t xml:space="preserve">Taylor, Sean J., and Benjamin Letham. 2018.</w:t>
      </w:r>
      <w:r>
        <w:t xml:space="preserve"> </w:t>
      </w:r>
      <w:r>
        <w:t xml:space="preserve">“Forecasting at Scale.”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72 (1): 37–45.</w:t>
      </w:r>
      <w:r>
        <w:t xml:space="preserve"> </w:t>
      </w:r>
      <w:hyperlink r:id="rId118">
        <w:r>
          <w:rPr>
            <w:rStyle w:val="Hyperlink"/>
          </w:rPr>
          <w:t xml:space="preserve">https://doi.org/10.1080/00031305.2017.1380080</w:t>
        </w:r>
      </w:hyperlink>
      <w:r>
        <w:t xml:space="preserve">.</w:t>
      </w:r>
    </w:p>
    <w:bookmarkEnd w:id="119"/>
    <w:bookmarkStart w:id="121" w:name="ref-wang2014optimal"/>
    <w:p>
      <w:pPr>
        <w:pStyle w:val="Bibliography"/>
      </w:pPr>
      <w:r>
        <w:t xml:space="preserve">Wang, Wei, Ben Liang, and Baochun Li. 2015.</w:t>
      </w:r>
      <w:r>
        <w:t xml:space="preserve"> </w:t>
      </w:r>
      <w:r>
        <w:t xml:space="preserve">“Optimal Online Multi-Instance Acquisition in</w:t>
      </w:r>
      <w:r>
        <w:t xml:space="preserve"> </w:t>
      </w:r>
      <w:r>
        <w:t xml:space="preserve">IaaS</w:t>
      </w:r>
      <w:r>
        <w:t xml:space="preserve"> </w:t>
      </w:r>
      <w:r>
        <w:t xml:space="preserve">Clouds.”</w:t>
      </w:r>
      <w:r>
        <w:t xml:space="preserve"> </w:t>
      </w:r>
      <w:r>
        <w:rPr>
          <w:i/>
          <w:iCs/>
        </w:rPr>
        <w:t xml:space="preserve">IEEE Transactions on Parallel and Distributed Systems</w:t>
      </w:r>
      <w:r>
        <w:t xml:space="preserve"> </w:t>
      </w:r>
      <w:r>
        <w:t xml:space="preserve">26 (12): 3407–19.</w:t>
      </w:r>
      <w:r>
        <w:t xml:space="preserve"> </w:t>
      </w:r>
      <w:hyperlink r:id="rId120">
        <w:r>
          <w:rPr>
            <w:rStyle w:val="Hyperlink"/>
          </w:rPr>
          <w:t xml:space="preserve">https://doi.org/10.1109/TPDS.2014.2385697</w:t>
        </w:r>
      </w:hyperlink>
      <w:r>
        <w:t xml:space="preserve">.</w:t>
      </w:r>
    </w:p>
    <w:bookmarkEnd w:id="121"/>
    <w:bookmarkStart w:id="123" w:name="ref-wang2014dynamic"/>
    <w:p>
      <w:pPr>
        <w:pStyle w:val="Bibliography"/>
      </w:pPr>
      <w:r>
        <w:t xml:space="preserve">Wang, Wei, Di Niu, Ben Liang, and Baochun Li. 2015.</w:t>
      </w:r>
      <w:r>
        <w:t xml:space="preserve"> </w:t>
      </w:r>
      <w:r>
        <w:t xml:space="preserve">“Dynamic Cloud Instance Acquisition via</w:t>
      </w:r>
      <w:r>
        <w:t xml:space="preserve"> </w:t>
      </w:r>
      <w:r>
        <w:t xml:space="preserve">IaaS</w:t>
      </w:r>
      <w:r>
        <w:t xml:space="preserve"> </w:t>
      </w:r>
      <w:r>
        <w:t xml:space="preserve">Cloud Brokerage.”</w:t>
      </w:r>
      <w:r>
        <w:t xml:space="preserve"> </w:t>
      </w:r>
      <w:r>
        <w:rPr>
          <w:i/>
          <w:iCs/>
        </w:rPr>
        <w:t xml:space="preserve">IEEE Transactions on Parallel and Distributed Systems</w:t>
      </w:r>
      <w:r>
        <w:t xml:space="preserve"> </w:t>
      </w:r>
      <w:r>
        <w:t xml:space="preserve">26 (6): 1580–93.</w:t>
      </w:r>
      <w:r>
        <w:t xml:space="preserve"> </w:t>
      </w:r>
      <w:hyperlink r:id="rId122">
        <w:r>
          <w:rPr>
            <w:rStyle w:val="Hyperlink"/>
          </w:rPr>
          <w:t xml:space="preserve">https://doi.org/10.1109/TPDS.2014.2326409</w:t>
        </w:r>
      </w:hyperlink>
      <w:r>
        <w:t xml:space="preserve">.</w:t>
      </w:r>
    </w:p>
    <w:bookmarkEnd w:id="123"/>
    <w:bookmarkStart w:id="125" w:name="ref-yadwadkar2017paris"/>
    <w:p>
      <w:pPr>
        <w:pStyle w:val="Bibliography"/>
      </w:pPr>
      <w:r>
        <w:t xml:space="preserve">Yadwadkar, Neeraja J., Bharath Hariharan, Joseph E. Gonzalez, Burton Smith, and Randy H. Katz. 2017.</w:t>
      </w:r>
      <w:r>
        <w:t xml:space="preserve"> </w:t>
      </w:r>
      <w:r>
        <w:t xml:space="preserve">“Selecting the Best</w:t>
      </w:r>
      <w:r>
        <w:t xml:space="preserve"> </w:t>
      </w:r>
      <w:r>
        <w:t xml:space="preserve">VM</w:t>
      </w:r>
      <w:r>
        <w:t xml:space="preserve"> </w:t>
      </w:r>
      <w:r>
        <w:t xml:space="preserve">Across Multiple Public Clouds: A Data-Driven Performance Modeling Approach.”</w:t>
      </w:r>
      <w:r>
        <w:t xml:space="preserve"> </w:t>
      </w:r>
      <w:r>
        <w:rPr>
          <w:i/>
          <w:iCs/>
        </w:rPr>
        <w:t xml:space="preserve">Proceedings of the 2017 Symposium on Cloud Computing (SoCC ’17)</w:t>
      </w:r>
      <w:r>
        <w:t xml:space="preserve"> </w:t>
      </w:r>
      <w:r>
        <w:t xml:space="preserve">(New York, NY, USA), 452–65.</w:t>
      </w:r>
      <w:r>
        <w:t xml:space="preserve"> </w:t>
      </w:r>
      <w:hyperlink r:id="rId124">
        <w:r>
          <w:rPr>
            <w:rStyle w:val="Hyperlink"/>
          </w:rPr>
          <w:t xml:space="preserve">https://doi.org/10.1145/3127479.3131614</w:t>
        </w:r>
      </w:hyperlink>
      <w:r>
        <w:t xml:space="preserve">.</w:t>
      </w:r>
    </w:p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" Target="media/rId19.pdf" /><Relationship Type="http://schemas.openxmlformats.org/officeDocument/2006/relationships/image" Id="rId45" Target="media/rId45.pdf" /><Relationship Type="http://schemas.openxmlformats.org/officeDocument/2006/relationships/image" Id="rId56" Target="media/rId56.pdf" /><Relationship Type="http://schemas.openxmlformats.org/officeDocument/2006/relationships/image" Id="rId59" Target="media/rId59.pdf" /><Relationship Type="http://schemas.openxmlformats.org/officeDocument/2006/relationships/hyperlink" Id="rId110" Target="https://doi.org/10.1007/s11227-024-06303-6" TargetMode="External" /><Relationship Type="http://schemas.openxmlformats.org/officeDocument/2006/relationships/hyperlink" Id="rId102" Target="https://doi.org/10.1016/S0169-2070(96)00719-4" TargetMode="External" /><Relationship Type="http://schemas.openxmlformats.org/officeDocument/2006/relationships/hyperlink" Id="rId86" Target="https://doi.org/10.1016/j.cor.2020.104959" TargetMode="External" /><Relationship Type="http://schemas.openxmlformats.org/officeDocument/2006/relationships/hyperlink" Id="rId90" Target="https://doi.org/10.1016/j.ejor.2020.06.027" TargetMode="External" /><Relationship Type="http://schemas.openxmlformats.org/officeDocument/2006/relationships/hyperlink" Id="rId108" Target="https://doi.org/10.1016/j.future.2008.02.003" TargetMode="External" /><Relationship Type="http://schemas.openxmlformats.org/officeDocument/2006/relationships/hyperlink" Id="rId80" Target="https://doi.org/10.1016/j.future.2025.107833" TargetMode="External" /><Relationship Type="http://schemas.openxmlformats.org/officeDocument/2006/relationships/hyperlink" Id="rId106" Target="https://doi.org/10.1016/j.ijforecast.2006.03.001" TargetMode="External" /><Relationship Type="http://schemas.openxmlformats.org/officeDocument/2006/relationships/hyperlink" Id="rId118" Target="https://doi.org/10.1080/00031305.2017.1380080" TargetMode="External" /><Relationship Type="http://schemas.openxmlformats.org/officeDocument/2006/relationships/hyperlink" Id="rId100" Target="https://doi.org/10.1080/07350015.1995.10524599" TargetMode="External" /><Relationship Type="http://schemas.openxmlformats.org/officeDocument/2006/relationships/hyperlink" Id="rId116" Target="https://doi.org/10.1109/CCGrid.2015.60" TargetMode="External" /><Relationship Type="http://schemas.openxmlformats.org/officeDocument/2006/relationships/hyperlink" Id="rId112" Target="https://doi.org/10.1109/CloudCom62794.2024.00036" TargetMode="External" /><Relationship Type="http://schemas.openxmlformats.org/officeDocument/2006/relationships/hyperlink" Id="rId82" Target="https://doi.org/10.1109/CloudCom67567.2025.11331429" TargetMode="External" /><Relationship Type="http://schemas.openxmlformats.org/officeDocument/2006/relationships/hyperlink" Id="rId122" Target="https://doi.org/10.1109/TPDS.2014.2326409" TargetMode="External" /><Relationship Type="http://schemas.openxmlformats.org/officeDocument/2006/relationships/hyperlink" Id="rId120" Target="https://doi.org/10.1109/TPDS.2014.2385697" TargetMode="External" /><Relationship Type="http://schemas.openxmlformats.org/officeDocument/2006/relationships/hyperlink" Id="rId94" Target="https://doi.org/10.1109/TSC.2011.7" TargetMode="External" /><Relationship Type="http://schemas.openxmlformats.org/officeDocument/2006/relationships/hyperlink" Id="rId124" Target="https://doi.org/10.1145/3127479.3131614" TargetMode="External" /><Relationship Type="http://schemas.openxmlformats.org/officeDocument/2006/relationships/hyperlink" Id="rId98" Target="https://doi.org/10.1145/3132747.3132772" TargetMode="External" /><Relationship Type="http://schemas.openxmlformats.org/officeDocument/2006/relationships/hyperlink" Id="rId114" Target="https://doi.org/10.1145/3342195.3387524" TargetMode="External" /><Relationship Type="http://schemas.openxmlformats.org/officeDocument/2006/relationships/hyperlink" Id="rId96" Target="https://doi.org/10.1177/10591478241251614" TargetMode="External" /><Relationship Type="http://schemas.openxmlformats.org/officeDocument/2006/relationships/hyperlink" Id="rId88" Target="https://doi.org/10.1287/opre.2018.1757" TargetMode="External" /><Relationship Type="http://schemas.openxmlformats.org/officeDocument/2006/relationships/hyperlink" Id="rId92" Target="https://doi.org/10.14778/3554821.3554840" TargetMode="External" /><Relationship Type="http://schemas.openxmlformats.org/officeDocument/2006/relationships/hyperlink" Id="rId104" Target="https://doi.org/10.18637/jss.v027.i03" TargetMode="External" /><Relationship Type="http://schemas.openxmlformats.org/officeDocument/2006/relationships/hyperlink" Id="rId84" Target="https://doi.org/10.2307/1906813" TargetMode="External" /><Relationship Type="http://schemas.openxmlformats.org/officeDocument/2006/relationships/hyperlink" Id="rId75" Target="mailto:Ihazem28@gmail.com" TargetMode="External" /><Relationship Type="http://schemas.openxmlformats.org/officeDocument/2006/relationships/hyperlink" Id="rId76" Target="mailto:ahmed.sameh.12543@gmail.com" TargetMode="External" /><Relationship Type="http://schemas.openxmlformats.org/officeDocument/2006/relationships/hyperlink" Id="rId78" Target="mailto:ehabjohn22@gmail.com" TargetMode="External" /><Relationship Type="http://schemas.openxmlformats.org/officeDocument/2006/relationships/hyperlink" Id="rId73" Target="mailto:ibrahimmohamedabdelsadek@gmail.com" TargetMode="External" /><Relationship Type="http://schemas.openxmlformats.org/officeDocument/2006/relationships/hyperlink" Id="rId77" Target="mailto:mahmoudkamel9102003@gmail.com" TargetMode="External" /><Relationship Type="http://schemas.openxmlformats.org/officeDocument/2006/relationships/hyperlink" Id="rId74" Target="mailto:mariamemadcs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0" Target="https://doi.org/10.1007/s11227-024-06303-6" TargetMode="External" /><Relationship Type="http://schemas.openxmlformats.org/officeDocument/2006/relationships/hyperlink" Id="rId102" Target="https://doi.org/10.1016/S0169-2070(96)00719-4" TargetMode="External" /><Relationship Type="http://schemas.openxmlformats.org/officeDocument/2006/relationships/hyperlink" Id="rId86" Target="https://doi.org/10.1016/j.cor.2020.104959" TargetMode="External" /><Relationship Type="http://schemas.openxmlformats.org/officeDocument/2006/relationships/hyperlink" Id="rId90" Target="https://doi.org/10.1016/j.ejor.2020.06.027" TargetMode="External" /><Relationship Type="http://schemas.openxmlformats.org/officeDocument/2006/relationships/hyperlink" Id="rId108" Target="https://doi.org/10.1016/j.future.2008.02.003" TargetMode="External" /><Relationship Type="http://schemas.openxmlformats.org/officeDocument/2006/relationships/hyperlink" Id="rId80" Target="https://doi.org/10.1016/j.future.2025.107833" TargetMode="External" /><Relationship Type="http://schemas.openxmlformats.org/officeDocument/2006/relationships/hyperlink" Id="rId106" Target="https://doi.org/10.1016/j.ijforecast.2006.03.001" TargetMode="External" /><Relationship Type="http://schemas.openxmlformats.org/officeDocument/2006/relationships/hyperlink" Id="rId118" Target="https://doi.org/10.1080/00031305.2017.1380080" TargetMode="External" /><Relationship Type="http://schemas.openxmlformats.org/officeDocument/2006/relationships/hyperlink" Id="rId100" Target="https://doi.org/10.1080/07350015.1995.10524599" TargetMode="External" /><Relationship Type="http://schemas.openxmlformats.org/officeDocument/2006/relationships/hyperlink" Id="rId116" Target="https://doi.org/10.1109/CCGrid.2015.60" TargetMode="External" /><Relationship Type="http://schemas.openxmlformats.org/officeDocument/2006/relationships/hyperlink" Id="rId112" Target="https://doi.org/10.1109/CloudCom62794.2024.00036" TargetMode="External" /><Relationship Type="http://schemas.openxmlformats.org/officeDocument/2006/relationships/hyperlink" Id="rId82" Target="https://doi.org/10.1109/CloudCom67567.2025.11331429" TargetMode="External" /><Relationship Type="http://schemas.openxmlformats.org/officeDocument/2006/relationships/hyperlink" Id="rId122" Target="https://doi.org/10.1109/TPDS.2014.2326409" TargetMode="External" /><Relationship Type="http://schemas.openxmlformats.org/officeDocument/2006/relationships/hyperlink" Id="rId120" Target="https://doi.org/10.1109/TPDS.2014.2385697" TargetMode="External" /><Relationship Type="http://schemas.openxmlformats.org/officeDocument/2006/relationships/hyperlink" Id="rId94" Target="https://doi.org/10.1109/TSC.2011.7" TargetMode="External" /><Relationship Type="http://schemas.openxmlformats.org/officeDocument/2006/relationships/hyperlink" Id="rId124" Target="https://doi.org/10.1145/3127479.3131614" TargetMode="External" /><Relationship Type="http://schemas.openxmlformats.org/officeDocument/2006/relationships/hyperlink" Id="rId98" Target="https://doi.org/10.1145/3132747.3132772" TargetMode="External" /><Relationship Type="http://schemas.openxmlformats.org/officeDocument/2006/relationships/hyperlink" Id="rId114" Target="https://doi.org/10.1145/3342195.3387524" TargetMode="External" /><Relationship Type="http://schemas.openxmlformats.org/officeDocument/2006/relationships/hyperlink" Id="rId96" Target="https://doi.org/10.1177/10591478241251614" TargetMode="External" /><Relationship Type="http://schemas.openxmlformats.org/officeDocument/2006/relationships/hyperlink" Id="rId88" Target="https://doi.org/10.1287/opre.2018.1757" TargetMode="External" /><Relationship Type="http://schemas.openxmlformats.org/officeDocument/2006/relationships/hyperlink" Id="rId92" Target="https://doi.org/10.14778/3554821.3554840" TargetMode="External" /><Relationship Type="http://schemas.openxmlformats.org/officeDocument/2006/relationships/hyperlink" Id="rId104" Target="https://doi.org/10.18637/jss.v027.i03" TargetMode="External" /><Relationship Type="http://schemas.openxmlformats.org/officeDocument/2006/relationships/hyperlink" Id="rId84" Target="https://doi.org/10.2307/1906813" TargetMode="External" /><Relationship Type="http://schemas.openxmlformats.org/officeDocument/2006/relationships/hyperlink" Id="rId75" Target="mailto:Ihazem28@gmail.com" TargetMode="External" /><Relationship Type="http://schemas.openxmlformats.org/officeDocument/2006/relationships/hyperlink" Id="rId76" Target="mailto:ahmed.sameh.12543@gmail.com" TargetMode="External" /><Relationship Type="http://schemas.openxmlformats.org/officeDocument/2006/relationships/hyperlink" Id="rId78" Target="mailto:ehabjohn22@gmail.com" TargetMode="External" /><Relationship Type="http://schemas.openxmlformats.org/officeDocument/2006/relationships/hyperlink" Id="rId73" Target="mailto:ibrahimmohamedabdelsadek@gmail.com" TargetMode="External" /><Relationship Type="http://schemas.openxmlformats.org/officeDocument/2006/relationships/hyperlink" Id="rId77" Target="mailto:mahmoudkamel9102003@gmail.com" TargetMode="External" /><Relationship Type="http://schemas.openxmlformats.org/officeDocument/2006/relationships/hyperlink" Id="rId74" Target="mailto:mariamemadcs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The Price of Conservatism in Cloud Optimization: An Empirical Evaluation of Right-Sizing and Reservation Policies</dc:title>
  <dc:creator>Ibrahim Mohamed; Mariam Emad; Hazem Ibrahim; Ahmed Sameh; Mahmoud Ahmed; John Ehab</dc:creator>
  <cp:keywords>cloud cost optimization, right-sizing, capacity reservation, resource management, cloud pricing, workload traces, FinOps, empirical evaluation</cp:keywords>
  <dcterms:created xsi:type="dcterms:W3CDTF">2026-07-10T18:14:17Z</dcterms:created>
  <dcterms:modified xsi:type="dcterms:W3CDTF">2026-07-10T18:14:17Z</dcterms:modified>
  <dc:subject>Cloud cost optimization, right-sizing, and reservation policies</dc:subject>
  <cp:lastModifiedBy>Ibrahim Mohamed; Mariam Emad; Hazem Ibrahim; Ahmed Sameh; Mahmoud Ahmed; John Ehab</cp:lastModifiedB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3" name="reference-section-title">
    <vt:lpwstr>References</vt:lpwstr>
  </property>
</Properties>
</file>