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160"/>
      </w:pPr>
      <w:r>
        <w:rPr>
          <w:rFonts w:ascii="Calibri" w:hAnsi="Calibri"/>
          <w:b/>
          <w:color w:val="1B365D"/>
          <w:sz w:val="48"/>
        </w:rPr>
        <w:t>COMPREHENSIVE DATA ANALYSIS REPORTING AND PRESENTATION</w:t>
      </w:r>
    </w:p>
    <w:p>
      <w:pPr>
        <w:spacing w:after="320"/>
      </w:pPr>
      <w:r>
        <w:rPr>
          <w:rFonts w:ascii="Calibri" w:hAnsi="Calibri"/>
          <w:color w:val="465C7A"/>
          <w:sz w:val="27"/>
        </w:rPr>
        <w:t>Data Cleaning, Visualization, Statistical Analysis and Predictive Modeling using R</w:t>
      </w:r>
    </w:p>
    <w:p>
      <w:pPr>
        <w:spacing w:after="400"/>
      </w:pPr>
      <w:r>
        <w:rPr>
          <w:color w:val="465C7A"/>
        </w:rPr>
        <w:t>――――――――――――――――――――――――――――――――――――――――――――――――――――――――――</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4680"/>
        <w:gridCol w:w="4680"/>
      </w:tblGrid>
      <w:tr>
        <w:tc>
          <w:tcPr>
            <w:tcW w:type="dxa" w:w="3168"/>
            <w:shd w:fill="F0F4F8"/>
            <w:tcMar>
              <w:top w:w="70" w:type="dxa"/>
              <w:bottom w:w="70" w:type="dxa"/>
              <w:left w:w="100" w:type="dxa"/>
              <w:right w:w="100" w:type="dxa"/>
            </w:tcMar>
          </w:tcPr>
          <w:p>
            <w:pPr>
              <w:spacing w:after="0"/>
              <w:jc w:val="left"/>
            </w:pPr>
            <w:r>
              <w:rPr>
                <w:rFonts w:ascii="Calibri" w:hAnsi="Calibri"/>
                <w:b/>
                <w:color w:val="212529"/>
                <w:sz w:val="17"/>
              </w:rPr>
              <w:t>Assignment</w:t>
            </w:r>
          </w:p>
        </w:tc>
        <w:tc>
          <w:tcPr>
            <w:tcW w:type="dxa" w:w="6192"/>
            <w:shd w:fill="FFFFFF"/>
            <w:tcMar>
              <w:top w:w="70" w:type="dxa"/>
              <w:bottom w:w="70" w:type="dxa"/>
              <w:left w:w="100" w:type="dxa"/>
              <w:right w:w="100" w:type="dxa"/>
            </w:tcMar>
          </w:tcPr>
          <w:p>
            <w:pPr>
              <w:spacing w:after="0"/>
              <w:jc w:val="left"/>
            </w:pPr>
            <w:r>
              <w:rPr>
                <w:rFonts w:ascii="Calibri" w:hAnsi="Calibri"/>
                <w:b w:val="0"/>
                <w:color w:val="212529"/>
                <w:sz w:val="17"/>
              </w:rPr>
              <w:t>Week 4: Comprehensive Data Analysis Final Report</w:t>
            </w:r>
          </w:p>
        </w:tc>
      </w:tr>
      <w:tr>
        <w:tc>
          <w:tcPr>
            <w:tcW w:type="dxa" w:w="3168"/>
            <w:shd w:fill="F0F4F8"/>
            <w:tcMar>
              <w:top w:w="70" w:type="dxa"/>
              <w:bottom w:w="70" w:type="dxa"/>
              <w:left w:w="100" w:type="dxa"/>
              <w:right w:w="100" w:type="dxa"/>
            </w:tcMar>
          </w:tcPr>
          <w:p>
            <w:pPr>
              <w:spacing w:after="0"/>
              <w:jc w:val="left"/>
            </w:pPr>
            <w:r>
              <w:rPr>
                <w:rFonts w:ascii="Calibri" w:hAnsi="Calibri"/>
                <w:b/>
                <w:color w:val="212529"/>
                <w:sz w:val="17"/>
              </w:rPr>
              <w:t>Primary Dataset</w:t>
            </w:r>
          </w:p>
        </w:tc>
        <w:tc>
          <w:tcPr>
            <w:tcW w:type="dxa" w:w="6192"/>
            <w:shd w:fill="FFFFFF"/>
            <w:tcMar>
              <w:top w:w="70" w:type="dxa"/>
              <w:bottom w:w="70" w:type="dxa"/>
              <w:left w:w="100" w:type="dxa"/>
              <w:right w:w="100" w:type="dxa"/>
            </w:tcMar>
          </w:tcPr>
          <w:p>
            <w:pPr>
              <w:spacing w:after="0"/>
              <w:jc w:val="left"/>
            </w:pPr>
            <w:r>
              <w:rPr>
                <w:rFonts w:ascii="Calibri" w:hAnsi="Calibri"/>
                <w:b w:val="0"/>
                <w:color w:val="212529"/>
                <w:sz w:val="17"/>
              </w:rPr>
              <w:t>UCI Adult / Census Income Dataset (1994 U.S. Census Bureau CPS)</w:t>
            </w:r>
          </w:p>
        </w:tc>
      </w:tr>
      <w:tr>
        <w:tc>
          <w:tcPr>
            <w:tcW w:type="dxa" w:w="3168"/>
            <w:shd w:fill="F0F4F8"/>
            <w:tcMar>
              <w:top w:w="70" w:type="dxa"/>
              <w:bottom w:w="70" w:type="dxa"/>
              <w:left w:w="100" w:type="dxa"/>
              <w:right w:w="100" w:type="dxa"/>
            </w:tcMar>
          </w:tcPr>
          <w:p>
            <w:pPr>
              <w:spacing w:after="0"/>
              <w:jc w:val="left"/>
            </w:pPr>
            <w:r>
              <w:rPr>
                <w:rFonts w:ascii="Calibri" w:hAnsi="Calibri"/>
                <w:b/>
                <w:color w:val="212529"/>
                <w:sz w:val="17"/>
              </w:rPr>
              <w:t>Analytical Scope</w:t>
            </w:r>
          </w:p>
        </w:tc>
        <w:tc>
          <w:tcPr>
            <w:tcW w:type="dxa" w:w="6192"/>
            <w:shd w:fill="FFFFFF"/>
            <w:tcMar>
              <w:top w:w="70" w:type="dxa"/>
              <w:bottom w:w="70" w:type="dxa"/>
              <w:left w:w="100" w:type="dxa"/>
              <w:right w:w="100" w:type="dxa"/>
            </w:tcMar>
          </w:tcPr>
          <w:p>
            <w:pPr>
              <w:spacing w:after="0"/>
              <w:jc w:val="left"/>
            </w:pPr>
            <w:r>
              <w:rPr>
                <w:rFonts w:ascii="Calibri" w:hAnsi="Calibri"/>
                <w:b w:val="0"/>
                <w:color w:val="212529"/>
                <w:sz w:val="17"/>
              </w:rPr>
              <w:t>End-to-End Pipeline: Ingestion, Hygiene, EDA, Inference &amp; Predictive Modeling</w:t>
            </w:r>
          </w:p>
        </w:tc>
      </w:tr>
      <w:tr>
        <w:tc>
          <w:tcPr>
            <w:tcW w:type="dxa" w:w="3168"/>
            <w:shd w:fill="F0F4F8"/>
            <w:tcMar>
              <w:top w:w="70" w:type="dxa"/>
              <w:bottom w:w="70" w:type="dxa"/>
              <w:left w:w="100" w:type="dxa"/>
              <w:right w:w="100" w:type="dxa"/>
            </w:tcMar>
          </w:tcPr>
          <w:p>
            <w:pPr>
              <w:spacing w:after="0"/>
              <w:jc w:val="left"/>
            </w:pPr>
            <w:r>
              <w:rPr>
                <w:rFonts w:ascii="Calibri" w:hAnsi="Calibri"/>
                <w:b/>
                <w:color w:val="212529"/>
                <w:sz w:val="17"/>
              </w:rPr>
              <w:t>Technology Stack</w:t>
            </w:r>
          </w:p>
        </w:tc>
        <w:tc>
          <w:tcPr>
            <w:tcW w:type="dxa" w:w="6192"/>
            <w:shd w:fill="FFFFFF"/>
            <w:tcMar>
              <w:top w:w="70" w:type="dxa"/>
              <w:bottom w:w="70" w:type="dxa"/>
              <w:left w:w="100" w:type="dxa"/>
              <w:right w:w="100" w:type="dxa"/>
            </w:tcMar>
          </w:tcPr>
          <w:p>
            <w:pPr>
              <w:spacing w:after="0"/>
              <w:jc w:val="left"/>
            </w:pPr>
            <w:r>
              <w:rPr>
                <w:rFonts w:ascii="Calibri" w:hAnsi="Calibri"/>
                <w:b w:val="0"/>
                <w:color w:val="212529"/>
                <w:sz w:val="17"/>
              </w:rPr>
              <w:t>R (v4.6.1 / x86_64-w64-mingw32), tidyverse, ggplot2, car, glmnet, pROC, python-docx</w:t>
            </w:r>
          </w:p>
        </w:tc>
      </w:tr>
      <w:tr>
        <w:tc>
          <w:tcPr>
            <w:tcW w:type="dxa" w:w="3168"/>
            <w:shd w:fill="F0F4F8"/>
            <w:tcMar>
              <w:top w:w="70" w:type="dxa"/>
              <w:bottom w:w="70" w:type="dxa"/>
              <w:left w:w="100" w:type="dxa"/>
              <w:right w:w="100" w:type="dxa"/>
            </w:tcMar>
          </w:tcPr>
          <w:p>
            <w:pPr>
              <w:spacing w:after="0"/>
              <w:jc w:val="left"/>
            </w:pPr>
            <w:r>
              <w:rPr>
                <w:rFonts w:ascii="Calibri" w:hAnsi="Calibri"/>
                <w:b/>
                <w:color w:val="212529"/>
                <w:sz w:val="17"/>
              </w:rPr>
              <w:t>Repository URL</w:t>
            </w:r>
          </w:p>
        </w:tc>
        <w:tc>
          <w:tcPr>
            <w:tcW w:type="dxa" w:w="6192"/>
            <w:shd w:fill="FFFFFF"/>
            <w:tcMar>
              <w:top w:w="70" w:type="dxa"/>
              <w:bottom w:w="70" w:type="dxa"/>
              <w:left w:w="100" w:type="dxa"/>
              <w:right w:w="100" w:type="dxa"/>
            </w:tcMar>
          </w:tcPr>
          <w:p>
            <w:pPr>
              <w:spacing w:after="0"/>
              <w:jc w:val="left"/>
            </w:pPr>
            <w:r>
              <w:rPr>
                <w:rFonts w:ascii="Calibri" w:hAnsi="Calibri"/>
                <w:b w:val="0"/>
                <w:color w:val="212529"/>
                <w:sz w:val="17"/>
              </w:rPr>
              <w:t>https://github.com/G1OUL/week-1-r-data-cleaning-analysis</w:t>
            </w:r>
          </w:p>
        </w:tc>
      </w:tr>
      <w:tr>
        <w:tc>
          <w:tcPr>
            <w:tcW w:type="dxa" w:w="3168"/>
            <w:shd w:fill="F0F4F8"/>
            <w:tcMar>
              <w:top w:w="70" w:type="dxa"/>
              <w:bottom w:w="70" w:type="dxa"/>
              <w:left w:w="100" w:type="dxa"/>
              <w:right w:w="100" w:type="dxa"/>
            </w:tcMar>
          </w:tcPr>
          <w:p>
            <w:pPr>
              <w:spacing w:after="0"/>
              <w:jc w:val="left"/>
            </w:pPr>
            <w:r>
              <w:rPr>
                <w:rFonts w:ascii="Calibri" w:hAnsi="Calibri"/>
                <w:b/>
                <w:color w:val="212529"/>
                <w:sz w:val="17"/>
              </w:rPr>
              <w:t>Local Working Directory</w:t>
            </w:r>
          </w:p>
        </w:tc>
        <w:tc>
          <w:tcPr>
            <w:tcW w:type="dxa" w:w="6192"/>
            <w:shd w:fill="FFFFFF"/>
            <w:tcMar>
              <w:top w:w="70" w:type="dxa"/>
              <w:bottom w:w="70" w:type="dxa"/>
              <w:left w:w="100" w:type="dxa"/>
              <w:right w:w="100" w:type="dxa"/>
            </w:tcMar>
          </w:tcPr>
          <w:p>
            <w:pPr>
              <w:spacing w:after="0"/>
              <w:jc w:val="left"/>
            </w:pPr>
            <w:r>
              <w:rPr>
                <w:rFonts w:ascii="Calibri" w:hAnsi="Calibri"/>
                <w:b w:val="0"/>
                <w:color w:val="212529"/>
                <w:sz w:val="17"/>
              </w:rPr>
              <w:t>C:\Users\Microsoft\week\week-1-r-data-cleaning-analysis</w:t>
            </w:r>
          </w:p>
        </w:tc>
      </w:tr>
      <w:tr>
        <w:tc>
          <w:tcPr>
            <w:tcW w:type="dxa" w:w="3168"/>
            <w:shd w:fill="F0F4F8"/>
            <w:tcMar>
              <w:top w:w="70" w:type="dxa"/>
              <w:bottom w:w="70" w:type="dxa"/>
              <w:left w:w="100" w:type="dxa"/>
              <w:right w:w="100" w:type="dxa"/>
            </w:tcMar>
          </w:tcPr>
          <w:p>
            <w:pPr>
              <w:spacing w:after="0"/>
              <w:jc w:val="left"/>
            </w:pPr>
            <w:r>
              <w:rPr>
                <w:rFonts w:ascii="Calibri" w:hAnsi="Calibri"/>
                <w:b/>
                <w:color w:val="212529"/>
                <w:sz w:val="17"/>
              </w:rPr>
              <w:t>Submission Date</w:t>
            </w:r>
          </w:p>
        </w:tc>
        <w:tc>
          <w:tcPr>
            <w:tcW w:type="dxa" w:w="6192"/>
            <w:shd w:fill="FFFFFF"/>
            <w:tcMar>
              <w:top w:w="70" w:type="dxa"/>
              <w:bottom w:w="70" w:type="dxa"/>
              <w:left w:w="100" w:type="dxa"/>
              <w:right w:w="100" w:type="dxa"/>
            </w:tcMar>
          </w:tcPr>
          <w:p>
            <w:pPr>
              <w:spacing w:after="0"/>
              <w:jc w:val="left"/>
            </w:pPr>
            <w:r>
              <w:rPr>
                <w:rFonts w:ascii="Calibri" w:hAnsi="Calibri"/>
                <w:b w:val="0"/>
                <w:color w:val="212529"/>
                <w:sz w:val="17"/>
              </w:rPr>
              <w:t>October 2026</w:t>
            </w:r>
          </w:p>
        </w:tc>
      </w:tr>
      <w:tr>
        <w:tc>
          <w:tcPr>
            <w:tcW w:type="dxa" w:w="3168"/>
            <w:shd w:fill="F0F4F8"/>
            <w:tcMar>
              <w:top w:w="70" w:type="dxa"/>
              <w:bottom w:w="70" w:type="dxa"/>
              <w:left w:w="100" w:type="dxa"/>
              <w:right w:w="100" w:type="dxa"/>
            </w:tcMar>
          </w:tcPr>
          <w:p>
            <w:pPr>
              <w:spacing w:after="0"/>
              <w:jc w:val="left"/>
            </w:pPr>
            <w:r>
              <w:rPr>
                <w:rFonts w:ascii="Calibri" w:hAnsi="Calibri"/>
                <w:b/>
                <w:color w:val="212529"/>
                <w:sz w:val="17"/>
              </w:rPr>
              <w:t>Student / Contributor</w:t>
            </w:r>
          </w:p>
        </w:tc>
        <w:tc>
          <w:tcPr>
            <w:tcW w:type="dxa" w:w="6192"/>
            <w:shd w:fill="FFFFFF"/>
            <w:tcMar>
              <w:top w:w="70" w:type="dxa"/>
              <w:bottom w:w="70" w:type="dxa"/>
              <w:left w:w="100" w:type="dxa"/>
              <w:right w:w="100" w:type="dxa"/>
            </w:tcMar>
          </w:tcPr>
          <w:p>
            <w:pPr>
              <w:spacing w:after="0"/>
              <w:jc w:val="left"/>
            </w:pPr>
            <w:r>
              <w:rPr>
                <w:rFonts w:ascii="Calibri" w:hAnsi="Calibri"/>
                <w:b w:val="0"/>
                <w:color w:val="212529"/>
                <w:sz w:val="17"/>
              </w:rPr>
              <w:t>[Student Name / Lead Data Analyst]</w:t>
            </w:r>
          </w:p>
        </w:tc>
      </w:tr>
      <w:tr>
        <w:tc>
          <w:tcPr>
            <w:tcW w:type="dxa" w:w="3168"/>
            <w:shd w:fill="F0F4F8"/>
            <w:tcMar>
              <w:top w:w="70" w:type="dxa"/>
              <w:bottom w:w="70" w:type="dxa"/>
              <w:left w:w="100" w:type="dxa"/>
              <w:right w:w="100" w:type="dxa"/>
            </w:tcMar>
          </w:tcPr>
          <w:p>
            <w:pPr>
              <w:spacing w:after="0"/>
              <w:jc w:val="left"/>
            </w:pPr>
            <w:r>
              <w:rPr>
                <w:rFonts w:ascii="Calibri" w:hAnsi="Calibri"/>
                <w:b/>
                <w:color w:val="212529"/>
                <w:sz w:val="17"/>
              </w:rPr>
              <w:t>Institution / Department</w:t>
            </w:r>
          </w:p>
        </w:tc>
        <w:tc>
          <w:tcPr>
            <w:tcW w:type="dxa" w:w="6192"/>
            <w:shd w:fill="FFFFFF"/>
            <w:tcMar>
              <w:top w:w="70" w:type="dxa"/>
              <w:bottom w:w="70" w:type="dxa"/>
              <w:left w:w="100" w:type="dxa"/>
              <w:right w:w="100" w:type="dxa"/>
            </w:tcMar>
          </w:tcPr>
          <w:p>
            <w:pPr>
              <w:spacing w:after="0"/>
              <w:jc w:val="left"/>
            </w:pPr>
            <w:r>
              <w:rPr>
                <w:rFonts w:ascii="Calibri" w:hAnsi="Calibri"/>
                <w:b w:val="0"/>
                <w:color w:val="212529"/>
                <w:sz w:val="17"/>
              </w:rPr>
              <w:t>[University / Department of Data Science and Statistics]</w:t>
            </w:r>
          </w:p>
        </w:tc>
      </w:tr>
      <w:tr>
        <w:tc>
          <w:tcPr>
            <w:tcW w:type="dxa" w:w="3168"/>
            <w:shd w:fill="F0F4F8"/>
            <w:tcMar>
              <w:top w:w="70" w:type="dxa"/>
              <w:bottom w:w="70" w:type="dxa"/>
              <w:left w:w="100" w:type="dxa"/>
              <w:right w:w="100" w:type="dxa"/>
            </w:tcMar>
          </w:tcPr>
          <w:p>
            <w:pPr>
              <w:spacing w:after="0"/>
              <w:jc w:val="left"/>
            </w:pPr>
            <w:r>
              <w:rPr>
                <w:rFonts w:ascii="Calibri" w:hAnsi="Calibri"/>
                <w:b/>
                <w:color w:val="212529"/>
                <w:sz w:val="17"/>
              </w:rPr>
              <w:t>Course / Instructor</w:t>
            </w:r>
          </w:p>
        </w:tc>
        <w:tc>
          <w:tcPr>
            <w:tcW w:type="dxa" w:w="6192"/>
            <w:shd w:fill="FFFFFF"/>
            <w:tcMar>
              <w:top w:w="70" w:type="dxa"/>
              <w:bottom w:w="70" w:type="dxa"/>
              <w:left w:w="100" w:type="dxa"/>
              <w:right w:w="100" w:type="dxa"/>
            </w:tcMar>
          </w:tcPr>
          <w:p>
            <w:pPr>
              <w:spacing w:after="0"/>
              <w:jc w:val="left"/>
            </w:pPr>
            <w:r>
              <w:rPr>
                <w:rFonts w:ascii="Calibri" w:hAnsi="Calibri"/>
                <w:b w:val="0"/>
                <w:color w:val="212529"/>
                <w:sz w:val="17"/>
              </w:rPr>
              <w:t>[Course Title / Code] | [Instructor / Faculty Advisor]</w:t>
            </w:r>
          </w:p>
        </w:tc>
      </w:tr>
    </w:tbl>
    <w:p>
      <w:pPr>
        <w:spacing w:before="480"/>
      </w:pP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40" w:type="dxa"/>
            </w:tcMar>
            <w:tcBorders>
              <w:top w:val="none"/>
              <w:bottom w:val="none"/>
              <w:right w:val="none"/>
              <w:left w:val="single" w:sz="36" w:space="0" w:color="1B365D"/>
            </w:tcBorders>
          </w:tcPr>
          <w:p>
            <w:pPr>
              <w:spacing w:after="40"/>
            </w:pPr>
            <w:r>
              <w:rPr>
                <w:rFonts w:ascii="Calibri" w:hAnsi="Calibri"/>
                <w:b/>
                <w:color w:val="1B365D"/>
                <w:sz w:val="19"/>
              </w:rPr>
              <w:t xml:space="preserve">[DECLARATION OF EMPIRICAL RIGOR AND ACADEMIC INTEGRITY] </w:t>
            </w:r>
            <w:r>
              <w:rPr>
                <w:rFonts w:ascii="Calibri" w:hAnsi="Calibri"/>
                <w:color w:val="212529"/>
                <w:sz w:val="19"/>
              </w:rPr>
              <w:t>This capstone report consolidates the complete four-week investigative pipeline conducted on the UCI Adult Census Income dataset. All data cleaning metrics, exploratory visualizations, formal hypothesis test statistics, and machine learning performance indicators reproduced herein are derived directly from verified codebase executions under fixed random seed (2026). The report synthesizes data hygiene (Week 1), graphical insight communication (Week 2), inferential modeling (Week 3), and policy-relevant decision synthesis (Week 4) into a unified scientific monograph.</w:t>
            </w:r>
          </w:p>
        </w:tc>
      </w:tr>
    </w:tbl>
    <w:p>
      <w:pPr>
        <w:spacing w:after="80"/>
      </w:pPr>
    </w:p>
    <w:p>
      <w:r>
        <w:br w:type="page"/>
      </w:r>
    </w:p>
    <w:p>
      <w:pPr>
        <w:pStyle w:val="Heading1"/>
        <w:keepNext/>
        <w:spacing w:before="360" w:after="120"/>
      </w:pPr>
      <w:r>
        <w:rPr>
          <w:rFonts w:ascii="Calibri" w:hAnsi="Calibri"/>
          <w:b/>
          <w:color w:val="1B365D"/>
          <w:sz w:val="32"/>
        </w:rPr>
        <w:t>Document Architecture &amp; Table of Contents</w:t>
      </w:r>
    </w:p>
    <w:p>
      <w:pPr>
        <w:spacing w:after="120" w:line="276" w:lineRule="auto"/>
      </w:pPr>
      <w:r>
        <w:rPr>
          <w:rFonts w:ascii="Calibri" w:hAnsi="Calibri"/>
          <w:color w:val="212529"/>
          <w:sz w:val="21"/>
        </w:rPr>
        <w:t>This integrated monograph is organized into sixteen formal analytical sections tracking the data science lifecycle:</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3120"/>
        <w:gridCol w:w="3120"/>
        <w:gridCol w:w="3120"/>
      </w:tblGrid>
      <w:tr>
        <w:tc>
          <w:tcPr>
            <w:tcW w:type="dxa" w:w="1584"/>
            <w:shd w:fill="1B365D"/>
            <w:tcMar>
              <w:top w:w="100" w:type="dxa"/>
              <w:bottom w:w="100" w:type="dxa"/>
              <w:left w:w="100" w:type="dxa"/>
              <w:right w:w="100" w:type="dxa"/>
            </w:tcMar>
          </w:tcPr>
          <w:p>
            <w:pPr>
              <w:spacing w:after="0"/>
              <w:jc w:val="left"/>
            </w:pPr>
            <w:r>
              <w:rPr>
                <w:rFonts w:ascii="Calibri" w:hAnsi="Calibri"/>
                <w:b/>
                <w:color w:val="FFFFFF"/>
                <w:sz w:val="18"/>
              </w:rPr>
              <w:t>Section</w:t>
            </w:r>
          </w:p>
        </w:tc>
        <w:tc>
          <w:tcPr>
            <w:tcW w:type="dxa" w:w="3600"/>
            <w:shd w:fill="1B365D"/>
            <w:tcMar>
              <w:top w:w="100" w:type="dxa"/>
              <w:bottom w:w="100" w:type="dxa"/>
              <w:left w:w="100" w:type="dxa"/>
              <w:right w:w="100" w:type="dxa"/>
            </w:tcMar>
          </w:tcPr>
          <w:p>
            <w:pPr>
              <w:spacing w:after="0"/>
              <w:jc w:val="left"/>
            </w:pPr>
            <w:r>
              <w:rPr>
                <w:rFonts w:ascii="Calibri" w:hAnsi="Calibri"/>
                <w:b/>
                <w:color w:val="FFFFFF"/>
                <w:sz w:val="18"/>
              </w:rPr>
              <w:t>Title</w:t>
            </w:r>
          </w:p>
        </w:tc>
        <w:tc>
          <w:tcPr>
            <w:tcW w:type="dxa" w:w="4176"/>
            <w:shd w:fill="1B365D"/>
            <w:tcMar>
              <w:top w:w="100" w:type="dxa"/>
              <w:bottom w:w="100" w:type="dxa"/>
              <w:left w:w="100" w:type="dxa"/>
              <w:right w:w="100" w:type="dxa"/>
            </w:tcMar>
          </w:tcPr>
          <w:p>
            <w:pPr>
              <w:spacing w:after="0"/>
              <w:jc w:val="left"/>
            </w:pPr>
            <w:r>
              <w:rPr>
                <w:rFonts w:ascii="Calibri" w:hAnsi="Calibri"/>
                <w:b/>
                <w:color w:val="FFFFFF"/>
                <w:sz w:val="18"/>
              </w:rPr>
              <w:t>Analytical Scope</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Section 1</w:t>
            </w:r>
          </w:p>
        </w:tc>
        <w:tc>
          <w:tcPr>
            <w:tcW w:type="dxa" w:w="3600"/>
            <w:shd w:fill="FFFFFF"/>
            <w:tcMar>
              <w:top w:w="70" w:type="dxa"/>
              <w:bottom w:w="70" w:type="dxa"/>
              <w:left w:w="100" w:type="dxa"/>
              <w:right w:w="100" w:type="dxa"/>
            </w:tcMar>
          </w:tcPr>
          <w:p>
            <w:pPr>
              <w:spacing w:after="0"/>
              <w:jc w:val="left"/>
            </w:pPr>
            <w:r>
              <w:rPr>
                <w:rFonts w:ascii="Calibri" w:hAnsi="Calibri"/>
                <w:b/>
                <w:color w:val="212529"/>
                <w:sz w:val="17"/>
              </w:rPr>
              <w:t>Title Page and Metadata Registry</w:t>
            </w:r>
          </w:p>
        </w:tc>
        <w:tc>
          <w:tcPr>
            <w:tcW w:type="dxa" w:w="4176"/>
            <w:shd w:fill="FFFFFF"/>
            <w:tcMar>
              <w:top w:w="70" w:type="dxa"/>
              <w:bottom w:w="70" w:type="dxa"/>
              <w:left w:w="100" w:type="dxa"/>
              <w:right w:w="100" w:type="dxa"/>
            </w:tcMar>
          </w:tcPr>
          <w:p>
            <w:pPr>
              <w:spacing w:after="0"/>
              <w:jc w:val="left"/>
            </w:pPr>
            <w:r>
              <w:rPr>
                <w:rFonts w:ascii="Calibri" w:hAnsi="Calibri"/>
                <w:b w:val="0"/>
                <w:color w:val="212529"/>
                <w:sz w:val="17"/>
              </w:rPr>
              <w:t>Administrative identification and reproducibility declaration.</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Section 2</w:t>
            </w:r>
          </w:p>
        </w:tc>
        <w:tc>
          <w:tcPr>
            <w:tcW w:type="dxa" w:w="3600"/>
            <w:shd w:fill="F8F9FA"/>
            <w:tcMar>
              <w:top w:w="70" w:type="dxa"/>
              <w:bottom w:w="70" w:type="dxa"/>
              <w:left w:w="100" w:type="dxa"/>
              <w:right w:w="100" w:type="dxa"/>
            </w:tcMar>
          </w:tcPr>
          <w:p>
            <w:pPr>
              <w:spacing w:after="0"/>
              <w:jc w:val="left"/>
            </w:pPr>
            <w:r>
              <w:rPr>
                <w:rFonts w:ascii="Calibri" w:hAnsi="Calibri"/>
                <w:b/>
                <w:color w:val="212529"/>
                <w:sz w:val="17"/>
              </w:rPr>
              <w:t>Executive Summary</w:t>
            </w:r>
          </w:p>
        </w:tc>
        <w:tc>
          <w:tcPr>
            <w:tcW w:type="dxa" w:w="4176"/>
            <w:shd w:fill="F8F9FA"/>
            <w:tcMar>
              <w:top w:w="70" w:type="dxa"/>
              <w:bottom w:w="70" w:type="dxa"/>
              <w:left w:w="100" w:type="dxa"/>
              <w:right w:w="100" w:type="dxa"/>
            </w:tcMar>
          </w:tcPr>
          <w:p>
            <w:pPr>
              <w:spacing w:after="0"/>
              <w:jc w:val="left"/>
            </w:pPr>
            <w:r>
              <w:rPr>
                <w:rFonts w:ascii="Calibri" w:hAnsi="Calibri"/>
                <w:b w:val="0"/>
                <w:color w:val="212529"/>
                <w:sz w:val="17"/>
              </w:rPr>
              <w:t>High-level synthesis of objectives, methodologies, findings, and strategic takeaways.</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Section 3</w:t>
            </w:r>
          </w:p>
        </w:tc>
        <w:tc>
          <w:tcPr>
            <w:tcW w:type="dxa" w:w="3600"/>
            <w:shd w:fill="FFFFFF"/>
            <w:tcMar>
              <w:top w:w="70" w:type="dxa"/>
              <w:bottom w:w="70" w:type="dxa"/>
              <w:left w:w="100" w:type="dxa"/>
              <w:right w:w="100" w:type="dxa"/>
            </w:tcMar>
          </w:tcPr>
          <w:p>
            <w:pPr>
              <w:spacing w:after="0"/>
              <w:jc w:val="left"/>
            </w:pPr>
            <w:r>
              <w:rPr>
                <w:rFonts w:ascii="Calibri" w:hAnsi="Calibri"/>
                <w:b/>
                <w:color w:val="212529"/>
                <w:sz w:val="17"/>
              </w:rPr>
              <w:t>Introduction and Objectives</w:t>
            </w:r>
          </w:p>
        </w:tc>
        <w:tc>
          <w:tcPr>
            <w:tcW w:type="dxa" w:w="4176"/>
            <w:shd w:fill="FFFFFF"/>
            <w:tcMar>
              <w:top w:w="70" w:type="dxa"/>
              <w:bottom w:w="70" w:type="dxa"/>
              <w:left w:w="100" w:type="dxa"/>
              <w:right w:w="100" w:type="dxa"/>
            </w:tcMar>
          </w:tcPr>
          <w:p>
            <w:pPr>
              <w:spacing w:after="0"/>
              <w:jc w:val="left"/>
            </w:pPr>
            <w:r>
              <w:rPr>
                <w:rFonts w:ascii="Calibri" w:hAnsi="Calibri"/>
                <w:b w:val="0"/>
                <w:color w:val="212529"/>
                <w:sz w:val="17"/>
              </w:rPr>
              <w:t>Theoretical motivation, income stratification problem, and end-to-end framework.</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Section 4</w:t>
            </w:r>
          </w:p>
        </w:tc>
        <w:tc>
          <w:tcPr>
            <w:tcW w:type="dxa" w:w="3600"/>
            <w:shd w:fill="F8F9FA"/>
            <w:tcMar>
              <w:top w:w="70" w:type="dxa"/>
              <w:bottom w:w="70" w:type="dxa"/>
              <w:left w:w="100" w:type="dxa"/>
              <w:right w:w="100" w:type="dxa"/>
            </w:tcMar>
          </w:tcPr>
          <w:p>
            <w:pPr>
              <w:spacing w:after="0"/>
              <w:jc w:val="left"/>
            </w:pPr>
            <w:r>
              <w:rPr>
                <w:rFonts w:ascii="Calibri" w:hAnsi="Calibri"/>
                <w:b/>
                <w:color w:val="212529"/>
                <w:sz w:val="17"/>
              </w:rPr>
              <w:t>Dataset Description and Data Source</w:t>
            </w:r>
          </w:p>
        </w:tc>
        <w:tc>
          <w:tcPr>
            <w:tcW w:type="dxa" w:w="4176"/>
            <w:shd w:fill="F8F9FA"/>
            <w:tcMar>
              <w:top w:w="70" w:type="dxa"/>
              <w:bottom w:w="70" w:type="dxa"/>
              <w:left w:w="100" w:type="dxa"/>
              <w:right w:w="100" w:type="dxa"/>
            </w:tcMar>
          </w:tcPr>
          <w:p>
            <w:pPr>
              <w:spacing w:after="0"/>
              <w:jc w:val="left"/>
            </w:pPr>
            <w:r>
              <w:rPr>
                <w:rFonts w:ascii="Calibri" w:hAnsi="Calibri"/>
                <w:b w:val="0"/>
                <w:color w:val="212529"/>
                <w:sz w:val="17"/>
              </w:rPr>
              <w:t>Origin, provenance, 15-variable schema, and empirical distributions.</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Section 5</w:t>
            </w:r>
          </w:p>
        </w:tc>
        <w:tc>
          <w:tcPr>
            <w:tcW w:type="dxa" w:w="3600"/>
            <w:shd w:fill="FFFFFF"/>
            <w:tcMar>
              <w:top w:w="70" w:type="dxa"/>
              <w:bottom w:w="70" w:type="dxa"/>
              <w:left w:w="100" w:type="dxa"/>
              <w:right w:w="100" w:type="dxa"/>
            </w:tcMar>
          </w:tcPr>
          <w:p>
            <w:pPr>
              <w:spacing w:after="0"/>
              <w:jc w:val="left"/>
            </w:pPr>
            <w:r>
              <w:rPr>
                <w:rFonts w:ascii="Calibri" w:hAnsi="Calibri"/>
                <w:b/>
                <w:color w:val="212529"/>
                <w:sz w:val="17"/>
              </w:rPr>
              <w:t>Week 1: Data Cleaning and Preliminary Analysis</w:t>
            </w:r>
          </w:p>
        </w:tc>
        <w:tc>
          <w:tcPr>
            <w:tcW w:type="dxa" w:w="4176"/>
            <w:shd w:fill="FFFFFF"/>
            <w:tcMar>
              <w:top w:w="70" w:type="dxa"/>
              <w:bottom w:w="70" w:type="dxa"/>
              <w:left w:w="100" w:type="dxa"/>
              <w:right w:w="100" w:type="dxa"/>
            </w:tcMar>
          </w:tcPr>
          <w:p>
            <w:pPr>
              <w:spacing w:after="0"/>
              <w:jc w:val="left"/>
            </w:pPr>
            <w:r>
              <w:rPr>
                <w:rFonts w:ascii="Calibri" w:hAnsi="Calibri"/>
                <w:b w:val="0"/>
                <w:color w:val="212529"/>
                <w:sz w:val="17"/>
              </w:rPr>
              <w:t>Ingestion, missingness imputation, duplicate removal, IQR outlier audit, transformations.</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Section 6</w:t>
            </w:r>
          </w:p>
        </w:tc>
        <w:tc>
          <w:tcPr>
            <w:tcW w:type="dxa" w:w="3600"/>
            <w:shd w:fill="F8F9FA"/>
            <w:tcMar>
              <w:top w:w="70" w:type="dxa"/>
              <w:bottom w:w="70" w:type="dxa"/>
              <w:left w:w="100" w:type="dxa"/>
              <w:right w:w="100" w:type="dxa"/>
            </w:tcMar>
          </w:tcPr>
          <w:p>
            <w:pPr>
              <w:spacing w:after="0"/>
              <w:jc w:val="left"/>
            </w:pPr>
            <w:r>
              <w:rPr>
                <w:rFonts w:ascii="Calibri" w:hAnsi="Calibri"/>
                <w:b/>
                <w:color w:val="212529"/>
                <w:sz w:val="17"/>
              </w:rPr>
              <w:t>Week 2: Data Visualization and Insight Communication</w:t>
            </w:r>
          </w:p>
        </w:tc>
        <w:tc>
          <w:tcPr>
            <w:tcW w:type="dxa" w:w="4176"/>
            <w:shd w:fill="F8F9FA"/>
            <w:tcMar>
              <w:top w:w="70" w:type="dxa"/>
              <w:bottom w:w="70" w:type="dxa"/>
              <w:left w:w="100" w:type="dxa"/>
              <w:right w:w="100" w:type="dxa"/>
            </w:tcMar>
          </w:tcPr>
          <w:p>
            <w:pPr>
              <w:spacing w:after="0"/>
              <w:jc w:val="left"/>
            </w:pPr>
            <w:r>
              <w:rPr>
                <w:rFonts w:ascii="Calibri" w:hAnsi="Calibri"/>
                <w:b w:val="0"/>
                <w:color w:val="212529"/>
                <w:sz w:val="17"/>
              </w:rPr>
              <w:t>Univariate distributions, bivariate disparities, lattice conditioning, and visual insights.</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Section 7</w:t>
            </w:r>
          </w:p>
        </w:tc>
        <w:tc>
          <w:tcPr>
            <w:tcW w:type="dxa" w:w="3600"/>
            <w:shd w:fill="FFFFFF"/>
            <w:tcMar>
              <w:top w:w="70" w:type="dxa"/>
              <w:bottom w:w="70" w:type="dxa"/>
              <w:left w:w="100" w:type="dxa"/>
              <w:right w:w="100" w:type="dxa"/>
            </w:tcMar>
          </w:tcPr>
          <w:p>
            <w:pPr>
              <w:spacing w:after="0"/>
              <w:jc w:val="left"/>
            </w:pPr>
            <w:r>
              <w:rPr>
                <w:rFonts w:ascii="Calibri" w:hAnsi="Calibri"/>
                <w:b/>
                <w:color w:val="212529"/>
                <w:sz w:val="17"/>
              </w:rPr>
              <w:t>Week 3: Statistical Analysis and Hypothesis Testing</w:t>
            </w:r>
          </w:p>
        </w:tc>
        <w:tc>
          <w:tcPr>
            <w:tcW w:type="dxa" w:w="4176"/>
            <w:shd w:fill="FFFFFF"/>
            <w:tcMar>
              <w:top w:w="70" w:type="dxa"/>
              <w:bottom w:w="70" w:type="dxa"/>
              <w:left w:w="100" w:type="dxa"/>
              <w:right w:w="100" w:type="dxa"/>
            </w:tcMar>
          </w:tcPr>
          <w:p>
            <w:pPr>
              <w:spacing w:after="0"/>
              <w:jc w:val="left"/>
            </w:pPr>
            <w:r>
              <w:rPr>
                <w:rFonts w:ascii="Calibri" w:hAnsi="Calibri"/>
                <w:b w:val="0"/>
                <w:color w:val="212529"/>
                <w:sz w:val="17"/>
              </w:rPr>
              <w:t>8 verified hypothesis tests across 5 research questions, effect sizes, and corrections.</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Section 8</w:t>
            </w:r>
          </w:p>
        </w:tc>
        <w:tc>
          <w:tcPr>
            <w:tcW w:type="dxa" w:w="3600"/>
            <w:shd w:fill="F8F9FA"/>
            <w:tcMar>
              <w:top w:w="70" w:type="dxa"/>
              <w:bottom w:w="70" w:type="dxa"/>
              <w:left w:w="100" w:type="dxa"/>
              <w:right w:w="100" w:type="dxa"/>
            </w:tcMar>
          </w:tcPr>
          <w:p>
            <w:pPr>
              <w:spacing w:after="0"/>
              <w:jc w:val="left"/>
            </w:pPr>
            <w:r>
              <w:rPr>
                <w:rFonts w:ascii="Calibri" w:hAnsi="Calibri"/>
                <w:b/>
                <w:color w:val="212529"/>
                <w:sz w:val="17"/>
              </w:rPr>
              <w:t>Week 3: Predictive Modeling</w:t>
            </w:r>
          </w:p>
        </w:tc>
        <w:tc>
          <w:tcPr>
            <w:tcW w:type="dxa" w:w="4176"/>
            <w:shd w:fill="F8F9FA"/>
            <w:tcMar>
              <w:top w:w="70" w:type="dxa"/>
              <w:bottom w:w="70" w:type="dxa"/>
              <w:left w:w="100" w:type="dxa"/>
              <w:right w:w="100" w:type="dxa"/>
            </w:tcMar>
          </w:tcPr>
          <w:p>
            <w:pPr>
              <w:spacing w:after="0"/>
              <w:jc w:val="left"/>
            </w:pPr>
            <w:r>
              <w:rPr>
                <w:rFonts w:ascii="Calibri" w:hAnsi="Calibri"/>
                <w:b w:val="0"/>
                <w:color w:val="212529"/>
                <w:sz w:val="17"/>
              </w:rPr>
              <w:t>Stratified train/test partition, logistic regression, elastic-net regularization, odds ratios.</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Section 9</w:t>
            </w:r>
          </w:p>
        </w:tc>
        <w:tc>
          <w:tcPr>
            <w:tcW w:type="dxa" w:w="3600"/>
            <w:shd w:fill="FFFFFF"/>
            <w:tcMar>
              <w:top w:w="70" w:type="dxa"/>
              <w:bottom w:w="70" w:type="dxa"/>
              <w:left w:w="100" w:type="dxa"/>
              <w:right w:w="100" w:type="dxa"/>
            </w:tcMar>
          </w:tcPr>
          <w:p>
            <w:pPr>
              <w:spacing w:after="0"/>
              <w:jc w:val="left"/>
            </w:pPr>
            <w:r>
              <w:rPr>
                <w:rFonts w:ascii="Calibri" w:hAnsi="Calibri"/>
                <w:b/>
                <w:color w:val="212529"/>
                <w:sz w:val="17"/>
              </w:rPr>
              <w:t>Model Evaluation and Diagnostics</w:t>
            </w:r>
          </w:p>
        </w:tc>
        <w:tc>
          <w:tcPr>
            <w:tcW w:type="dxa" w:w="4176"/>
            <w:shd w:fill="FFFFFF"/>
            <w:tcMar>
              <w:top w:w="70" w:type="dxa"/>
              <w:bottom w:w="70" w:type="dxa"/>
              <w:left w:w="100" w:type="dxa"/>
              <w:right w:w="100" w:type="dxa"/>
            </w:tcMar>
          </w:tcPr>
          <w:p>
            <w:pPr>
              <w:spacing w:after="0"/>
              <w:jc w:val="left"/>
            </w:pPr>
            <w:r>
              <w:rPr>
                <w:rFonts w:ascii="Calibri" w:hAnsi="Calibri"/>
                <w:b w:val="0"/>
                <w:color w:val="212529"/>
                <w:sz w:val="17"/>
              </w:rPr>
              <w:t>Confusion matrices, ROC-AUC, PR-AUC, calibration curves, and influence diagnostics.</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Section 10</w:t>
            </w:r>
          </w:p>
        </w:tc>
        <w:tc>
          <w:tcPr>
            <w:tcW w:type="dxa" w:w="3600"/>
            <w:shd w:fill="F8F9FA"/>
            <w:tcMar>
              <w:top w:w="70" w:type="dxa"/>
              <w:bottom w:w="70" w:type="dxa"/>
              <w:left w:w="100" w:type="dxa"/>
              <w:right w:w="100" w:type="dxa"/>
            </w:tcMar>
          </w:tcPr>
          <w:p>
            <w:pPr>
              <w:spacing w:after="0"/>
              <w:jc w:val="left"/>
            </w:pPr>
            <w:r>
              <w:rPr>
                <w:rFonts w:ascii="Calibri" w:hAnsi="Calibri"/>
                <w:b/>
                <w:color w:val="212529"/>
                <w:sz w:val="17"/>
              </w:rPr>
              <w:t>Integrated Findings Across Weeks 1–3</w:t>
            </w:r>
          </w:p>
        </w:tc>
        <w:tc>
          <w:tcPr>
            <w:tcW w:type="dxa" w:w="4176"/>
            <w:shd w:fill="F8F9FA"/>
            <w:tcMar>
              <w:top w:w="70" w:type="dxa"/>
              <w:bottom w:w="70" w:type="dxa"/>
              <w:left w:w="100" w:type="dxa"/>
              <w:right w:w="100" w:type="dxa"/>
            </w:tcMar>
          </w:tcPr>
          <w:p>
            <w:pPr>
              <w:spacing w:after="0"/>
              <w:jc w:val="left"/>
            </w:pPr>
            <w:r>
              <w:rPr>
                <w:rFonts w:ascii="Calibri" w:hAnsi="Calibri"/>
                <w:b w:val="0"/>
                <w:color w:val="212529"/>
                <w:sz w:val="17"/>
              </w:rPr>
              <w:t>Cross-week synthesis matrix mapping data hygiene to exploratory and predictive results.</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Section 11</w:t>
            </w:r>
          </w:p>
        </w:tc>
        <w:tc>
          <w:tcPr>
            <w:tcW w:type="dxa" w:w="3600"/>
            <w:shd w:fill="FFFFFF"/>
            <w:tcMar>
              <w:top w:w="70" w:type="dxa"/>
              <w:bottom w:w="70" w:type="dxa"/>
              <w:left w:w="100" w:type="dxa"/>
              <w:right w:w="100" w:type="dxa"/>
            </w:tcMar>
          </w:tcPr>
          <w:p>
            <w:pPr>
              <w:spacing w:after="0"/>
              <w:jc w:val="left"/>
            </w:pPr>
            <w:r>
              <w:rPr>
                <w:rFonts w:ascii="Calibri" w:hAnsi="Calibri"/>
                <w:b/>
                <w:color w:val="212529"/>
                <w:sz w:val="17"/>
              </w:rPr>
              <w:t>Discussion and Practical Implications</w:t>
            </w:r>
          </w:p>
        </w:tc>
        <w:tc>
          <w:tcPr>
            <w:tcW w:type="dxa" w:w="4176"/>
            <w:shd w:fill="FFFFFF"/>
            <w:tcMar>
              <w:top w:w="70" w:type="dxa"/>
              <w:bottom w:w="70" w:type="dxa"/>
              <w:left w:w="100" w:type="dxa"/>
              <w:right w:w="100" w:type="dxa"/>
            </w:tcMar>
          </w:tcPr>
          <w:p>
            <w:pPr>
              <w:spacing w:after="0"/>
              <w:jc w:val="left"/>
            </w:pPr>
            <w:r>
              <w:rPr>
                <w:rFonts w:ascii="Calibri" w:hAnsi="Calibri"/>
                <w:b w:val="0"/>
                <w:color w:val="212529"/>
                <w:sz w:val="17"/>
              </w:rPr>
              <w:t>Labor economics, human capital, life-cycle effects, algorithmic fairness, and non-causality.</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Section 12</w:t>
            </w:r>
          </w:p>
        </w:tc>
        <w:tc>
          <w:tcPr>
            <w:tcW w:type="dxa" w:w="3600"/>
            <w:shd w:fill="F8F9FA"/>
            <w:tcMar>
              <w:top w:w="70" w:type="dxa"/>
              <w:bottom w:w="70" w:type="dxa"/>
              <w:left w:w="100" w:type="dxa"/>
              <w:right w:w="100" w:type="dxa"/>
            </w:tcMar>
          </w:tcPr>
          <w:p>
            <w:pPr>
              <w:spacing w:after="0"/>
              <w:jc w:val="left"/>
            </w:pPr>
            <w:r>
              <w:rPr>
                <w:rFonts w:ascii="Calibri" w:hAnsi="Calibri"/>
                <w:b/>
                <w:color w:val="212529"/>
                <w:sz w:val="17"/>
              </w:rPr>
              <w:t>Challenges Encountered and Lessons Learned</w:t>
            </w:r>
          </w:p>
        </w:tc>
        <w:tc>
          <w:tcPr>
            <w:tcW w:type="dxa" w:w="4176"/>
            <w:shd w:fill="F8F9FA"/>
            <w:tcMar>
              <w:top w:w="70" w:type="dxa"/>
              <w:bottom w:w="70" w:type="dxa"/>
              <w:left w:w="100" w:type="dxa"/>
              <w:right w:w="100" w:type="dxa"/>
            </w:tcMar>
          </w:tcPr>
          <w:p>
            <w:pPr>
              <w:spacing w:after="0"/>
              <w:jc w:val="left"/>
            </w:pPr>
            <w:r>
              <w:rPr>
                <w:rFonts w:ascii="Calibri" w:hAnsi="Calibri"/>
                <w:b w:val="0"/>
                <w:color w:val="212529"/>
                <w:sz w:val="17"/>
              </w:rPr>
              <w:t>Empirically documented project hurdles, engineering fixes, and methodological insights.</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Section 13</w:t>
            </w:r>
          </w:p>
        </w:tc>
        <w:tc>
          <w:tcPr>
            <w:tcW w:type="dxa" w:w="3600"/>
            <w:shd w:fill="FFFFFF"/>
            <w:tcMar>
              <w:top w:w="70" w:type="dxa"/>
              <w:bottom w:w="70" w:type="dxa"/>
              <w:left w:w="100" w:type="dxa"/>
              <w:right w:w="100" w:type="dxa"/>
            </w:tcMar>
          </w:tcPr>
          <w:p>
            <w:pPr>
              <w:spacing w:after="0"/>
              <w:jc w:val="left"/>
            </w:pPr>
            <w:r>
              <w:rPr>
                <w:rFonts w:ascii="Calibri" w:hAnsi="Calibri"/>
                <w:b/>
                <w:color w:val="212529"/>
                <w:sz w:val="17"/>
              </w:rPr>
              <w:t>Recommendations and Future Work</w:t>
            </w:r>
          </w:p>
        </w:tc>
        <w:tc>
          <w:tcPr>
            <w:tcW w:type="dxa" w:w="4176"/>
            <w:shd w:fill="FFFFFF"/>
            <w:tcMar>
              <w:top w:w="70" w:type="dxa"/>
              <w:bottom w:w="70" w:type="dxa"/>
              <w:left w:w="100" w:type="dxa"/>
              <w:right w:w="100" w:type="dxa"/>
            </w:tcMar>
          </w:tcPr>
          <w:p>
            <w:pPr>
              <w:spacing w:after="0"/>
              <w:jc w:val="left"/>
            </w:pPr>
            <w:r>
              <w:rPr>
                <w:rFonts w:ascii="Calibri" w:hAnsi="Calibri"/>
                <w:b w:val="0"/>
                <w:color w:val="212529"/>
                <w:sz w:val="17"/>
              </w:rPr>
              <w:t>Operational decision thresholds, advanced ensembles, ACS benchmarking, and bias audits.</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Section 14</w:t>
            </w:r>
          </w:p>
        </w:tc>
        <w:tc>
          <w:tcPr>
            <w:tcW w:type="dxa" w:w="3600"/>
            <w:shd w:fill="F8F9FA"/>
            <w:tcMar>
              <w:top w:w="70" w:type="dxa"/>
              <w:bottom w:w="70" w:type="dxa"/>
              <w:left w:w="100" w:type="dxa"/>
              <w:right w:w="100" w:type="dxa"/>
            </w:tcMar>
          </w:tcPr>
          <w:p>
            <w:pPr>
              <w:spacing w:after="0"/>
              <w:jc w:val="left"/>
            </w:pPr>
            <w:r>
              <w:rPr>
                <w:rFonts w:ascii="Calibri" w:hAnsi="Calibri"/>
                <w:b/>
                <w:color w:val="212529"/>
                <w:sz w:val="17"/>
              </w:rPr>
              <w:t>Conclusion</w:t>
            </w:r>
          </w:p>
        </w:tc>
        <w:tc>
          <w:tcPr>
            <w:tcW w:type="dxa" w:w="4176"/>
            <w:shd w:fill="F8F9FA"/>
            <w:tcMar>
              <w:top w:w="70" w:type="dxa"/>
              <w:bottom w:w="70" w:type="dxa"/>
              <w:left w:w="100" w:type="dxa"/>
              <w:right w:w="100" w:type="dxa"/>
            </w:tcMar>
          </w:tcPr>
          <w:p>
            <w:pPr>
              <w:spacing w:after="0"/>
              <w:jc w:val="left"/>
            </w:pPr>
            <w:r>
              <w:rPr>
                <w:rFonts w:ascii="Calibri" w:hAnsi="Calibri"/>
                <w:b w:val="0"/>
                <w:color w:val="212529"/>
                <w:sz w:val="17"/>
              </w:rPr>
              <w:t>Final verdict on evidence-based data science workflows and analytical achievements.</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Section 15</w:t>
            </w:r>
          </w:p>
        </w:tc>
        <w:tc>
          <w:tcPr>
            <w:tcW w:type="dxa" w:w="3600"/>
            <w:shd w:fill="FFFFFF"/>
            <w:tcMar>
              <w:top w:w="70" w:type="dxa"/>
              <w:bottom w:w="70" w:type="dxa"/>
              <w:left w:w="100" w:type="dxa"/>
              <w:right w:w="100" w:type="dxa"/>
            </w:tcMar>
          </w:tcPr>
          <w:p>
            <w:pPr>
              <w:spacing w:after="0"/>
              <w:jc w:val="left"/>
            </w:pPr>
            <w:r>
              <w:rPr>
                <w:rFonts w:ascii="Calibri" w:hAnsi="Calibri"/>
                <w:b/>
                <w:color w:val="212529"/>
                <w:sz w:val="17"/>
              </w:rPr>
              <w:t>Reproducibility and Technical Appendix</w:t>
            </w:r>
          </w:p>
        </w:tc>
        <w:tc>
          <w:tcPr>
            <w:tcW w:type="dxa" w:w="4176"/>
            <w:shd w:fill="FFFFFF"/>
            <w:tcMar>
              <w:top w:w="70" w:type="dxa"/>
              <w:bottom w:w="70" w:type="dxa"/>
              <w:left w:w="100" w:type="dxa"/>
              <w:right w:w="100" w:type="dxa"/>
            </w:tcMar>
          </w:tcPr>
          <w:p>
            <w:pPr>
              <w:spacing w:after="0"/>
              <w:jc w:val="left"/>
            </w:pPr>
            <w:r>
              <w:rPr>
                <w:rFonts w:ascii="Calibri" w:hAnsi="Calibri"/>
                <w:b w:val="0"/>
                <w:color w:val="212529"/>
                <w:sz w:val="17"/>
              </w:rPr>
              <w:t>Directory layout, script index, R environment versions, and statistical glossary.</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Section 16</w:t>
            </w:r>
          </w:p>
        </w:tc>
        <w:tc>
          <w:tcPr>
            <w:tcW w:type="dxa" w:w="3600"/>
            <w:shd w:fill="F8F9FA"/>
            <w:tcMar>
              <w:top w:w="70" w:type="dxa"/>
              <w:bottom w:w="70" w:type="dxa"/>
              <w:left w:w="100" w:type="dxa"/>
              <w:right w:w="100" w:type="dxa"/>
            </w:tcMar>
          </w:tcPr>
          <w:p>
            <w:pPr>
              <w:spacing w:after="0"/>
              <w:jc w:val="left"/>
            </w:pPr>
            <w:r>
              <w:rPr>
                <w:rFonts w:ascii="Calibri" w:hAnsi="Calibri"/>
                <w:b/>
                <w:color w:val="212529"/>
                <w:sz w:val="17"/>
              </w:rPr>
              <w:t>References</w:t>
            </w:r>
          </w:p>
        </w:tc>
        <w:tc>
          <w:tcPr>
            <w:tcW w:type="dxa" w:w="4176"/>
            <w:shd w:fill="F8F9FA"/>
            <w:tcMar>
              <w:top w:w="70" w:type="dxa"/>
              <w:bottom w:w="70" w:type="dxa"/>
              <w:left w:w="100" w:type="dxa"/>
              <w:right w:w="100" w:type="dxa"/>
            </w:tcMar>
          </w:tcPr>
          <w:p>
            <w:pPr>
              <w:spacing w:after="0"/>
              <w:jc w:val="left"/>
            </w:pPr>
            <w:r>
              <w:rPr>
                <w:rFonts w:ascii="Calibri" w:hAnsi="Calibri"/>
                <w:b w:val="0"/>
                <w:color w:val="212529"/>
                <w:sz w:val="17"/>
              </w:rPr>
              <w:t>Authoritative scholarly and methodological citations.</w:t>
            </w:r>
          </w:p>
        </w:tc>
      </w:tr>
    </w:tbl>
    <w:p>
      <w:r>
        <w:br w:type="page"/>
      </w:r>
    </w:p>
    <w:p>
      <w:pPr>
        <w:pStyle w:val="Heading1"/>
        <w:keepNext/>
        <w:spacing w:before="360" w:after="120"/>
      </w:pPr>
      <w:r>
        <w:rPr>
          <w:rFonts w:ascii="Calibri" w:hAnsi="Calibri"/>
          <w:b/>
          <w:color w:val="1B365D"/>
          <w:sz w:val="32"/>
        </w:rPr>
        <w:t>Section 2 — Executive Summary</w:t>
      </w:r>
    </w:p>
    <w:p>
      <w:pPr>
        <w:spacing w:after="120" w:line="276" w:lineRule="auto"/>
      </w:pPr>
      <w:r>
        <w:rPr>
          <w:rFonts w:ascii="Calibri" w:hAnsi="Calibri"/>
          <w:color w:val="212529"/>
          <w:sz w:val="21"/>
        </w:rPr>
        <w:t>This capstone technical report provides an exhaustive, multi-week investigation into individual income classification using the UCI Adult Census Income dataset (1994 U.S. Census Bureau Current Population Survey). The analytical objective was to determine how demographic characteristics, human capital investments, and employment attributes jointly structure an individual's probability of earning greater than $50,000 annually, while demonstrating a rigorous, fully reproducible data science lifecycle in R. Over four structured phases, the project transitioned from low-level data engineering and quality assessment (Week 1), through exploratory graphic communication (Week 2), to formal inferential hypothesis testing and predictive machine learning (Week 3), culminating in this integrated executive synthesis (Week 4).</w:t>
      </w:r>
    </w:p>
    <w:p>
      <w:pPr>
        <w:pStyle w:val="Heading2"/>
        <w:keepNext/>
        <w:spacing w:before="260" w:after="80"/>
      </w:pPr>
      <w:r>
        <w:rPr>
          <w:rFonts w:ascii="Calibri" w:hAnsi="Calibri"/>
          <w:b/>
          <w:color w:val="465C7A"/>
          <w:sz w:val="26"/>
        </w:rPr>
        <w:t>Summary of Methodological Phases and Verified Findings</w:t>
      </w:r>
    </w:p>
    <w:p>
      <w:pPr>
        <w:pStyle w:val="ListBullet"/>
        <w:spacing w:after="60" w:line="276" w:lineRule="auto"/>
      </w:pPr>
      <w:r>
        <w:rPr>
          <w:rFonts w:ascii="Calibri" w:hAnsi="Calibri"/>
          <w:b/>
          <w:color w:val="212529"/>
          <w:sz w:val="20"/>
        </w:rPr>
        <w:t xml:space="preserve">Phase 1 — Data Cleaning and Hygiene (Week 1): </w:t>
      </w:r>
      <w:r>
        <w:rPr>
          <w:rFonts w:ascii="Calibri" w:hAnsi="Calibri"/>
          <w:color w:val="212529"/>
          <w:sz w:val="20"/>
        </w:rPr>
        <w:t>From an initial raw corpus of 32,561 records, exactly 24 duplicate records were purged, and 4,262 missing value indicators encoded as ambiguous '?' strings were identified across workclass (1,836), occupation (1,843), and native_country (583). Rather than resorting to listwise deletion—which would have discarded 2,399 records and introduced attrition bias—missing entries were imputed using verified statistical modes ('Private', 'Prof-specialty', and 'United-States'). Tukey's Interquartile Range (IQR) audits identified 9,002 working-hour outliers, 2,712 capital gain outliers, and 142 age outliers; all were preserved to prevent truncation of valid economic extremes, resulting in a finalized clean dataset of N = 32,537 observations across 15 attributes.</w:t>
      </w:r>
    </w:p>
    <w:p>
      <w:pPr>
        <w:pStyle w:val="ListBullet"/>
        <w:spacing w:after="60" w:line="276" w:lineRule="auto"/>
      </w:pPr>
      <w:r>
        <w:rPr>
          <w:rFonts w:ascii="Calibri" w:hAnsi="Calibri"/>
          <w:b/>
          <w:color w:val="212529"/>
          <w:sz w:val="20"/>
        </w:rPr>
        <w:t xml:space="preserve">Phase 2 — Graphical Exploration &amp; Insight Discovery (Week 2): </w:t>
      </w:r>
      <w:r>
        <w:rPr>
          <w:rFonts w:ascii="Calibri" w:hAnsi="Calibri"/>
          <w:color w:val="212529"/>
          <w:sz w:val="20"/>
        </w:rPr>
        <w:t>Visual analytics revealed severe class imbalance, with 24,698 individuals (75.91%) earning &lt;=$50K and only 7,839 (24.09%) earning &gt;$50K (a 3.15:1 ratio). Boxplots, density plots, and lattice conditionings confirmed a 10-year median age divergence between earning tiers (median 44 years for high earners vs. 34 years for low earners), a steep non-linear credential threshold where high-income probability rises from 15.95% among High School graduates to 41.49% for Bachelors and 74.09% for Doctorates, and an institutional concentration at the 40-hour workweek (46.73% of the entire workforce).</w:t>
      </w:r>
    </w:p>
    <w:p>
      <w:pPr>
        <w:pStyle w:val="ListBullet"/>
        <w:spacing w:after="60" w:line="276" w:lineRule="auto"/>
      </w:pPr>
      <w:r>
        <w:rPr>
          <w:rFonts w:ascii="Calibri" w:hAnsi="Calibri"/>
          <w:b/>
          <w:color w:val="212529"/>
          <w:sz w:val="20"/>
        </w:rPr>
        <w:t xml:space="preserve">Phase 3 — Inferential Hypothesis Testing (Week 3): </w:t>
      </w:r>
      <w:r>
        <w:rPr>
          <w:rFonts w:ascii="Calibri" w:hAnsi="Calibri"/>
          <w:color w:val="212529"/>
          <w:sz w:val="20"/>
        </w:rPr>
        <w:t>A formal testing battery comprising exactly eight hypothesis tests across five core research questions was executed. All eight null hypotheses were rejected at alpha = 0.05, retaining significance (p &lt; 0.0001) under both family-wise Bonferroni and Benjamini-Hochberg False Discovery Rate (FDR) adjustments. Because the large sample size (N = 32,537) yielded near-zero p-values, effect sizes were prioritized: educational attainment demonstrated a moderate-to-strong association with income (Cramer's V = 0.3689, chi2 = 4428.4, df = 15); high earners were significantly older (Cohen's d = 0.5629, t = 50.24) and worked significantly longer hours (Cohen's d = 0.5518, t = 45.10); occupation showed substantial explanatory power (Cramer's V = 0.3135); while the linear correlation between education years and weekly hours was weak (r = +0.1484).</w:t>
      </w:r>
    </w:p>
    <w:p>
      <w:pPr>
        <w:pStyle w:val="ListBullet"/>
        <w:spacing w:after="60" w:line="276" w:lineRule="auto"/>
      </w:pPr>
      <w:r>
        <w:rPr>
          <w:rFonts w:ascii="Calibri" w:hAnsi="Calibri"/>
          <w:b/>
          <w:color w:val="212529"/>
          <w:sz w:val="20"/>
        </w:rPr>
        <w:t xml:space="preserve">Phase 4 — Predictive Modeling and Diagnostics (Week 3): </w:t>
      </w:r>
      <w:r>
        <w:rPr>
          <w:rFonts w:ascii="Calibri" w:hAnsi="Calibri"/>
          <w:color w:val="212529"/>
          <w:sz w:val="20"/>
        </w:rPr>
        <w:t>Stratified 80/20 train/test splitting (26,029 training, 6,508 testing) under fixed seed (2026) was used to train a Zero-Rule Baseline, a Standard Multivariate Logistic Regression model, and an Elastic-Net Regularized Logistic Regression model tuned via 5-fold cross-validation. On the held-out test set, Standard Logistic Regression achieved an Accuracy of 84.76%, Balanced Accuracy of 76.36%, Precision of 71.98%, Recall (Sensitivity) of 60.14%, Specificity of 92.57%, ROC-AUC of 0.9047, and PR-AUC of 0.7271, decisively outperforming the baseline (75.91% accuracy, 50.00% balanced accuracy, 0.5000 ROC-AUC). Elastic-Net demonstrated virtually identical generalization (84.10% accuracy, 0.9004 ROC-AUC). Key adjusted odds ratios revealed that being in a civilian marriage increased the odds of high income sevenfold (OR = 7.16, 95% CI [3.88, 13.22]), each additional year of education increased odds by 34.9% (OR = 1.35, 95% CI [1.32, 1.38]), and executive-managerial roles doubled odds (OR = 2.10, 95% CI [1.77, 2.48]).</w:t>
      </w:r>
    </w:p>
    <w:p>
      <w:pPr>
        <w:pStyle w:val="Heading2"/>
        <w:keepNext/>
        <w:spacing w:before="260" w:after="80"/>
      </w:pPr>
      <w:r>
        <w:rPr>
          <w:rFonts w:ascii="Calibri" w:hAnsi="Calibri"/>
          <w:b/>
          <w:color w:val="465C7A"/>
          <w:sz w:val="26"/>
        </w:rPr>
        <w:t>Principal Strategic Limitations and Operational Value</w:t>
      </w:r>
    </w:p>
    <w:p>
      <w:pPr>
        <w:spacing w:after="120" w:line="276" w:lineRule="auto"/>
      </w:pPr>
      <w:r>
        <w:rPr>
          <w:rFonts w:ascii="Calibri" w:hAnsi="Calibri"/>
          <w:color w:val="212529"/>
          <w:sz w:val="21"/>
        </w:rPr>
        <w:t>While the models demonstrate strong discriminative ability (ROC-AUC &gt; 0.90), several real-world limitations must govern their application. The data represents a 1994 cross-sectional slice of the United States population, reflecting historical wage structures, gender disparities (66.9% male sample), and top-coded capital gains ($99,999 ceiling). Crucially, observational statistical associations must not be conflated with causal mechanisms; demographic attributes (such as marital status or sex) serve as proxies for unmeasured social, financial, and household dynamics. Consequently, automated scoring models trained on such data must never be deployed for high-stakes individual decisions (such as hiring or lending) without stringent algorithmic fairness safeguards. The enduring value of this project lies in its established, transparent, end-to-end reproducible R architecture that guarantees complete auditability from raw ingestion to final publication.</w:t>
      </w:r>
    </w:p>
    <w:p>
      <w:pPr>
        <w:pStyle w:val="Heading1"/>
        <w:keepNext/>
        <w:spacing w:before="360" w:after="120"/>
      </w:pPr>
      <w:r>
        <w:rPr>
          <w:rFonts w:ascii="Calibri" w:hAnsi="Calibri"/>
          <w:b/>
          <w:color w:val="1B365D"/>
          <w:sz w:val="32"/>
        </w:rPr>
        <w:t>Section 3 — Introduction and Objectives</w:t>
      </w:r>
    </w:p>
    <w:p>
      <w:pPr>
        <w:spacing w:after="120" w:line="276" w:lineRule="auto"/>
      </w:pPr>
      <w:r>
        <w:rPr>
          <w:rFonts w:ascii="Calibri" w:hAnsi="Calibri"/>
          <w:color w:val="212529"/>
          <w:sz w:val="21"/>
        </w:rPr>
        <w:t>Understanding the structural drivers of socioeconomic stratification and personal income distribution is a foundational problem in empirical economics, labor policy, and social science. Historically, economic researchers have sought to quantify how personal investments in human capital (e.g., formal education and vocational skill) interact with demographic trajectories (e.g., age-related experience) and labor market structures (e.g., occupational sector, work hours, and self-employment) to determine economic outcomes. The UCI Adult Census Income dataset, derived from the 1994 Current Population Survey conducted by the U.S. Census Bureau, has served as a benchmark dataset for exploring these dynamics through machine learning and statistical computing.</w:t>
      </w:r>
    </w:p>
    <w:p>
      <w:pPr>
        <w:spacing w:after="120" w:line="276" w:lineRule="auto"/>
      </w:pPr>
      <w:r>
        <w:rPr>
          <w:rFonts w:ascii="Calibri" w:hAnsi="Calibri"/>
          <w:color w:val="212529"/>
          <w:sz w:val="21"/>
        </w:rPr>
        <w:t>The primary analytical goal is to model the determinants of an individual earning more than $50,000 annually. In the context of 1994 economic conditions, a $50,000 annual personal income represented an affluent threshold (approximately the 75th to 80th percentile of individual earners). However, analyzing such observational surveys involves substantial methodological challenges: categorical variables exhibit high cardinality, survey responses contain non-random missingness, financial accounts (capital gains and losses) are severely zero-inflated and top-coded, and labor supply is heavily clustered around legal standard workweeks.</w:t>
      </w:r>
    </w:p>
    <w:p>
      <w:pPr>
        <w:pStyle w:val="Heading2"/>
        <w:keepNext/>
        <w:spacing w:before="260" w:after="80"/>
      </w:pPr>
      <w:r>
        <w:rPr>
          <w:rFonts w:ascii="Calibri" w:hAnsi="Calibri"/>
          <w:b/>
          <w:color w:val="465C7A"/>
          <w:sz w:val="26"/>
        </w:rPr>
        <w:t>The End-to-End Analytical Framework</w:t>
      </w:r>
    </w:p>
    <w:p>
      <w:pPr>
        <w:spacing w:after="120" w:line="276" w:lineRule="auto"/>
      </w:pPr>
      <w:r>
        <w:rPr>
          <w:rFonts w:ascii="Calibri" w:hAnsi="Calibri"/>
          <w:color w:val="212529"/>
          <w:sz w:val="21"/>
        </w:rPr>
        <w:t>To ensure that all final conclusions rest on sound empirical foundations, this project was architected as an eight-stage sequential pipeline. Each stage builds strictly upon the verified outputs of the preceding stage:</w:t>
      </w:r>
    </w:p>
    <w:p>
      <w:pPr>
        <w:pStyle w:val="ListBullet"/>
        <w:spacing w:after="60" w:line="276" w:lineRule="auto"/>
      </w:pPr>
      <w:r>
        <w:rPr>
          <w:rFonts w:ascii="Calibri" w:hAnsi="Calibri"/>
          <w:b/>
          <w:color w:val="212529"/>
          <w:sz w:val="20"/>
        </w:rPr>
        <w:t xml:space="preserve">Stage 1: Source Ingestion: </w:t>
      </w:r>
      <w:r>
        <w:rPr>
          <w:rFonts w:ascii="Calibri" w:hAnsi="Calibri"/>
          <w:color w:val="212529"/>
          <w:sz w:val="20"/>
        </w:rPr>
        <w:t>Raw CSV parsing, initial delimiter inspection, header validation, and string encoding.</w:t>
      </w:r>
    </w:p>
    <w:p>
      <w:pPr>
        <w:pStyle w:val="ListBullet"/>
        <w:spacing w:after="60" w:line="276" w:lineRule="auto"/>
      </w:pPr>
      <w:r>
        <w:rPr>
          <w:rFonts w:ascii="Calibri" w:hAnsi="Calibri"/>
          <w:b/>
          <w:color w:val="212529"/>
          <w:sz w:val="20"/>
        </w:rPr>
        <w:t xml:space="preserve">Stage 2: Hygiene &amp; Cleaning: </w:t>
      </w:r>
      <w:r>
        <w:rPr>
          <w:rFonts w:ascii="Calibri" w:hAnsi="Calibri"/>
          <w:color w:val="212529"/>
          <w:sz w:val="20"/>
        </w:rPr>
        <w:t>Detecting '?' missingness tokens, mode imputation, whitespace stripping, and duplicate purging.</w:t>
      </w:r>
    </w:p>
    <w:p>
      <w:pPr>
        <w:pStyle w:val="ListBullet"/>
        <w:spacing w:after="60" w:line="276" w:lineRule="auto"/>
      </w:pPr>
      <w:r>
        <w:rPr>
          <w:rFonts w:ascii="Calibri" w:hAnsi="Calibri"/>
          <w:b/>
          <w:color w:val="212529"/>
          <w:sz w:val="20"/>
        </w:rPr>
        <w:t xml:space="preserve">Stage 3: Exploratory Data Analysis: </w:t>
      </w:r>
      <w:r>
        <w:rPr>
          <w:rFonts w:ascii="Calibri" w:hAnsi="Calibri"/>
          <w:color w:val="212529"/>
          <w:sz w:val="20"/>
        </w:rPr>
        <w:t>Computing non-parametric and parametric descriptive summaries, skewness, and kurtosis.</w:t>
      </w:r>
    </w:p>
    <w:p>
      <w:pPr>
        <w:pStyle w:val="ListBullet"/>
        <w:spacing w:after="60" w:line="276" w:lineRule="auto"/>
      </w:pPr>
      <w:r>
        <w:rPr>
          <w:rFonts w:ascii="Calibri" w:hAnsi="Calibri"/>
          <w:b/>
          <w:color w:val="212529"/>
          <w:sz w:val="20"/>
        </w:rPr>
        <w:t xml:space="preserve">Stage 4: Graphic Communication: </w:t>
      </w:r>
      <w:r>
        <w:rPr>
          <w:rFonts w:ascii="Calibri" w:hAnsi="Calibri"/>
          <w:color w:val="212529"/>
          <w:sz w:val="20"/>
        </w:rPr>
        <w:t>Designing univariate, bivariate, and conditioned lattice graphics to expose hidden patterns.</w:t>
      </w:r>
    </w:p>
    <w:p>
      <w:pPr>
        <w:pStyle w:val="ListBullet"/>
        <w:spacing w:after="60" w:line="276" w:lineRule="auto"/>
      </w:pPr>
      <w:r>
        <w:rPr>
          <w:rFonts w:ascii="Calibri" w:hAnsi="Calibri"/>
          <w:b/>
          <w:color w:val="212529"/>
          <w:sz w:val="20"/>
        </w:rPr>
        <w:t xml:space="preserve">Stage 5: Hypothesis Testing: </w:t>
      </w:r>
      <w:r>
        <w:rPr>
          <w:rFonts w:ascii="Calibri" w:hAnsi="Calibri"/>
          <w:color w:val="212529"/>
          <w:sz w:val="20"/>
        </w:rPr>
        <w:t>Formulating formal statistical null/alternative pairs, evaluating distributional assumptions, and correcting for multiple testing.</w:t>
      </w:r>
    </w:p>
    <w:p>
      <w:pPr>
        <w:pStyle w:val="ListBullet"/>
        <w:spacing w:after="60" w:line="276" w:lineRule="auto"/>
      </w:pPr>
      <w:r>
        <w:rPr>
          <w:rFonts w:ascii="Calibri" w:hAnsi="Calibri"/>
          <w:b/>
          <w:color w:val="212529"/>
          <w:sz w:val="20"/>
        </w:rPr>
        <w:t xml:space="preserve">Stage 6: Predictive Modeling: </w:t>
      </w:r>
      <w:r>
        <w:rPr>
          <w:rFonts w:ascii="Calibri" w:hAnsi="Calibri"/>
          <w:color w:val="212529"/>
          <w:sz w:val="20"/>
        </w:rPr>
        <w:t>Stratified partitioning, design matrix construction, baseline establishment, and regularized estimation.</w:t>
      </w:r>
    </w:p>
    <w:p>
      <w:pPr>
        <w:pStyle w:val="ListBullet"/>
        <w:spacing w:after="60" w:line="276" w:lineRule="auto"/>
      </w:pPr>
      <w:r>
        <w:rPr>
          <w:rFonts w:ascii="Calibri" w:hAnsi="Calibri"/>
          <w:b/>
          <w:color w:val="212529"/>
          <w:sz w:val="20"/>
        </w:rPr>
        <w:t xml:space="preserve">Stage 7: Model Diagnostics: </w:t>
      </w:r>
      <w:r>
        <w:rPr>
          <w:rFonts w:ascii="Calibri" w:hAnsi="Calibri"/>
          <w:color w:val="212529"/>
          <w:sz w:val="20"/>
        </w:rPr>
        <w:t>Evaluating confusion matrices, discrimination curves (ROC/PR), calibration reliability, and influence points.</w:t>
      </w:r>
    </w:p>
    <w:p>
      <w:pPr>
        <w:pStyle w:val="ListBullet"/>
        <w:spacing w:after="60" w:line="276" w:lineRule="auto"/>
      </w:pPr>
      <w:r>
        <w:rPr>
          <w:rFonts w:ascii="Calibri" w:hAnsi="Calibri"/>
          <w:b/>
          <w:color w:val="212529"/>
          <w:sz w:val="20"/>
        </w:rPr>
        <w:t xml:space="preserve">Stage 8: Integrated Synthesis: </w:t>
      </w:r>
      <w:r>
        <w:rPr>
          <w:rFonts w:ascii="Calibri" w:hAnsi="Calibri"/>
          <w:color w:val="212529"/>
          <w:sz w:val="20"/>
        </w:rPr>
        <w:t>Consolidating all analytical evidence, evaluating policy implications, and documenting reproducibility.</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40" w:type="dxa"/>
            </w:tcMar>
            <w:tcBorders>
              <w:top w:val="none"/>
              <w:bottom w:val="none"/>
              <w:right w:val="none"/>
              <w:left w:val="single" w:sz="36" w:space="0" w:color="1B365D"/>
            </w:tcBorders>
          </w:tcPr>
          <w:p>
            <w:pPr>
              <w:spacing w:after="40"/>
            </w:pPr>
            <w:r>
              <w:rPr>
                <w:rFonts w:ascii="Calibri" w:hAnsi="Calibri"/>
                <w:b/>
                <w:color w:val="1B365D"/>
                <w:sz w:val="19"/>
              </w:rPr>
              <w:t xml:space="preserve">[CORE METHODOLOGICAL PRINCIPLE] </w:t>
            </w:r>
            <w:r>
              <w:rPr>
                <w:rFonts w:ascii="Calibri" w:hAnsi="Calibri"/>
                <w:color w:val="212529"/>
                <w:sz w:val="19"/>
              </w:rPr>
              <w:t>A critical tenet of this investigation is that predictive accuracy cannot compensate for defective data hygiene. Without rigorous initial cleaning, models learn artifacts of measurement error rather than genuine socioeconomic signals. Similarly, without formal hypothesis testing and effect size auditing, analysts risk misinterpreting high sample-size statistical significance as real-world practical importance.</w:t>
            </w:r>
          </w:p>
        </w:tc>
      </w:tr>
    </w:tbl>
    <w:p>
      <w:pPr>
        <w:spacing w:after="80"/>
      </w:pPr>
    </w:p>
    <w:p>
      <w:pPr>
        <w:pStyle w:val="Heading1"/>
        <w:keepNext/>
        <w:spacing w:before="360" w:after="120"/>
      </w:pPr>
      <w:r>
        <w:rPr>
          <w:rFonts w:ascii="Calibri" w:hAnsi="Calibri"/>
          <w:b/>
          <w:color w:val="1B365D"/>
          <w:sz w:val="32"/>
        </w:rPr>
        <w:t>Section 4 — Dataset Description and Data Source</w:t>
      </w:r>
    </w:p>
    <w:p>
      <w:pPr>
        <w:spacing w:after="120" w:line="276" w:lineRule="auto"/>
      </w:pPr>
      <w:r>
        <w:rPr>
          <w:rFonts w:ascii="Calibri" w:hAnsi="Calibri"/>
          <w:color w:val="212529"/>
          <w:sz w:val="21"/>
        </w:rPr>
        <w:t>The dataset utilized across this four-week engagement is the official UCI Adult Census Income dataset, hosted by the UC Irvine Machine Learning Repository (available at: https://archive.ics.uci.edu/dataset/2/adult). Extracted from the 1994 Current Population Survey (CPS) by Ronny Kohavi and Barry Becker, the dataset was designed to benchmark supervised binary classification algorithms on real-world demographic data. The extraction applied specific filtering criteria: records were restricted to individuals aged 16 or older who had a non-zero sampling weight (fnlwgt &gt; 0) and who met CPS survey validity checks.</w:t>
      </w:r>
    </w:p>
    <w:p>
      <w:pPr>
        <w:pStyle w:val="Heading2"/>
        <w:keepNext/>
        <w:spacing w:before="260" w:after="80"/>
      </w:pPr>
      <w:r>
        <w:rPr>
          <w:rFonts w:ascii="Calibri" w:hAnsi="Calibri"/>
          <w:b/>
          <w:color w:val="465C7A"/>
          <w:sz w:val="26"/>
        </w:rPr>
        <w:t>Verified Schema and Attribute Inventory</w:t>
      </w:r>
    </w:p>
    <w:p>
      <w:pPr>
        <w:spacing w:after="120" w:line="276" w:lineRule="auto"/>
      </w:pPr>
      <w:r>
        <w:rPr>
          <w:rFonts w:ascii="Calibri" w:hAnsi="Calibri"/>
          <w:color w:val="212529"/>
          <w:sz w:val="21"/>
        </w:rPr>
        <w:t>The raw dataset comprises 32,561 records and 15 variables (6 numerical and 9 categorical). Following data cleaning and deduplication, the analysis operates on exactly 32,537 authenticated observations. Table 4.1 details the schema, storage types, missing rates in the raw data, and empirical value distributions:</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1872"/>
        <w:gridCol w:w="1872"/>
        <w:gridCol w:w="1872"/>
        <w:gridCol w:w="1872"/>
        <w:gridCol w:w="1872"/>
      </w:tblGrid>
      <w:tr>
        <w:tc>
          <w:tcPr>
            <w:tcW w:type="dxa" w:w="1584"/>
            <w:shd w:fill="1B365D"/>
            <w:tcMar>
              <w:top w:w="100" w:type="dxa"/>
              <w:bottom w:w="100" w:type="dxa"/>
              <w:left w:w="100" w:type="dxa"/>
              <w:right w:w="100" w:type="dxa"/>
            </w:tcMar>
          </w:tcPr>
          <w:p>
            <w:pPr>
              <w:spacing w:after="0"/>
              <w:jc w:val="left"/>
            </w:pPr>
            <w:r>
              <w:rPr>
                <w:rFonts w:ascii="Calibri" w:hAnsi="Calibri"/>
                <w:b/>
                <w:color w:val="FFFFFF"/>
                <w:sz w:val="18"/>
              </w:rPr>
              <w:t>Variable</w:t>
            </w:r>
          </w:p>
        </w:tc>
        <w:tc>
          <w:tcPr>
            <w:tcW w:type="dxa" w:w="1728"/>
            <w:shd w:fill="1B365D"/>
            <w:tcMar>
              <w:top w:w="100" w:type="dxa"/>
              <w:bottom w:w="100" w:type="dxa"/>
              <w:left w:w="100" w:type="dxa"/>
              <w:right w:w="100" w:type="dxa"/>
            </w:tcMar>
          </w:tcPr>
          <w:p>
            <w:pPr>
              <w:spacing w:after="0"/>
              <w:jc w:val="left"/>
            </w:pPr>
            <w:r>
              <w:rPr>
                <w:rFonts w:ascii="Calibri" w:hAnsi="Calibri"/>
                <w:b/>
                <w:color w:val="FFFFFF"/>
                <w:sz w:val="18"/>
              </w:rPr>
              <w:t>Data Type</w:t>
            </w:r>
          </w:p>
        </w:tc>
        <w:tc>
          <w:tcPr>
            <w:tcW w:type="dxa" w:w="2592"/>
            <w:shd w:fill="1B365D"/>
            <w:tcMar>
              <w:top w:w="100" w:type="dxa"/>
              <w:bottom w:w="100" w:type="dxa"/>
              <w:left w:w="100" w:type="dxa"/>
              <w:right w:w="100" w:type="dxa"/>
            </w:tcMar>
          </w:tcPr>
          <w:p>
            <w:pPr>
              <w:spacing w:after="0"/>
              <w:jc w:val="left"/>
            </w:pPr>
            <w:r>
              <w:rPr>
                <w:rFonts w:ascii="Calibri" w:hAnsi="Calibri"/>
                <w:b/>
                <w:color w:val="FFFFFF"/>
                <w:sz w:val="18"/>
              </w:rPr>
              <w:t>Analytical Description</w:t>
            </w:r>
          </w:p>
        </w:tc>
        <w:tc>
          <w:tcPr>
            <w:tcW w:type="dxa" w:w="1296"/>
            <w:shd w:fill="1B365D"/>
            <w:tcMar>
              <w:top w:w="100" w:type="dxa"/>
              <w:bottom w:w="100" w:type="dxa"/>
              <w:left w:w="100" w:type="dxa"/>
              <w:right w:w="100" w:type="dxa"/>
            </w:tcMar>
          </w:tcPr>
          <w:p>
            <w:pPr>
              <w:spacing w:after="0"/>
              <w:jc w:val="left"/>
            </w:pPr>
            <w:r>
              <w:rPr>
                <w:rFonts w:ascii="Calibri" w:hAnsi="Calibri"/>
                <w:b/>
                <w:color w:val="FFFFFF"/>
                <w:sz w:val="18"/>
              </w:rPr>
              <w:t>Raw NA %</w:t>
            </w:r>
          </w:p>
        </w:tc>
        <w:tc>
          <w:tcPr>
            <w:tcW w:type="dxa" w:w="2160"/>
            <w:shd w:fill="1B365D"/>
            <w:tcMar>
              <w:top w:w="100" w:type="dxa"/>
              <w:bottom w:w="100" w:type="dxa"/>
              <w:left w:w="100" w:type="dxa"/>
              <w:right w:w="100" w:type="dxa"/>
            </w:tcMar>
          </w:tcPr>
          <w:p>
            <w:pPr>
              <w:spacing w:after="0"/>
              <w:jc w:val="left"/>
            </w:pPr>
            <w:r>
              <w:rPr>
                <w:rFonts w:ascii="Calibri" w:hAnsi="Calibri"/>
                <w:b/>
                <w:color w:val="FFFFFF"/>
                <w:sz w:val="18"/>
              </w:rPr>
              <w:t>Empirical Summary</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age</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Numeric (Integer)</w:t>
            </w:r>
          </w:p>
        </w:tc>
        <w:tc>
          <w:tcPr>
            <w:tcW w:type="dxa" w:w="2592"/>
            <w:shd w:fill="FFFFFF"/>
            <w:tcMar>
              <w:top w:w="70" w:type="dxa"/>
              <w:bottom w:w="70" w:type="dxa"/>
              <w:left w:w="100" w:type="dxa"/>
              <w:right w:w="100" w:type="dxa"/>
            </w:tcMar>
          </w:tcPr>
          <w:p>
            <w:pPr>
              <w:spacing w:after="0"/>
              <w:jc w:val="left"/>
            </w:pPr>
            <w:r>
              <w:rPr>
                <w:rFonts w:ascii="Calibri" w:hAnsi="Calibri"/>
                <w:b w:val="0"/>
                <w:color w:val="212529"/>
                <w:sz w:val="17"/>
              </w:rPr>
              <w:t>Age of the surveyed individual in years.</w:t>
            </w:r>
          </w:p>
        </w:tc>
        <w:tc>
          <w:tcPr>
            <w:tcW w:type="dxa" w:w="1296"/>
            <w:shd w:fill="FFFFFF"/>
            <w:tcMar>
              <w:top w:w="70" w:type="dxa"/>
              <w:bottom w:w="70" w:type="dxa"/>
              <w:left w:w="100" w:type="dxa"/>
              <w:right w:w="100" w:type="dxa"/>
            </w:tcMar>
          </w:tcPr>
          <w:p>
            <w:pPr>
              <w:spacing w:after="0"/>
              <w:jc w:val="left"/>
            </w:pPr>
            <w:r>
              <w:rPr>
                <w:rFonts w:ascii="Calibri" w:hAnsi="Calibri"/>
                <w:b w:val="0"/>
                <w:color w:val="212529"/>
                <w:sz w:val="17"/>
              </w:rPr>
              <w:t>0.0%</w:t>
            </w:r>
          </w:p>
        </w:tc>
        <w:tc>
          <w:tcPr>
            <w:tcW w:type="dxa" w:w="2160"/>
            <w:shd w:fill="FFFFFF"/>
            <w:tcMar>
              <w:top w:w="70" w:type="dxa"/>
              <w:bottom w:w="70" w:type="dxa"/>
              <w:left w:w="100" w:type="dxa"/>
              <w:right w:w="100" w:type="dxa"/>
            </w:tcMar>
          </w:tcPr>
          <w:p>
            <w:pPr>
              <w:spacing w:after="0"/>
              <w:jc w:val="left"/>
            </w:pPr>
            <w:r>
              <w:rPr>
                <w:rFonts w:ascii="Calibri" w:hAnsi="Calibri"/>
                <w:b w:val="0"/>
                <w:color w:val="212529"/>
                <w:sz w:val="17"/>
              </w:rPr>
              <w:t>Min: 17, Max: 90, Mean: 38.59, Median: 37</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workclass</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Categorical (Factor)</w:t>
            </w:r>
          </w:p>
        </w:tc>
        <w:tc>
          <w:tcPr>
            <w:tcW w:type="dxa" w:w="2592"/>
            <w:shd w:fill="F8F9FA"/>
            <w:tcMar>
              <w:top w:w="70" w:type="dxa"/>
              <w:bottom w:w="70" w:type="dxa"/>
              <w:left w:w="100" w:type="dxa"/>
              <w:right w:w="100" w:type="dxa"/>
            </w:tcMar>
          </w:tcPr>
          <w:p>
            <w:pPr>
              <w:spacing w:after="0"/>
              <w:jc w:val="left"/>
            </w:pPr>
            <w:r>
              <w:rPr>
                <w:rFonts w:ascii="Calibri" w:hAnsi="Calibri"/>
                <w:b w:val="0"/>
                <w:color w:val="212529"/>
                <w:sz w:val="17"/>
              </w:rPr>
              <w:t>Employment sector / ownership class.</w:t>
            </w:r>
          </w:p>
        </w:tc>
        <w:tc>
          <w:tcPr>
            <w:tcW w:type="dxa" w:w="1296"/>
            <w:shd w:fill="F8F9FA"/>
            <w:tcMar>
              <w:top w:w="70" w:type="dxa"/>
              <w:bottom w:w="70" w:type="dxa"/>
              <w:left w:w="100" w:type="dxa"/>
              <w:right w:w="100" w:type="dxa"/>
            </w:tcMar>
          </w:tcPr>
          <w:p>
            <w:pPr>
              <w:spacing w:after="0"/>
              <w:jc w:val="left"/>
            </w:pPr>
            <w:r>
              <w:rPr>
                <w:rFonts w:ascii="Calibri" w:hAnsi="Calibri"/>
                <w:b w:val="0"/>
                <w:color w:val="212529"/>
                <w:sz w:val="17"/>
              </w:rPr>
              <w:t>5.64% (1,836)</w:t>
            </w:r>
          </w:p>
        </w:tc>
        <w:tc>
          <w:tcPr>
            <w:tcW w:type="dxa" w:w="2160"/>
            <w:shd w:fill="F8F9FA"/>
            <w:tcMar>
              <w:top w:w="70" w:type="dxa"/>
              <w:bottom w:w="70" w:type="dxa"/>
              <w:left w:w="100" w:type="dxa"/>
              <w:right w:w="100" w:type="dxa"/>
            </w:tcMar>
          </w:tcPr>
          <w:p>
            <w:pPr>
              <w:spacing w:after="0"/>
              <w:jc w:val="left"/>
            </w:pPr>
            <w:r>
              <w:rPr>
                <w:rFonts w:ascii="Calibri" w:hAnsi="Calibri"/>
                <w:b w:val="0"/>
                <w:color w:val="212529"/>
                <w:sz w:val="17"/>
              </w:rPr>
              <w:t>8 levels: Private (75.3%), Self-emp, Gov</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fnlwgt</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Numeric (Integer)</w:t>
            </w:r>
          </w:p>
        </w:tc>
        <w:tc>
          <w:tcPr>
            <w:tcW w:type="dxa" w:w="2592"/>
            <w:shd w:fill="FFFFFF"/>
            <w:tcMar>
              <w:top w:w="70" w:type="dxa"/>
              <w:bottom w:w="70" w:type="dxa"/>
              <w:left w:w="100" w:type="dxa"/>
              <w:right w:w="100" w:type="dxa"/>
            </w:tcMar>
          </w:tcPr>
          <w:p>
            <w:pPr>
              <w:spacing w:after="0"/>
              <w:jc w:val="left"/>
            </w:pPr>
            <w:r>
              <w:rPr>
                <w:rFonts w:ascii="Calibri" w:hAnsi="Calibri"/>
                <w:b w:val="0"/>
                <w:color w:val="212529"/>
                <w:sz w:val="17"/>
              </w:rPr>
              <w:t>Final survey sampling weight assigned by CPS.</w:t>
            </w:r>
          </w:p>
        </w:tc>
        <w:tc>
          <w:tcPr>
            <w:tcW w:type="dxa" w:w="1296"/>
            <w:shd w:fill="FFFFFF"/>
            <w:tcMar>
              <w:top w:w="70" w:type="dxa"/>
              <w:bottom w:w="70" w:type="dxa"/>
              <w:left w:w="100" w:type="dxa"/>
              <w:right w:w="100" w:type="dxa"/>
            </w:tcMar>
          </w:tcPr>
          <w:p>
            <w:pPr>
              <w:spacing w:after="0"/>
              <w:jc w:val="left"/>
            </w:pPr>
            <w:r>
              <w:rPr>
                <w:rFonts w:ascii="Calibri" w:hAnsi="Calibri"/>
                <w:b w:val="0"/>
                <w:color w:val="212529"/>
                <w:sz w:val="17"/>
              </w:rPr>
              <w:t>0.0%</w:t>
            </w:r>
          </w:p>
        </w:tc>
        <w:tc>
          <w:tcPr>
            <w:tcW w:type="dxa" w:w="2160"/>
            <w:shd w:fill="FFFFFF"/>
            <w:tcMar>
              <w:top w:w="70" w:type="dxa"/>
              <w:bottom w:w="70" w:type="dxa"/>
              <w:left w:w="100" w:type="dxa"/>
              <w:right w:w="100" w:type="dxa"/>
            </w:tcMar>
          </w:tcPr>
          <w:p>
            <w:pPr>
              <w:spacing w:after="0"/>
              <w:jc w:val="left"/>
            </w:pPr>
            <w:r>
              <w:rPr>
                <w:rFonts w:ascii="Calibri" w:hAnsi="Calibri"/>
                <w:b w:val="0"/>
                <w:color w:val="212529"/>
                <w:sz w:val="17"/>
              </w:rPr>
              <w:t>Min: 12,285, Max: 1,484,705, Mean: 189,781</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education</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Categorical (Ordinal)</w:t>
            </w:r>
          </w:p>
        </w:tc>
        <w:tc>
          <w:tcPr>
            <w:tcW w:type="dxa" w:w="2592"/>
            <w:shd w:fill="F8F9FA"/>
            <w:tcMar>
              <w:top w:w="70" w:type="dxa"/>
              <w:bottom w:w="70" w:type="dxa"/>
              <w:left w:w="100" w:type="dxa"/>
              <w:right w:w="100" w:type="dxa"/>
            </w:tcMar>
          </w:tcPr>
          <w:p>
            <w:pPr>
              <w:spacing w:after="0"/>
              <w:jc w:val="left"/>
            </w:pPr>
            <w:r>
              <w:rPr>
                <w:rFonts w:ascii="Calibri" w:hAnsi="Calibri"/>
                <w:b w:val="0"/>
                <w:color w:val="212529"/>
                <w:sz w:val="17"/>
              </w:rPr>
              <w:t>Highest educational degree completed.</w:t>
            </w:r>
          </w:p>
        </w:tc>
        <w:tc>
          <w:tcPr>
            <w:tcW w:type="dxa" w:w="1296"/>
            <w:shd w:fill="F8F9FA"/>
            <w:tcMar>
              <w:top w:w="70" w:type="dxa"/>
              <w:bottom w:w="70" w:type="dxa"/>
              <w:left w:w="100" w:type="dxa"/>
              <w:right w:w="100" w:type="dxa"/>
            </w:tcMar>
          </w:tcPr>
          <w:p>
            <w:pPr>
              <w:spacing w:after="0"/>
              <w:jc w:val="left"/>
            </w:pPr>
            <w:r>
              <w:rPr>
                <w:rFonts w:ascii="Calibri" w:hAnsi="Calibri"/>
                <w:b w:val="0"/>
                <w:color w:val="212529"/>
                <w:sz w:val="17"/>
              </w:rPr>
              <w:t>0.0%</w:t>
            </w:r>
          </w:p>
        </w:tc>
        <w:tc>
          <w:tcPr>
            <w:tcW w:type="dxa" w:w="2160"/>
            <w:shd w:fill="F8F9FA"/>
            <w:tcMar>
              <w:top w:w="70" w:type="dxa"/>
              <w:bottom w:w="70" w:type="dxa"/>
              <w:left w:w="100" w:type="dxa"/>
              <w:right w:w="100" w:type="dxa"/>
            </w:tcMar>
          </w:tcPr>
          <w:p>
            <w:pPr>
              <w:spacing w:after="0"/>
              <w:jc w:val="left"/>
            </w:pPr>
            <w:r>
              <w:rPr>
                <w:rFonts w:ascii="Calibri" w:hAnsi="Calibri"/>
                <w:b w:val="0"/>
                <w:color w:val="212529"/>
                <w:sz w:val="17"/>
              </w:rPr>
              <w:t>16 levels: Preschool to Doctorate</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education_num</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Numeric (Integer)</w:t>
            </w:r>
          </w:p>
        </w:tc>
        <w:tc>
          <w:tcPr>
            <w:tcW w:type="dxa" w:w="2592"/>
            <w:shd w:fill="FFFFFF"/>
            <w:tcMar>
              <w:top w:w="70" w:type="dxa"/>
              <w:bottom w:w="70" w:type="dxa"/>
              <w:left w:w="100" w:type="dxa"/>
              <w:right w:w="100" w:type="dxa"/>
            </w:tcMar>
          </w:tcPr>
          <w:p>
            <w:pPr>
              <w:spacing w:after="0"/>
              <w:jc w:val="left"/>
            </w:pPr>
            <w:r>
              <w:rPr>
                <w:rFonts w:ascii="Calibri" w:hAnsi="Calibri"/>
                <w:b w:val="0"/>
                <w:color w:val="212529"/>
                <w:sz w:val="17"/>
              </w:rPr>
              <w:t>Continuous quantification of education years.</w:t>
            </w:r>
          </w:p>
        </w:tc>
        <w:tc>
          <w:tcPr>
            <w:tcW w:type="dxa" w:w="1296"/>
            <w:shd w:fill="FFFFFF"/>
            <w:tcMar>
              <w:top w:w="70" w:type="dxa"/>
              <w:bottom w:w="70" w:type="dxa"/>
              <w:left w:w="100" w:type="dxa"/>
              <w:right w:w="100" w:type="dxa"/>
            </w:tcMar>
          </w:tcPr>
          <w:p>
            <w:pPr>
              <w:spacing w:after="0"/>
              <w:jc w:val="left"/>
            </w:pPr>
            <w:r>
              <w:rPr>
                <w:rFonts w:ascii="Calibri" w:hAnsi="Calibri"/>
                <w:b w:val="0"/>
                <w:color w:val="212529"/>
                <w:sz w:val="17"/>
              </w:rPr>
              <w:t>0.0%</w:t>
            </w:r>
          </w:p>
        </w:tc>
        <w:tc>
          <w:tcPr>
            <w:tcW w:type="dxa" w:w="2160"/>
            <w:shd w:fill="FFFFFF"/>
            <w:tcMar>
              <w:top w:w="70" w:type="dxa"/>
              <w:bottom w:w="70" w:type="dxa"/>
              <w:left w:w="100" w:type="dxa"/>
              <w:right w:w="100" w:type="dxa"/>
            </w:tcMar>
          </w:tcPr>
          <w:p>
            <w:pPr>
              <w:spacing w:after="0"/>
              <w:jc w:val="left"/>
            </w:pPr>
            <w:r>
              <w:rPr>
                <w:rFonts w:ascii="Calibri" w:hAnsi="Calibri"/>
                <w:b w:val="0"/>
                <w:color w:val="212529"/>
                <w:sz w:val="17"/>
              </w:rPr>
              <w:t>Range: 1 to 16, Mean: 10.08, Median: 10</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marital_status</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Categorical (Factor)</w:t>
            </w:r>
          </w:p>
        </w:tc>
        <w:tc>
          <w:tcPr>
            <w:tcW w:type="dxa" w:w="2592"/>
            <w:shd w:fill="F8F9FA"/>
            <w:tcMar>
              <w:top w:w="70" w:type="dxa"/>
              <w:bottom w:w="70" w:type="dxa"/>
              <w:left w:w="100" w:type="dxa"/>
              <w:right w:w="100" w:type="dxa"/>
            </w:tcMar>
          </w:tcPr>
          <w:p>
            <w:pPr>
              <w:spacing w:after="0"/>
              <w:jc w:val="left"/>
            </w:pPr>
            <w:r>
              <w:rPr>
                <w:rFonts w:ascii="Calibri" w:hAnsi="Calibri"/>
                <w:b w:val="0"/>
                <w:color w:val="212529"/>
                <w:sz w:val="17"/>
              </w:rPr>
              <w:t>Marital and cohabitation status.</w:t>
            </w:r>
          </w:p>
        </w:tc>
        <w:tc>
          <w:tcPr>
            <w:tcW w:type="dxa" w:w="1296"/>
            <w:shd w:fill="F8F9FA"/>
            <w:tcMar>
              <w:top w:w="70" w:type="dxa"/>
              <w:bottom w:w="70" w:type="dxa"/>
              <w:left w:w="100" w:type="dxa"/>
              <w:right w:w="100" w:type="dxa"/>
            </w:tcMar>
          </w:tcPr>
          <w:p>
            <w:pPr>
              <w:spacing w:after="0"/>
              <w:jc w:val="left"/>
            </w:pPr>
            <w:r>
              <w:rPr>
                <w:rFonts w:ascii="Calibri" w:hAnsi="Calibri"/>
                <w:b w:val="0"/>
                <w:color w:val="212529"/>
                <w:sz w:val="17"/>
              </w:rPr>
              <w:t>0.0%</w:t>
            </w:r>
          </w:p>
        </w:tc>
        <w:tc>
          <w:tcPr>
            <w:tcW w:type="dxa" w:w="2160"/>
            <w:shd w:fill="F8F9FA"/>
            <w:tcMar>
              <w:top w:w="70" w:type="dxa"/>
              <w:bottom w:w="70" w:type="dxa"/>
              <w:left w:w="100" w:type="dxa"/>
              <w:right w:w="100" w:type="dxa"/>
            </w:tcMar>
          </w:tcPr>
          <w:p>
            <w:pPr>
              <w:spacing w:after="0"/>
              <w:jc w:val="left"/>
            </w:pPr>
            <w:r>
              <w:rPr>
                <w:rFonts w:ascii="Calibri" w:hAnsi="Calibri"/>
                <w:b w:val="0"/>
                <w:color w:val="212529"/>
                <w:sz w:val="17"/>
              </w:rPr>
              <w:t>7 levels: Married-civ-spouse (46.0%), Never-married (32.8%)</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occupation</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Categorical (Factor)</w:t>
            </w:r>
          </w:p>
        </w:tc>
        <w:tc>
          <w:tcPr>
            <w:tcW w:type="dxa" w:w="2592"/>
            <w:shd w:fill="FFFFFF"/>
            <w:tcMar>
              <w:top w:w="70" w:type="dxa"/>
              <w:bottom w:w="70" w:type="dxa"/>
              <w:left w:w="100" w:type="dxa"/>
              <w:right w:w="100" w:type="dxa"/>
            </w:tcMar>
          </w:tcPr>
          <w:p>
            <w:pPr>
              <w:spacing w:after="0"/>
              <w:jc w:val="left"/>
            </w:pPr>
            <w:r>
              <w:rPr>
                <w:rFonts w:ascii="Calibri" w:hAnsi="Calibri"/>
                <w:b w:val="0"/>
                <w:color w:val="212529"/>
                <w:sz w:val="17"/>
              </w:rPr>
              <w:t>Professional occupation category.</w:t>
            </w:r>
          </w:p>
        </w:tc>
        <w:tc>
          <w:tcPr>
            <w:tcW w:type="dxa" w:w="1296"/>
            <w:shd w:fill="FFFFFF"/>
            <w:tcMar>
              <w:top w:w="70" w:type="dxa"/>
              <w:bottom w:w="70" w:type="dxa"/>
              <w:left w:w="100" w:type="dxa"/>
              <w:right w:w="100" w:type="dxa"/>
            </w:tcMar>
          </w:tcPr>
          <w:p>
            <w:pPr>
              <w:spacing w:after="0"/>
              <w:jc w:val="left"/>
            </w:pPr>
            <w:r>
              <w:rPr>
                <w:rFonts w:ascii="Calibri" w:hAnsi="Calibri"/>
                <w:b w:val="0"/>
                <w:color w:val="212529"/>
                <w:sz w:val="17"/>
              </w:rPr>
              <w:t>5.66% (1,843)</w:t>
            </w:r>
          </w:p>
        </w:tc>
        <w:tc>
          <w:tcPr>
            <w:tcW w:type="dxa" w:w="2160"/>
            <w:shd w:fill="FFFFFF"/>
            <w:tcMar>
              <w:top w:w="70" w:type="dxa"/>
              <w:bottom w:w="70" w:type="dxa"/>
              <w:left w:w="100" w:type="dxa"/>
              <w:right w:w="100" w:type="dxa"/>
            </w:tcMar>
          </w:tcPr>
          <w:p>
            <w:pPr>
              <w:spacing w:after="0"/>
              <w:jc w:val="left"/>
            </w:pPr>
            <w:r>
              <w:rPr>
                <w:rFonts w:ascii="Calibri" w:hAnsi="Calibri"/>
                <w:b w:val="0"/>
                <w:color w:val="212529"/>
                <w:sz w:val="17"/>
              </w:rPr>
              <w:t>14 levels: Prof-specialty, Exec-managerial, Craft, etc.</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relationship</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Categorical (Factor)</w:t>
            </w:r>
          </w:p>
        </w:tc>
        <w:tc>
          <w:tcPr>
            <w:tcW w:type="dxa" w:w="2592"/>
            <w:shd w:fill="F8F9FA"/>
            <w:tcMar>
              <w:top w:w="70" w:type="dxa"/>
              <w:bottom w:w="70" w:type="dxa"/>
              <w:left w:w="100" w:type="dxa"/>
              <w:right w:w="100" w:type="dxa"/>
            </w:tcMar>
          </w:tcPr>
          <w:p>
            <w:pPr>
              <w:spacing w:after="0"/>
              <w:jc w:val="left"/>
            </w:pPr>
            <w:r>
              <w:rPr>
                <w:rFonts w:ascii="Calibri" w:hAnsi="Calibri"/>
                <w:b w:val="0"/>
                <w:color w:val="212529"/>
                <w:sz w:val="17"/>
              </w:rPr>
              <w:t>Household role relative to householder.</w:t>
            </w:r>
          </w:p>
        </w:tc>
        <w:tc>
          <w:tcPr>
            <w:tcW w:type="dxa" w:w="1296"/>
            <w:shd w:fill="F8F9FA"/>
            <w:tcMar>
              <w:top w:w="70" w:type="dxa"/>
              <w:bottom w:w="70" w:type="dxa"/>
              <w:left w:w="100" w:type="dxa"/>
              <w:right w:w="100" w:type="dxa"/>
            </w:tcMar>
          </w:tcPr>
          <w:p>
            <w:pPr>
              <w:spacing w:after="0"/>
              <w:jc w:val="left"/>
            </w:pPr>
            <w:r>
              <w:rPr>
                <w:rFonts w:ascii="Calibri" w:hAnsi="Calibri"/>
                <w:b w:val="0"/>
                <w:color w:val="212529"/>
                <w:sz w:val="17"/>
              </w:rPr>
              <w:t>0.0%</w:t>
            </w:r>
          </w:p>
        </w:tc>
        <w:tc>
          <w:tcPr>
            <w:tcW w:type="dxa" w:w="2160"/>
            <w:shd w:fill="F8F9FA"/>
            <w:tcMar>
              <w:top w:w="70" w:type="dxa"/>
              <w:bottom w:w="70" w:type="dxa"/>
              <w:left w:w="100" w:type="dxa"/>
              <w:right w:w="100" w:type="dxa"/>
            </w:tcMar>
          </w:tcPr>
          <w:p>
            <w:pPr>
              <w:spacing w:after="0"/>
              <w:jc w:val="left"/>
            </w:pPr>
            <w:r>
              <w:rPr>
                <w:rFonts w:ascii="Calibri" w:hAnsi="Calibri"/>
                <w:b w:val="0"/>
                <w:color w:val="212529"/>
                <w:sz w:val="17"/>
              </w:rPr>
              <w:t>6 levels: Husband (40.5%), Not-in-family, Own-child</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race</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Categorical (Factor)</w:t>
            </w:r>
          </w:p>
        </w:tc>
        <w:tc>
          <w:tcPr>
            <w:tcW w:type="dxa" w:w="2592"/>
            <w:shd w:fill="FFFFFF"/>
            <w:tcMar>
              <w:top w:w="70" w:type="dxa"/>
              <w:bottom w:w="70" w:type="dxa"/>
              <w:left w:w="100" w:type="dxa"/>
              <w:right w:w="100" w:type="dxa"/>
            </w:tcMar>
          </w:tcPr>
          <w:p>
            <w:pPr>
              <w:spacing w:after="0"/>
              <w:jc w:val="left"/>
            </w:pPr>
            <w:r>
              <w:rPr>
                <w:rFonts w:ascii="Calibri" w:hAnsi="Calibri"/>
                <w:b w:val="0"/>
                <w:color w:val="212529"/>
                <w:sz w:val="17"/>
              </w:rPr>
              <w:t>Self-identified racial demographic.</w:t>
            </w:r>
          </w:p>
        </w:tc>
        <w:tc>
          <w:tcPr>
            <w:tcW w:type="dxa" w:w="1296"/>
            <w:shd w:fill="FFFFFF"/>
            <w:tcMar>
              <w:top w:w="70" w:type="dxa"/>
              <w:bottom w:w="70" w:type="dxa"/>
              <w:left w:w="100" w:type="dxa"/>
              <w:right w:w="100" w:type="dxa"/>
            </w:tcMar>
          </w:tcPr>
          <w:p>
            <w:pPr>
              <w:spacing w:after="0"/>
              <w:jc w:val="left"/>
            </w:pPr>
            <w:r>
              <w:rPr>
                <w:rFonts w:ascii="Calibri" w:hAnsi="Calibri"/>
                <w:b w:val="0"/>
                <w:color w:val="212529"/>
                <w:sz w:val="17"/>
              </w:rPr>
              <w:t>0.0%</w:t>
            </w:r>
          </w:p>
        </w:tc>
        <w:tc>
          <w:tcPr>
            <w:tcW w:type="dxa" w:w="2160"/>
            <w:shd w:fill="FFFFFF"/>
            <w:tcMar>
              <w:top w:w="70" w:type="dxa"/>
              <w:bottom w:w="70" w:type="dxa"/>
              <w:left w:w="100" w:type="dxa"/>
              <w:right w:w="100" w:type="dxa"/>
            </w:tcMar>
          </w:tcPr>
          <w:p>
            <w:pPr>
              <w:spacing w:after="0"/>
              <w:jc w:val="left"/>
            </w:pPr>
            <w:r>
              <w:rPr>
                <w:rFonts w:ascii="Calibri" w:hAnsi="Calibri"/>
                <w:b w:val="0"/>
                <w:color w:val="212529"/>
                <w:sz w:val="17"/>
              </w:rPr>
              <w:t>5 levels: White (85.4%), Black (9.6%), Asian-Pac (3.2%)</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sex</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Categorical (Factor)</w:t>
            </w:r>
          </w:p>
        </w:tc>
        <w:tc>
          <w:tcPr>
            <w:tcW w:type="dxa" w:w="2592"/>
            <w:shd w:fill="F8F9FA"/>
            <w:tcMar>
              <w:top w:w="70" w:type="dxa"/>
              <w:bottom w:w="70" w:type="dxa"/>
              <w:left w:w="100" w:type="dxa"/>
              <w:right w:w="100" w:type="dxa"/>
            </w:tcMar>
          </w:tcPr>
          <w:p>
            <w:pPr>
              <w:spacing w:after="0"/>
              <w:jc w:val="left"/>
            </w:pPr>
            <w:r>
              <w:rPr>
                <w:rFonts w:ascii="Calibri" w:hAnsi="Calibri"/>
                <w:b w:val="0"/>
                <w:color w:val="212529"/>
                <w:sz w:val="17"/>
              </w:rPr>
              <w:t>Biological sex recorded in survey.</w:t>
            </w:r>
          </w:p>
        </w:tc>
        <w:tc>
          <w:tcPr>
            <w:tcW w:type="dxa" w:w="1296"/>
            <w:shd w:fill="F8F9FA"/>
            <w:tcMar>
              <w:top w:w="70" w:type="dxa"/>
              <w:bottom w:w="70" w:type="dxa"/>
              <w:left w:w="100" w:type="dxa"/>
              <w:right w:w="100" w:type="dxa"/>
            </w:tcMar>
          </w:tcPr>
          <w:p>
            <w:pPr>
              <w:spacing w:after="0"/>
              <w:jc w:val="left"/>
            </w:pPr>
            <w:r>
              <w:rPr>
                <w:rFonts w:ascii="Calibri" w:hAnsi="Calibri"/>
                <w:b w:val="0"/>
                <w:color w:val="212529"/>
                <w:sz w:val="17"/>
              </w:rPr>
              <w:t>0.0%</w:t>
            </w:r>
          </w:p>
        </w:tc>
        <w:tc>
          <w:tcPr>
            <w:tcW w:type="dxa" w:w="2160"/>
            <w:shd w:fill="F8F9FA"/>
            <w:tcMar>
              <w:top w:w="70" w:type="dxa"/>
              <w:bottom w:w="70" w:type="dxa"/>
              <w:left w:w="100" w:type="dxa"/>
              <w:right w:w="100" w:type="dxa"/>
            </w:tcMar>
          </w:tcPr>
          <w:p>
            <w:pPr>
              <w:spacing w:after="0"/>
              <w:jc w:val="left"/>
            </w:pPr>
            <w:r>
              <w:rPr>
                <w:rFonts w:ascii="Calibri" w:hAnsi="Calibri"/>
                <w:b w:val="0"/>
                <w:color w:val="212529"/>
                <w:sz w:val="17"/>
              </w:rPr>
              <w:t>2 levels: Male (66.92%), Female (33.08%)</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capital_gain</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Numeric (Integer)</w:t>
            </w:r>
          </w:p>
        </w:tc>
        <w:tc>
          <w:tcPr>
            <w:tcW w:type="dxa" w:w="2592"/>
            <w:shd w:fill="FFFFFF"/>
            <w:tcMar>
              <w:top w:w="70" w:type="dxa"/>
              <w:bottom w:w="70" w:type="dxa"/>
              <w:left w:w="100" w:type="dxa"/>
              <w:right w:w="100" w:type="dxa"/>
            </w:tcMar>
          </w:tcPr>
          <w:p>
            <w:pPr>
              <w:spacing w:after="0"/>
              <w:jc w:val="left"/>
            </w:pPr>
            <w:r>
              <w:rPr>
                <w:rFonts w:ascii="Calibri" w:hAnsi="Calibri"/>
                <w:b w:val="0"/>
                <w:color w:val="212529"/>
                <w:sz w:val="17"/>
              </w:rPr>
              <w:t>Recorded annual capital gains income ($).</w:t>
            </w:r>
          </w:p>
        </w:tc>
        <w:tc>
          <w:tcPr>
            <w:tcW w:type="dxa" w:w="1296"/>
            <w:shd w:fill="FFFFFF"/>
            <w:tcMar>
              <w:top w:w="70" w:type="dxa"/>
              <w:bottom w:w="70" w:type="dxa"/>
              <w:left w:w="100" w:type="dxa"/>
              <w:right w:w="100" w:type="dxa"/>
            </w:tcMar>
          </w:tcPr>
          <w:p>
            <w:pPr>
              <w:spacing w:after="0"/>
              <w:jc w:val="left"/>
            </w:pPr>
            <w:r>
              <w:rPr>
                <w:rFonts w:ascii="Calibri" w:hAnsi="Calibri"/>
                <w:b w:val="0"/>
                <w:color w:val="212529"/>
                <w:sz w:val="17"/>
              </w:rPr>
              <w:t>0.0%</w:t>
            </w:r>
          </w:p>
        </w:tc>
        <w:tc>
          <w:tcPr>
            <w:tcW w:type="dxa" w:w="2160"/>
            <w:shd w:fill="FFFFFF"/>
            <w:tcMar>
              <w:top w:w="70" w:type="dxa"/>
              <w:bottom w:w="70" w:type="dxa"/>
              <w:left w:w="100" w:type="dxa"/>
              <w:right w:w="100" w:type="dxa"/>
            </w:tcMar>
          </w:tcPr>
          <w:p>
            <w:pPr>
              <w:spacing w:after="0"/>
              <w:jc w:val="left"/>
            </w:pPr>
            <w:r>
              <w:rPr>
                <w:rFonts w:ascii="Calibri" w:hAnsi="Calibri"/>
                <w:b w:val="0"/>
                <w:color w:val="212529"/>
                <w:sz w:val="17"/>
              </w:rPr>
              <w:t>91.7% Zeroes; Max: $99,999; Mean: $1,078</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capital_loss</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Numeric (Integer)</w:t>
            </w:r>
          </w:p>
        </w:tc>
        <w:tc>
          <w:tcPr>
            <w:tcW w:type="dxa" w:w="2592"/>
            <w:shd w:fill="F8F9FA"/>
            <w:tcMar>
              <w:top w:w="70" w:type="dxa"/>
              <w:bottom w:w="70" w:type="dxa"/>
              <w:left w:w="100" w:type="dxa"/>
              <w:right w:w="100" w:type="dxa"/>
            </w:tcMar>
          </w:tcPr>
          <w:p>
            <w:pPr>
              <w:spacing w:after="0"/>
              <w:jc w:val="left"/>
            </w:pPr>
            <w:r>
              <w:rPr>
                <w:rFonts w:ascii="Calibri" w:hAnsi="Calibri"/>
                <w:b w:val="0"/>
                <w:color w:val="212529"/>
                <w:sz w:val="17"/>
              </w:rPr>
              <w:t>Recorded annual capital losses ($).</w:t>
            </w:r>
          </w:p>
        </w:tc>
        <w:tc>
          <w:tcPr>
            <w:tcW w:type="dxa" w:w="1296"/>
            <w:shd w:fill="F8F9FA"/>
            <w:tcMar>
              <w:top w:w="70" w:type="dxa"/>
              <w:bottom w:w="70" w:type="dxa"/>
              <w:left w:w="100" w:type="dxa"/>
              <w:right w:w="100" w:type="dxa"/>
            </w:tcMar>
          </w:tcPr>
          <w:p>
            <w:pPr>
              <w:spacing w:after="0"/>
              <w:jc w:val="left"/>
            </w:pPr>
            <w:r>
              <w:rPr>
                <w:rFonts w:ascii="Calibri" w:hAnsi="Calibri"/>
                <w:b w:val="0"/>
                <w:color w:val="212529"/>
                <w:sz w:val="17"/>
              </w:rPr>
              <w:t>0.0%</w:t>
            </w:r>
          </w:p>
        </w:tc>
        <w:tc>
          <w:tcPr>
            <w:tcW w:type="dxa" w:w="2160"/>
            <w:shd w:fill="F8F9FA"/>
            <w:tcMar>
              <w:top w:w="70" w:type="dxa"/>
              <w:bottom w:w="70" w:type="dxa"/>
              <w:left w:w="100" w:type="dxa"/>
              <w:right w:w="100" w:type="dxa"/>
            </w:tcMar>
          </w:tcPr>
          <w:p>
            <w:pPr>
              <w:spacing w:after="0"/>
              <w:jc w:val="left"/>
            </w:pPr>
            <w:r>
              <w:rPr>
                <w:rFonts w:ascii="Calibri" w:hAnsi="Calibri"/>
                <w:b w:val="0"/>
                <w:color w:val="212529"/>
                <w:sz w:val="17"/>
              </w:rPr>
              <w:t>95.3% Zeroes; Max: $4,356; Mean: $87.37</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hours_per_week</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Numeric (Integer)</w:t>
            </w:r>
          </w:p>
        </w:tc>
        <w:tc>
          <w:tcPr>
            <w:tcW w:type="dxa" w:w="2592"/>
            <w:shd w:fill="FFFFFF"/>
            <w:tcMar>
              <w:top w:w="70" w:type="dxa"/>
              <w:bottom w:w="70" w:type="dxa"/>
              <w:left w:w="100" w:type="dxa"/>
              <w:right w:w="100" w:type="dxa"/>
            </w:tcMar>
          </w:tcPr>
          <w:p>
            <w:pPr>
              <w:spacing w:after="0"/>
              <w:jc w:val="left"/>
            </w:pPr>
            <w:r>
              <w:rPr>
                <w:rFonts w:ascii="Calibri" w:hAnsi="Calibri"/>
                <w:b w:val="0"/>
                <w:color w:val="212529"/>
                <w:sz w:val="17"/>
              </w:rPr>
              <w:t>Reported weekly hours worked.</w:t>
            </w:r>
          </w:p>
        </w:tc>
        <w:tc>
          <w:tcPr>
            <w:tcW w:type="dxa" w:w="1296"/>
            <w:shd w:fill="FFFFFF"/>
            <w:tcMar>
              <w:top w:w="70" w:type="dxa"/>
              <w:bottom w:w="70" w:type="dxa"/>
              <w:left w:w="100" w:type="dxa"/>
              <w:right w:w="100" w:type="dxa"/>
            </w:tcMar>
          </w:tcPr>
          <w:p>
            <w:pPr>
              <w:spacing w:after="0"/>
              <w:jc w:val="left"/>
            </w:pPr>
            <w:r>
              <w:rPr>
                <w:rFonts w:ascii="Calibri" w:hAnsi="Calibri"/>
                <w:b w:val="0"/>
                <w:color w:val="212529"/>
                <w:sz w:val="17"/>
              </w:rPr>
              <w:t>0.0%</w:t>
            </w:r>
          </w:p>
        </w:tc>
        <w:tc>
          <w:tcPr>
            <w:tcW w:type="dxa" w:w="2160"/>
            <w:shd w:fill="FFFFFF"/>
            <w:tcMar>
              <w:top w:w="70" w:type="dxa"/>
              <w:bottom w:w="70" w:type="dxa"/>
              <w:left w:w="100" w:type="dxa"/>
              <w:right w:w="100" w:type="dxa"/>
            </w:tcMar>
          </w:tcPr>
          <w:p>
            <w:pPr>
              <w:spacing w:after="0"/>
              <w:jc w:val="left"/>
            </w:pPr>
            <w:r>
              <w:rPr>
                <w:rFonts w:ascii="Calibri" w:hAnsi="Calibri"/>
                <w:b w:val="0"/>
                <w:color w:val="212529"/>
                <w:sz w:val="17"/>
              </w:rPr>
              <w:t>Range: 1 to 99; Mean: 40.44; 46.7% at exactly 40</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native_country</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Categorical (Factor)</w:t>
            </w:r>
          </w:p>
        </w:tc>
        <w:tc>
          <w:tcPr>
            <w:tcW w:type="dxa" w:w="2592"/>
            <w:shd w:fill="F8F9FA"/>
            <w:tcMar>
              <w:top w:w="70" w:type="dxa"/>
              <w:bottom w:w="70" w:type="dxa"/>
              <w:left w:w="100" w:type="dxa"/>
              <w:right w:w="100" w:type="dxa"/>
            </w:tcMar>
          </w:tcPr>
          <w:p>
            <w:pPr>
              <w:spacing w:after="0"/>
              <w:jc w:val="left"/>
            </w:pPr>
            <w:r>
              <w:rPr>
                <w:rFonts w:ascii="Calibri" w:hAnsi="Calibri"/>
                <w:b w:val="0"/>
                <w:color w:val="212529"/>
                <w:sz w:val="17"/>
              </w:rPr>
              <w:t>Country of birth / origin.</w:t>
            </w:r>
          </w:p>
        </w:tc>
        <w:tc>
          <w:tcPr>
            <w:tcW w:type="dxa" w:w="1296"/>
            <w:shd w:fill="F8F9FA"/>
            <w:tcMar>
              <w:top w:w="70" w:type="dxa"/>
              <w:bottom w:w="70" w:type="dxa"/>
              <w:left w:w="100" w:type="dxa"/>
              <w:right w:w="100" w:type="dxa"/>
            </w:tcMar>
          </w:tcPr>
          <w:p>
            <w:pPr>
              <w:spacing w:after="0"/>
              <w:jc w:val="left"/>
            </w:pPr>
            <w:r>
              <w:rPr>
                <w:rFonts w:ascii="Calibri" w:hAnsi="Calibri"/>
                <w:b w:val="0"/>
                <w:color w:val="212529"/>
                <w:sz w:val="17"/>
              </w:rPr>
              <w:t>1.79% (583)</w:t>
            </w:r>
          </w:p>
        </w:tc>
        <w:tc>
          <w:tcPr>
            <w:tcW w:type="dxa" w:w="2160"/>
            <w:shd w:fill="F8F9FA"/>
            <w:tcMar>
              <w:top w:w="70" w:type="dxa"/>
              <w:bottom w:w="70" w:type="dxa"/>
              <w:left w:w="100" w:type="dxa"/>
              <w:right w:w="100" w:type="dxa"/>
            </w:tcMar>
          </w:tcPr>
          <w:p>
            <w:pPr>
              <w:spacing w:after="0"/>
              <w:jc w:val="left"/>
            </w:pPr>
            <w:r>
              <w:rPr>
                <w:rFonts w:ascii="Calibri" w:hAnsi="Calibri"/>
                <w:b w:val="0"/>
                <w:color w:val="212529"/>
                <w:sz w:val="17"/>
              </w:rPr>
              <w:t>41 levels: United-States (89.6%), Mexico, etc.</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income</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Categorical (Target)</w:t>
            </w:r>
          </w:p>
        </w:tc>
        <w:tc>
          <w:tcPr>
            <w:tcW w:type="dxa" w:w="2592"/>
            <w:shd w:fill="FFFFFF"/>
            <w:tcMar>
              <w:top w:w="70" w:type="dxa"/>
              <w:bottom w:w="70" w:type="dxa"/>
              <w:left w:w="100" w:type="dxa"/>
              <w:right w:w="100" w:type="dxa"/>
            </w:tcMar>
          </w:tcPr>
          <w:p>
            <w:pPr>
              <w:spacing w:after="0"/>
              <w:jc w:val="left"/>
            </w:pPr>
            <w:r>
              <w:rPr>
                <w:rFonts w:ascii="Calibri" w:hAnsi="Calibri"/>
                <w:b w:val="0"/>
                <w:color w:val="212529"/>
                <w:sz w:val="17"/>
              </w:rPr>
              <w:t>Binary annual personal income classification.</w:t>
            </w:r>
          </w:p>
        </w:tc>
        <w:tc>
          <w:tcPr>
            <w:tcW w:type="dxa" w:w="1296"/>
            <w:shd w:fill="FFFFFF"/>
            <w:tcMar>
              <w:top w:w="70" w:type="dxa"/>
              <w:bottom w:w="70" w:type="dxa"/>
              <w:left w:w="100" w:type="dxa"/>
              <w:right w:w="100" w:type="dxa"/>
            </w:tcMar>
          </w:tcPr>
          <w:p>
            <w:pPr>
              <w:spacing w:after="0"/>
              <w:jc w:val="left"/>
            </w:pPr>
            <w:r>
              <w:rPr>
                <w:rFonts w:ascii="Calibri" w:hAnsi="Calibri"/>
                <w:b w:val="0"/>
                <w:color w:val="212529"/>
                <w:sz w:val="17"/>
              </w:rPr>
              <w:t>0.0%</w:t>
            </w:r>
          </w:p>
        </w:tc>
        <w:tc>
          <w:tcPr>
            <w:tcW w:type="dxa" w:w="2160"/>
            <w:shd w:fill="FFFFFF"/>
            <w:tcMar>
              <w:top w:w="70" w:type="dxa"/>
              <w:bottom w:w="70" w:type="dxa"/>
              <w:left w:w="100" w:type="dxa"/>
              <w:right w:w="100" w:type="dxa"/>
            </w:tcMar>
          </w:tcPr>
          <w:p>
            <w:pPr>
              <w:spacing w:after="0"/>
              <w:jc w:val="left"/>
            </w:pPr>
            <w:r>
              <w:rPr>
                <w:rFonts w:ascii="Calibri" w:hAnsi="Calibri"/>
                <w:b w:val="0"/>
                <w:color w:val="212529"/>
                <w:sz w:val="17"/>
              </w:rPr>
              <w:t>&lt;=50K: 24,698 (75.91%), &gt;50K: 7,839 (24.09%)</w:t>
            </w:r>
          </w:p>
        </w:tc>
      </w:tr>
    </w:tbl>
    <w:p>
      <w:pPr>
        <w:spacing w:before="40" w:after="160"/>
      </w:pPr>
      <w:r>
        <w:rPr>
          <w:i/>
          <w:color w:val="6C757D"/>
          <w:sz w:val="17"/>
        </w:rPr>
        <w:t>Table 4.1: Comprehensive variable dictionary, schema definitions, and raw missingness profile for the UCI Adult dataset.</w:t>
      </w:r>
    </w:p>
    <w:p>
      <w:pPr>
        <w:pStyle w:val="Heading2"/>
        <w:keepNext/>
        <w:spacing w:before="260" w:after="80"/>
      </w:pPr>
      <w:r>
        <w:rPr>
          <w:rFonts w:ascii="Calibri" w:hAnsi="Calibri"/>
          <w:b/>
          <w:color w:val="465C7A"/>
          <w:sz w:val="26"/>
        </w:rPr>
        <w:t>Data-Quality Characteristics and Historical Nuances</w:t>
      </w:r>
    </w:p>
    <w:p>
      <w:pPr>
        <w:spacing w:after="120" w:line="276" w:lineRule="auto"/>
      </w:pPr>
      <w:r>
        <w:rPr>
          <w:rFonts w:ascii="Calibri" w:hAnsi="Calibri"/>
          <w:color w:val="212529"/>
          <w:sz w:val="21"/>
        </w:rPr>
        <w:t>Close inspection of the raw data revealed several distinct structural nuances. First, missingness was not represented by standard R 'NA' tokens, but rather by string literals containing question marks ('?') padded with leading whitespaces. Second, the survey sampling weight ('fnlwgt') represents the estimated number of individuals in the broader U.S. population represented by that specific respondent. Because 'fnlwgt' is an administrative expansion weight reflecting geographic stratification rather than an intrinsic individual capability, it is not a behavioral predictor and must be excluded from predictive modeling to prevent spurious spatial overfitting. Third, 'education_num' is an exact integer mapping of the 'education' degree factor (e.g., Bachelors = 13, Masters = 14, Doctorate = 16); retaining both in regression models would create perfect multicollinearity.</w:t>
      </w:r>
    </w:p>
    <w:p>
      <w:pPr>
        <w:pStyle w:val="Heading1"/>
        <w:keepNext/>
        <w:spacing w:before="360" w:after="120"/>
      </w:pPr>
      <w:r>
        <w:rPr>
          <w:rFonts w:ascii="Calibri" w:hAnsi="Calibri"/>
          <w:b/>
          <w:color w:val="1B365D"/>
          <w:sz w:val="32"/>
        </w:rPr>
        <w:t>Section 5 — Week 1: Data Cleaning and Preliminary Analysis</w:t>
      </w:r>
    </w:p>
    <w:p>
      <w:pPr>
        <w:spacing w:after="120" w:line="276" w:lineRule="auto"/>
      </w:pPr>
      <w:r>
        <w:rPr>
          <w:rFonts w:ascii="Calibri" w:hAnsi="Calibri"/>
          <w:color w:val="212529"/>
          <w:sz w:val="21"/>
        </w:rPr>
        <w:t>The first week of the project focused on data ingestion, structural validation, hygiene auditing, and transformation. Real-world administrative survey datasets invariably contain anomalies, whitespace corruption, and missing values. The scripts R/01_import.R through R/07_final_analysis.R established a rigorous, reproducible cleaning pipeline.</w:t>
      </w:r>
    </w:p>
    <w:p>
      <w:pPr>
        <w:pStyle w:val="Heading2"/>
        <w:keepNext/>
        <w:spacing w:before="260" w:after="80"/>
      </w:pPr>
      <w:r>
        <w:rPr>
          <w:rFonts w:ascii="Calibri" w:hAnsi="Calibri"/>
          <w:b/>
          <w:color w:val="465C7A"/>
          <w:sz w:val="26"/>
        </w:rPr>
        <w:t>5.1 Missing Value Treatment and Mode Imputation</w:t>
      </w:r>
    </w:p>
    <w:p>
      <w:pPr>
        <w:spacing w:after="120" w:line="276" w:lineRule="auto"/>
      </w:pPr>
      <w:r>
        <w:rPr>
          <w:rFonts w:ascii="Calibri" w:hAnsi="Calibri"/>
          <w:color w:val="212529"/>
          <w:sz w:val="21"/>
        </w:rPr>
        <w:t>Raw file ingestion identified 4,262 missing cells concentrated in three categorical attributes: workclass (1,836 missing; 5.64%), occupation (1,843 missing; 5.66%), and native_country (583 missing; 1.79%). All numerical variables were 100% complete. Because the missingness was Missing Completely at Random (MCAR) or Missing at Random (MAR) with respect to core demographics and affected less than 6% of entries per attribute, listwise deletion was rejected to prevent the loss of 2,399 unique individuals. Instead, statistical mode imputation was performed using the dominant non-missing category within each column: 'Private' for workclass, 'Prof-specialty' for occupation, and 'United-States' for native_country.</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50" w:type="dxa"/>
              <w:right w:w="140" w:type="dxa"/>
            </w:tcMar>
            <w:tcBorders>
              <w:top w:val="single" w:sz="4" w:space="0" w:color="D0D7DE"/>
              <w:bottom w:val="single" w:sz="4" w:space="0" w:color="D0D7DE"/>
              <w:right w:val="single" w:sz="4" w:space="0" w:color="D0D7DE"/>
              <w:left w:val="single" w:sz="24" w:space="0" w:color="1B365D"/>
            </w:tcBorders>
          </w:tcPr>
          <w:p>
            <w:pPr>
              <w:spacing w:after="0" w:line="252" w:lineRule="auto"/>
            </w:pPr>
            <w:r>
              <w:rPr>
                <w:rFonts w:ascii="Consolas" w:hAnsi="Consolas"/>
                <w:color w:val="282C34"/>
                <w:sz w:val="17"/>
              </w:rPr>
              <w:t># Excerpt from R/03_cleaning.R: Mode Imputation Logic</w:t>
              <w:br/>
              <w:t>get_mode &lt;- function(x) {</w:t>
              <w:br/>
              <w:t xml:space="preserve">  tbl &lt;- sort(table(x[!is.na(x)]), decreasing = TRUE)</w:t>
              <w:br/>
              <w:t xml:space="preserve">  names(tbl)[1]</w:t>
              <w:br/>
              <w:t>}</w:t>
              <w:br/>
              <w:br/>
              <w:t># Impute missing categorical values with the empirical mode</w:t>
              <w:br/>
              <w:t>adult$workclass[is.na(adult$workclass)]           &lt;- get_mode(adult$workclass)       # 'Private'</w:t>
              <w:br/>
              <w:t>adult$occupation[is.na(adult$occupation)]         &lt;- get_mode(adult$occupation)     # 'Prof-specialty'</w:t>
              <w:br/>
              <w:t>adult$native_country[is.na(adult$native_country)] &lt;- get_mode(adult$native_country) # 'United-States'</w:t>
              <w:br/>
              <w:t>stopifnot(sum(is.na(adult)) == 0) # Confirm zero residual missingness</w:t>
            </w:r>
          </w:p>
        </w:tc>
      </w:tr>
    </w:tbl>
    <w:p>
      <w:pPr>
        <w:spacing w:before="40" w:after="120"/>
      </w:pPr>
      <w:r>
        <w:rPr>
          <w:rFonts w:ascii="Calibri" w:hAnsi="Calibri"/>
          <w:i/>
          <w:color w:val="6C757D"/>
          <w:sz w:val="17"/>
        </w:rPr>
        <w:t>Code Listing: Implementation of statistical mode imputation in R/03_cleaning.R.</w:t>
      </w:r>
    </w:p>
    <w:p>
      <w:pPr>
        <w:pStyle w:val="Heading2"/>
        <w:keepNext/>
        <w:spacing w:before="260" w:after="80"/>
      </w:pPr>
      <w:r>
        <w:rPr>
          <w:rFonts w:ascii="Calibri" w:hAnsi="Calibri"/>
          <w:b/>
          <w:color w:val="465C7A"/>
          <w:sz w:val="26"/>
        </w:rPr>
        <w:t>5.2 Deduplication and Whitespace Normalization</w:t>
      </w:r>
    </w:p>
    <w:p>
      <w:pPr>
        <w:spacing w:after="120" w:line="276" w:lineRule="auto"/>
      </w:pPr>
      <w:r>
        <w:rPr>
          <w:rFonts w:ascii="Calibri" w:hAnsi="Calibri"/>
          <w:color w:val="212529"/>
          <w:sz w:val="21"/>
        </w:rPr>
        <w:t>Categorical string values in adult.data were padded with leading whitespace (e.g., ' &lt;=50K' vs '&lt;=50K'). During import in R/01_import.R, 'strip.white = TRUE' was enforced, and subsequent factor conversions eliminated leading and trailing spaces. An exact-row duplicate audit in R/03_cleaning.R detected 24 fully identical duplicate rows. These duplicate records represented administrative recording repetitions that contributed no independent variance; they were excised, reducing the working sample from 32,561 to 32,537 rows.</w:t>
      </w:r>
    </w:p>
    <w:p>
      <w:pPr>
        <w:pStyle w:val="Heading2"/>
        <w:keepNext/>
        <w:spacing w:before="260" w:after="80"/>
      </w:pPr>
      <w:r>
        <w:rPr>
          <w:rFonts w:ascii="Calibri" w:hAnsi="Calibri"/>
          <w:b/>
          <w:color w:val="465C7A"/>
          <w:sz w:val="26"/>
        </w:rPr>
        <w:t>5.3 Outlier Assessment via Tukey's IQR Method</w:t>
      </w:r>
    </w:p>
    <w:p>
      <w:pPr>
        <w:spacing w:after="120" w:line="276" w:lineRule="auto"/>
      </w:pPr>
      <w:r>
        <w:rPr>
          <w:rFonts w:ascii="Calibri" w:hAnsi="Calibri"/>
          <w:color w:val="212529"/>
          <w:sz w:val="21"/>
        </w:rPr>
        <w:t>Outlier screening was conducted in R/04_outlier_analysis.R using Tukey's fences (Q1 - 1.5*IQR to Q3 + 1.5*IQR). Table 5.1 details the empirical quartiles, IQR bounds, and outlier counts across all six continuous variables:</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1170"/>
        <w:gridCol w:w="1170"/>
        <w:gridCol w:w="1170"/>
        <w:gridCol w:w="1170"/>
        <w:gridCol w:w="1170"/>
        <w:gridCol w:w="1170"/>
        <w:gridCol w:w="1170"/>
        <w:gridCol w:w="1170"/>
      </w:tblGrid>
      <w:tr>
        <w:tc>
          <w:tcPr>
            <w:tcW w:type="dxa" w:w="1584"/>
            <w:shd w:fill="1B365D"/>
            <w:tcMar>
              <w:top w:w="100" w:type="dxa"/>
              <w:bottom w:w="100" w:type="dxa"/>
              <w:left w:w="100" w:type="dxa"/>
              <w:right w:w="100" w:type="dxa"/>
            </w:tcMar>
          </w:tcPr>
          <w:p>
            <w:pPr>
              <w:spacing w:after="0"/>
              <w:jc w:val="left"/>
            </w:pPr>
            <w:r>
              <w:rPr>
                <w:rFonts w:ascii="Calibri" w:hAnsi="Calibri"/>
                <w:b/>
                <w:color w:val="FFFFFF"/>
                <w:sz w:val="18"/>
              </w:rPr>
              <w:t>Variable</w:t>
            </w:r>
          </w:p>
        </w:tc>
        <w:tc>
          <w:tcPr>
            <w:tcW w:type="dxa" w:w="1008"/>
            <w:shd w:fill="1B365D"/>
            <w:tcMar>
              <w:top w:w="100" w:type="dxa"/>
              <w:bottom w:w="100" w:type="dxa"/>
              <w:left w:w="100" w:type="dxa"/>
              <w:right w:w="100" w:type="dxa"/>
            </w:tcMar>
          </w:tcPr>
          <w:p>
            <w:pPr>
              <w:spacing w:after="0"/>
              <w:jc w:val="left"/>
            </w:pPr>
            <w:r>
              <w:rPr>
                <w:rFonts w:ascii="Calibri" w:hAnsi="Calibri"/>
                <w:b/>
                <w:color w:val="FFFFFF"/>
                <w:sz w:val="18"/>
              </w:rPr>
              <w:t>Q1</w:t>
            </w:r>
          </w:p>
        </w:tc>
        <w:tc>
          <w:tcPr>
            <w:tcW w:type="dxa" w:w="1008"/>
            <w:shd w:fill="1B365D"/>
            <w:tcMar>
              <w:top w:w="100" w:type="dxa"/>
              <w:bottom w:w="100" w:type="dxa"/>
              <w:left w:w="100" w:type="dxa"/>
              <w:right w:w="100" w:type="dxa"/>
            </w:tcMar>
          </w:tcPr>
          <w:p>
            <w:pPr>
              <w:spacing w:after="0"/>
              <w:jc w:val="left"/>
            </w:pPr>
            <w:r>
              <w:rPr>
                <w:rFonts w:ascii="Calibri" w:hAnsi="Calibri"/>
                <w:b/>
                <w:color w:val="FFFFFF"/>
                <w:sz w:val="18"/>
              </w:rPr>
              <w:t>Q3</w:t>
            </w:r>
          </w:p>
        </w:tc>
        <w:tc>
          <w:tcPr>
            <w:tcW w:type="dxa" w:w="864"/>
            <w:shd w:fill="1B365D"/>
            <w:tcMar>
              <w:top w:w="100" w:type="dxa"/>
              <w:bottom w:w="100" w:type="dxa"/>
              <w:left w:w="100" w:type="dxa"/>
              <w:right w:w="100" w:type="dxa"/>
            </w:tcMar>
          </w:tcPr>
          <w:p>
            <w:pPr>
              <w:spacing w:after="0"/>
              <w:jc w:val="left"/>
            </w:pPr>
            <w:r>
              <w:rPr>
                <w:rFonts w:ascii="Calibri" w:hAnsi="Calibri"/>
                <w:b/>
                <w:color w:val="FFFFFF"/>
                <w:sz w:val="18"/>
              </w:rPr>
              <w:t>IQR</w:t>
            </w:r>
          </w:p>
        </w:tc>
        <w:tc>
          <w:tcPr>
            <w:tcW w:type="dxa" w:w="1152"/>
            <w:shd w:fill="1B365D"/>
            <w:tcMar>
              <w:top w:w="100" w:type="dxa"/>
              <w:bottom w:w="100" w:type="dxa"/>
              <w:left w:w="100" w:type="dxa"/>
              <w:right w:w="100" w:type="dxa"/>
            </w:tcMar>
          </w:tcPr>
          <w:p>
            <w:pPr>
              <w:spacing w:after="0"/>
              <w:jc w:val="left"/>
            </w:pPr>
            <w:r>
              <w:rPr>
                <w:rFonts w:ascii="Calibri" w:hAnsi="Calibri"/>
                <w:b/>
                <w:color w:val="FFFFFF"/>
                <w:sz w:val="18"/>
              </w:rPr>
              <w:t>Lower</w:t>
            </w:r>
          </w:p>
        </w:tc>
        <w:tc>
          <w:tcPr>
            <w:tcW w:type="dxa" w:w="1152"/>
            <w:shd w:fill="1B365D"/>
            <w:tcMar>
              <w:top w:w="100" w:type="dxa"/>
              <w:bottom w:w="100" w:type="dxa"/>
              <w:left w:w="100" w:type="dxa"/>
              <w:right w:w="100" w:type="dxa"/>
            </w:tcMar>
          </w:tcPr>
          <w:p>
            <w:pPr>
              <w:spacing w:after="0"/>
              <w:jc w:val="left"/>
            </w:pPr>
            <w:r>
              <w:rPr>
                <w:rFonts w:ascii="Calibri" w:hAnsi="Calibri"/>
                <w:b/>
                <w:color w:val="FFFFFF"/>
                <w:sz w:val="18"/>
              </w:rPr>
              <w:t>Upper</w:t>
            </w:r>
          </w:p>
        </w:tc>
        <w:tc>
          <w:tcPr>
            <w:tcW w:type="dxa" w:w="1152"/>
            <w:shd w:fill="1B365D"/>
            <w:tcMar>
              <w:top w:w="100" w:type="dxa"/>
              <w:bottom w:w="100" w:type="dxa"/>
              <w:left w:w="100" w:type="dxa"/>
              <w:right w:w="100" w:type="dxa"/>
            </w:tcMar>
          </w:tcPr>
          <w:p>
            <w:pPr>
              <w:spacing w:after="0"/>
              <w:jc w:val="left"/>
            </w:pPr>
            <w:r>
              <w:rPr>
                <w:rFonts w:ascii="Calibri" w:hAnsi="Calibri"/>
                <w:b/>
                <w:color w:val="FFFFFF"/>
                <w:sz w:val="18"/>
              </w:rPr>
              <w:t>Outliers</w:t>
            </w:r>
          </w:p>
        </w:tc>
        <w:tc>
          <w:tcPr>
            <w:tcW w:type="dxa" w:w="1152"/>
            <w:shd w:fill="1B365D"/>
            <w:tcMar>
              <w:top w:w="100" w:type="dxa"/>
              <w:bottom w:w="100" w:type="dxa"/>
              <w:left w:w="100" w:type="dxa"/>
              <w:right w:w="100" w:type="dxa"/>
            </w:tcMar>
          </w:tcPr>
          <w:p>
            <w:pPr>
              <w:spacing w:after="0"/>
              <w:jc w:val="left"/>
            </w:pPr>
            <w:r>
              <w:rPr>
                <w:rFonts w:ascii="Calibri" w:hAnsi="Calibri"/>
                <w:b/>
                <w:color w:val="FFFFFF"/>
                <w:sz w:val="18"/>
              </w:rPr>
              <w:t>Pct %</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age</w:t>
            </w:r>
          </w:p>
        </w:tc>
        <w:tc>
          <w:tcPr>
            <w:tcW w:type="dxa" w:w="1008"/>
            <w:shd w:fill="FFFFFF"/>
            <w:tcMar>
              <w:top w:w="70" w:type="dxa"/>
              <w:bottom w:w="70" w:type="dxa"/>
              <w:left w:w="100" w:type="dxa"/>
              <w:right w:w="100" w:type="dxa"/>
            </w:tcMar>
          </w:tcPr>
          <w:p>
            <w:pPr>
              <w:spacing w:after="0"/>
              <w:jc w:val="left"/>
            </w:pPr>
            <w:r>
              <w:rPr>
                <w:rFonts w:ascii="Calibri" w:hAnsi="Calibri"/>
                <w:b w:val="0"/>
                <w:color w:val="212529"/>
                <w:sz w:val="17"/>
              </w:rPr>
              <w:t>28.0</w:t>
            </w:r>
          </w:p>
        </w:tc>
        <w:tc>
          <w:tcPr>
            <w:tcW w:type="dxa" w:w="1008"/>
            <w:shd w:fill="FFFFFF"/>
            <w:tcMar>
              <w:top w:w="70" w:type="dxa"/>
              <w:bottom w:w="70" w:type="dxa"/>
              <w:left w:w="100" w:type="dxa"/>
              <w:right w:w="100" w:type="dxa"/>
            </w:tcMar>
          </w:tcPr>
          <w:p>
            <w:pPr>
              <w:spacing w:after="0"/>
              <w:jc w:val="left"/>
            </w:pPr>
            <w:r>
              <w:rPr>
                <w:rFonts w:ascii="Calibri" w:hAnsi="Calibri"/>
                <w:b w:val="0"/>
                <w:color w:val="212529"/>
                <w:sz w:val="17"/>
              </w:rPr>
              <w:t>48.0</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20.0</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-2.0</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78.0</w:t>
            </w:r>
          </w:p>
        </w:tc>
        <w:tc>
          <w:tcPr>
            <w:tcW w:type="dxa" w:w="1152"/>
            <w:shd w:fill="FFFFFF"/>
            <w:tcMar>
              <w:top w:w="70" w:type="dxa"/>
              <w:bottom w:w="70" w:type="dxa"/>
              <w:left w:w="100" w:type="dxa"/>
              <w:right w:w="100" w:type="dxa"/>
            </w:tcMar>
          </w:tcPr>
          <w:p>
            <w:pPr>
              <w:spacing w:after="0"/>
              <w:jc w:val="left"/>
            </w:pPr>
            <w:r>
              <w:rPr>
                <w:rFonts w:ascii="Calibri" w:hAnsi="Calibri"/>
                <w:b/>
                <w:color w:val="212529"/>
                <w:sz w:val="17"/>
              </w:rPr>
              <w:t>142</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0.44%</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fnlwgt</w:t>
            </w:r>
          </w:p>
        </w:tc>
        <w:tc>
          <w:tcPr>
            <w:tcW w:type="dxa" w:w="1008"/>
            <w:shd w:fill="F8F9FA"/>
            <w:tcMar>
              <w:top w:w="70" w:type="dxa"/>
              <w:bottom w:w="70" w:type="dxa"/>
              <w:left w:w="100" w:type="dxa"/>
              <w:right w:w="100" w:type="dxa"/>
            </w:tcMar>
          </w:tcPr>
          <w:p>
            <w:pPr>
              <w:spacing w:after="0"/>
              <w:jc w:val="left"/>
            </w:pPr>
            <w:r>
              <w:rPr>
                <w:rFonts w:ascii="Calibri" w:hAnsi="Calibri"/>
                <w:b w:val="0"/>
                <w:color w:val="212529"/>
                <w:sz w:val="17"/>
              </w:rPr>
              <w:t>117,827</w:t>
            </w:r>
          </w:p>
        </w:tc>
        <w:tc>
          <w:tcPr>
            <w:tcW w:type="dxa" w:w="1008"/>
            <w:shd w:fill="F8F9FA"/>
            <w:tcMar>
              <w:top w:w="70" w:type="dxa"/>
              <w:bottom w:w="70" w:type="dxa"/>
              <w:left w:w="100" w:type="dxa"/>
              <w:right w:w="100" w:type="dxa"/>
            </w:tcMar>
          </w:tcPr>
          <w:p>
            <w:pPr>
              <w:spacing w:after="0"/>
              <w:jc w:val="left"/>
            </w:pPr>
            <w:r>
              <w:rPr>
                <w:rFonts w:ascii="Calibri" w:hAnsi="Calibri"/>
                <w:b w:val="0"/>
                <w:color w:val="212529"/>
                <w:sz w:val="17"/>
              </w:rPr>
              <w:t>236,993</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119,166</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-60,922</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415,742</w:t>
            </w:r>
          </w:p>
        </w:tc>
        <w:tc>
          <w:tcPr>
            <w:tcW w:type="dxa" w:w="1152"/>
            <w:shd w:fill="F8F9FA"/>
            <w:tcMar>
              <w:top w:w="70" w:type="dxa"/>
              <w:bottom w:w="70" w:type="dxa"/>
              <w:left w:w="100" w:type="dxa"/>
              <w:right w:w="100" w:type="dxa"/>
            </w:tcMar>
          </w:tcPr>
          <w:p>
            <w:pPr>
              <w:spacing w:after="0"/>
              <w:jc w:val="left"/>
            </w:pPr>
            <w:r>
              <w:rPr>
                <w:rFonts w:ascii="Calibri" w:hAnsi="Calibri"/>
                <w:b/>
                <w:color w:val="212529"/>
                <w:sz w:val="17"/>
              </w:rPr>
              <w:t>993</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3.05%</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education_num</w:t>
            </w:r>
          </w:p>
        </w:tc>
        <w:tc>
          <w:tcPr>
            <w:tcW w:type="dxa" w:w="1008"/>
            <w:shd w:fill="FFFFFF"/>
            <w:tcMar>
              <w:top w:w="70" w:type="dxa"/>
              <w:bottom w:w="70" w:type="dxa"/>
              <w:left w:w="100" w:type="dxa"/>
              <w:right w:w="100" w:type="dxa"/>
            </w:tcMar>
          </w:tcPr>
          <w:p>
            <w:pPr>
              <w:spacing w:after="0"/>
              <w:jc w:val="left"/>
            </w:pPr>
            <w:r>
              <w:rPr>
                <w:rFonts w:ascii="Calibri" w:hAnsi="Calibri"/>
                <w:b w:val="0"/>
                <w:color w:val="212529"/>
                <w:sz w:val="17"/>
              </w:rPr>
              <w:t>9.0</w:t>
            </w:r>
          </w:p>
        </w:tc>
        <w:tc>
          <w:tcPr>
            <w:tcW w:type="dxa" w:w="1008"/>
            <w:shd w:fill="FFFFFF"/>
            <w:tcMar>
              <w:top w:w="70" w:type="dxa"/>
              <w:bottom w:w="70" w:type="dxa"/>
              <w:left w:w="100" w:type="dxa"/>
              <w:right w:w="100" w:type="dxa"/>
            </w:tcMar>
          </w:tcPr>
          <w:p>
            <w:pPr>
              <w:spacing w:after="0"/>
              <w:jc w:val="left"/>
            </w:pPr>
            <w:r>
              <w:rPr>
                <w:rFonts w:ascii="Calibri" w:hAnsi="Calibri"/>
                <w:b w:val="0"/>
                <w:color w:val="212529"/>
                <w:sz w:val="17"/>
              </w:rPr>
              <w:t>12.0</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3.0</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4.5</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16.5</w:t>
            </w:r>
          </w:p>
        </w:tc>
        <w:tc>
          <w:tcPr>
            <w:tcW w:type="dxa" w:w="1152"/>
            <w:shd w:fill="FFFFFF"/>
            <w:tcMar>
              <w:top w:w="70" w:type="dxa"/>
              <w:bottom w:w="70" w:type="dxa"/>
              <w:left w:w="100" w:type="dxa"/>
              <w:right w:w="100" w:type="dxa"/>
            </w:tcMar>
          </w:tcPr>
          <w:p>
            <w:pPr>
              <w:spacing w:after="0"/>
              <w:jc w:val="left"/>
            </w:pPr>
            <w:r>
              <w:rPr>
                <w:rFonts w:ascii="Calibri" w:hAnsi="Calibri"/>
                <w:b/>
                <w:color w:val="212529"/>
                <w:sz w:val="17"/>
              </w:rPr>
              <w:t>1,193</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3.67%</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capital_gain</w:t>
            </w:r>
          </w:p>
        </w:tc>
        <w:tc>
          <w:tcPr>
            <w:tcW w:type="dxa" w:w="1008"/>
            <w:shd w:fill="F8F9FA"/>
            <w:tcMar>
              <w:top w:w="70" w:type="dxa"/>
              <w:bottom w:w="70" w:type="dxa"/>
              <w:left w:w="100" w:type="dxa"/>
              <w:right w:w="100" w:type="dxa"/>
            </w:tcMar>
          </w:tcPr>
          <w:p>
            <w:pPr>
              <w:spacing w:after="0"/>
              <w:jc w:val="left"/>
            </w:pPr>
            <w:r>
              <w:rPr>
                <w:rFonts w:ascii="Calibri" w:hAnsi="Calibri"/>
                <w:b w:val="0"/>
                <w:color w:val="212529"/>
                <w:sz w:val="17"/>
              </w:rPr>
              <w:t>0.0</w:t>
            </w:r>
          </w:p>
        </w:tc>
        <w:tc>
          <w:tcPr>
            <w:tcW w:type="dxa" w:w="1008"/>
            <w:shd w:fill="F8F9FA"/>
            <w:tcMar>
              <w:top w:w="70" w:type="dxa"/>
              <w:bottom w:w="70" w:type="dxa"/>
              <w:left w:w="100" w:type="dxa"/>
              <w:right w:w="100" w:type="dxa"/>
            </w:tcMar>
          </w:tcPr>
          <w:p>
            <w:pPr>
              <w:spacing w:after="0"/>
              <w:jc w:val="left"/>
            </w:pPr>
            <w:r>
              <w:rPr>
                <w:rFonts w:ascii="Calibri" w:hAnsi="Calibri"/>
                <w:b w:val="0"/>
                <w:color w:val="212529"/>
                <w:sz w:val="17"/>
              </w:rPr>
              <w:t>0.0</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0.0</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0.0</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0.0</w:t>
            </w:r>
          </w:p>
        </w:tc>
        <w:tc>
          <w:tcPr>
            <w:tcW w:type="dxa" w:w="1152"/>
            <w:shd w:fill="F8F9FA"/>
            <w:tcMar>
              <w:top w:w="70" w:type="dxa"/>
              <w:bottom w:w="70" w:type="dxa"/>
              <w:left w:w="100" w:type="dxa"/>
              <w:right w:w="100" w:type="dxa"/>
            </w:tcMar>
          </w:tcPr>
          <w:p>
            <w:pPr>
              <w:spacing w:after="0"/>
              <w:jc w:val="left"/>
            </w:pPr>
            <w:r>
              <w:rPr>
                <w:rFonts w:ascii="Calibri" w:hAnsi="Calibri"/>
                <w:b/>
                <w:color w:val="212529"/>
                <w:sz w:val="17"/>
              </w:rPr>
              <w:t>2,712</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8.34%</w:t>
            </w:r>
          </w:p>
        </w:tc>
      </w:tr>
      <w:tr>
        <w:tc>
          <w:tcPr>
            <w:tcW w:type="dxa" w:w="1584"/>
            <w:shd w:fill="FFFFFF"/>
            <w:tcMar>
              <w:top w:w="70" w:type="dxa"/>
              <w:bottom w:w="70" w:type="dxa"/>
              <w:left w:w="100" w:type="dxa"/>
              <w:right w:w="100" w:type="dxa"/>
            </w:tcMar>
          </w:tcPr>
          <w:p>
            <w:pPr>
              <w:spacing w:after="0"/>
              <w:jc w:val="left"/>
            </w:pPr>
            <w:r>
              <w:rPr>
                <w:rFonts w:ascii="Calibri" w:hAnsi="Calibri"/>
                <w:b/>
                <w:color w:val="212529"/>
                <w:sz w:val="17"/>
              </w:rPr>
              <w:t>capital_loss</w:t>
            </w:r>
          </w:p>
        </w:tc>
        <w:tc>
          <w:tcPr>
            <w:tcW w:type="dxa" w:w="1008"/>
            <w:shd w:fill="FFFFFF"/>
            <w:tcMar>
              <w:top w:w="70" w:type="dxa"/>
              <w:bottom w:w="70" w:type="dxa"/>
              <w:left w:w="100" w:type="dxa"/>
              <w:right w:w="100" w:type="dxa"/>
            </w:tcMar>
          </w:tcPr>
          <w:p>
            <w:pPr>
              <w:spacing w:after="0"/>
              <w:jc w:val="left"/>
            </w:pPr>
            <w:r>
              <w:rPr>
                <w:rFonts w:ascii="Calibri" w:hAnsi="Calibri"/>
                <w:b w:val="0"/>
                <w:color w:val="212529"/>
                <w:sz w:val="17"/>
              </w:rPr>
              <w:t>0.0</w:t>
            </w:r>
          </w:p>
        </w:tc>
        <w:tc>
          <w:tcPr>
            <w:tcW w:type="dxa" w:w="1008"/>
            <w:shd w:fill="FFFFFF"/>
            <w:tcMar>
              <w:top w:w="70" w:type="dxa"/>
              <w:bottom w:w="70" w:type="dxa"/>
              <w:left w:w="100" w:type="dxa"/>
              <w:right w:w="100" w:type="dxa"/>
            </w:tcMar>
          </w:tcPr>
          <w:p>
            <w:pPr>
              <w:spacing w:after="0"/>
              <w:jc w:val="left"/>
            </w:pPr>
            <w:r>
              <w:rPr>
                <w:rFonts w:ascii="Calibri" w:hAnsi="Calibri"/>
                <w:b w:val="0"/>
                <w:color w:val="212529"/>
                <w:sz w:val="17"/>
              </w:rPr>
              <w:t>0.0</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0.0</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0.0</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0.0</w:t>
            </w:r>
          </w:p>
        </w:tc>
        <w:tc>
          <w:tcPr>
            <w:tcW w:type="dxa" w:w="1152"/>
            <w:shd w:fill="FFFFFF"/>
            <w:tcMar>
              <w:top w:w="70" w:type="dxa"/>
              <w:bottom w:w="70" w:type="dxa"/>
              <w:left w:w="100" w:type="dxa"/>
              <w:right w:w="100" w:type="dxa"/>
            </w:tcMar>
          </w:tcPr>
          <w:p>
            <w:pPr>
              <w:spacing w:after="0"/>
              <w:jc w:val="left"/>
            </w:pPr>
            <w:r>
              <w:rPr>
                <w:rFonts w:ascii="Calibri" w:hAnsi="Calibri"/>
                <w:b/>
                <w:color w:val="212529"/>
                <w:sz w:val="17"/>
              </w:rPr>
              <w:t>1,519</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4.67%</w:t>
            </w:r>
          </w:p>
        </w:tc>
      </w:tr>
      <w:tr>
        <w:tc>
          <w:tcPr>
            <w:tcW w:type="dxa" w:w="1584"/>
            <w:shd w:fill="F8F9FA"/>
            <w:tcMar>
              <w:top w:w="70" w:type="dxa"/>
              <w:bottom w:w="70" w:type="dxa"/>
              <w:left w:w="100" w:type="dxa"/>
              <w:right w:w="100" w:type="dxa"/>
            </w:tcMar>
          </w:tcPr>
          <w:p>
            <w:pPr>
              <w:spacing w:after="0"/>
              <w:jc w:val="left"/>
            </w:pPr>
            <w:r>
              <w:rPr>
                <w:rFonts w:ascii="Calibri" w:hAnsi="Calibri"/>
                <w:b/>
                <w:color w:val="212529"/>
                <w:sz w:val="17"/>
              </w:rPr>
              <w:t>hours_per_week</w:t>
            </w:r>
          </w:p>
        </w:tc>
        <w:tc>
          <w:tcPr>
            <w:tcW w:type="dxa" w:w="1008"/>
            <w:shd w:fill="F8F9FA"/>
            <w:tcMar>
              <w:top w:w="70" w:type="dxa"/>
              <w:bottom w:w="70" w:type="dxa"/>
              <w:left w:w="100" w:type="dxa"/>
              <w:right w:w="100" w:type="dxa"/>
            </w:tcMar>
          </w:tcPr>
          <w:p>
            <w:pPr>
              <w:spacing w:after="0"/>
              <w:jc w:val="left"/>
            </w:pPr>
            <w:r>
              <w:rPr>
                <w:rFonts w:ascii="Calibri" w:hAnsi="Calibri"/>
                <w:b w:val="0"/>
                <w:color w:val="212529"/>
                <w:sz w:val="17"/>
              </w:rPr>
              <w:t>40.0</w:t>
            </w:r>
          </w:p>
        </w:tc>
        <w:tc>
          <w:tcPr>
            <w:tcW w:type="dxa" w:w="1008"/>
            <w:shd w:fill="F8F9FA"/>
            <w:tcMar>
              <w:top w:w="70" w:type="dxa"/>
              <w:bottom w:w="70" w:type="dxa"/>
              <w:left w:w="100" w:type="dxa"/>
              <w:right w:w="100" w:type="dxa"/>
            </w:tcMar>
          </w:tcPr>
          <w:p>
            <w:pPr>
              <w:spacing w:after="0"/>
              <w:jc w:val="left"/>
            </w:pPr>
            <w:r>
              <w:rPr>
                <w:rFonts w:ascii="Calibri" w:hAnsi="Calibri"/>
                <w:b w:val="0"/>
                <w:color w:val="212529"/>
                <w:sz w:val="17"/>
              </w:rPr>
              <w:t>45.0</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5.0</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32.5</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52.5</w:t>
            </w:r>
          </w:p>
        </w:tc>
        <w:tc>
          <w:tcPr>
            <w:tcW w:type="dxa" w:w="1152"/>
            <w:shd w:fill="F8F9FA"/>
            <w:tcMar>
              <w:top w:w="70" w:type="dxa"/>
              <w:bottom w:w="70" w:type="dxa"/>
              <w:left w:w="100" w:type="dxa"/>
              <w:right w:w="100" w:type="dxa"/>
            </w:tcMar>
          </w:tcPr>
          <w:p>
            <w:pPr>
              <w:spacing w:after="0"/>
              <w:jc w:val="left"/>
            </w:pPr>
            <w:r>
              <w:rPr>
                <w:rFonts w:ascii="Calibri" w:hAnsi="Calibri"/>
                <w:b/>
                <w:color w:val="212529"/>
                <w:sz w:val="17"/>
              </w:rPr>
              <w:t>9,002</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27.67%</w:t>
            </w:r>
          </w:p>
        </w:tc>
      </w:tr>
    </w:tbl>
    <w:p>
      <w:pPr>
        <w:spacing w:before="40" w:after="160"/>
      </w:pPr>
      <w:r>
        <w:rPr>
          <w:i/>
          <w:color w:val="6C757D"/>
          <w:sz w:val="17"/>
        </w:rPr>
        <w:t>Table 5.1: Tukey IQR outlier boundary audit for numerical attributes (outputs/04_outlier_summary.csv).</w:t>
      </w:r>
    </w:p>
    <w:p>
      <w:pPr>
        <w:spacing w:after="120" w:line="276" w:lineRule="auto"/>
      </w:pPr>
      <w:r>
        <w:rPr>
          <w:rFonts w:ascii="Calibri" w:hAnsi="Calibri"/>
          <w:color w:val="212529"/>
          <w:sz w:val="21"/>
        </w:rPr>
        <w:t>Crucially, the 9,002 working-hour 'outliers' (27.67% of the dataset) reflect part-time workers (&lt;32.5 hrs/wk) and overtime workers (&gt;52.5 hrs/wk), rather than corrupted data entries. Similarly, non-zero capital gains represent legitimate investment income. A foundational analytical decision was made to retain all valid economic records, avoiding artificial truncation of natural distributions.</w:t>
      </w:r>
    </w:p>
    <w:p>
      <w:pPr>
        <w:spacing w:before="160" w:after="60"/>
        <w:jc w:val="center"/>
      </w:pPr>
      <w:r>
        <w:drawing>
          <wp:inline xmlns:a="http://schemas.openxmlformats.org/drawingml/2006/main" xmlns:pic="http://schemas.openxmlformats.org/drawingml/2006/picture">
            <wp:extent cx="5212080" cy="3127248"/>
            <wp:docPr id="1" name="Picture 1"/>
            <wp:cNvGraphicFramePr>
              <a:graphicFrameLocks noChangeAspect="1"/>
            </wp:cNvGraphicFramePr>
            <a:graphic>
              <a:graphicData uri="http://schemas.openxmlformats.org/drawingml/2006/picture">
                <pic:pic>
                  <pic:nvPicPr>
                    <pic:cNvPr id="0" name="04_boxplots_combined.png"/>
                    <pic:cNvPicPr/>
                  </pic:nvPicPr>
                  <pic:blipFill>
                    <a:blip r:embed="rId11"/>
                    <a:stretch>
                      <a:fillRect/>
                    </a:stretch>
                  </pic:blipFill>
                  <pic:spPr>
                    <a:xfrm>
                      <a:off x="0" y="0"/>
                      <a:ext cx="5212080" cy="3127248"/>
                    </a:xfrm>
                    <a:prstGeom prst="rect"/>
                  </pic:spPr>
                </pic:pic>
              </a:graphicData>
            </a:graphic>
          </wp:inline>
        </w:drawing>
      </w:r>
    </w:p>
    <w:p>
      <w:pPr>
        <w:spacing w:after="160"/>
        <w:jc w:val="center"/>
      </w:pPr>
      <w:r>
        <w:rPr>
          <w:b/>
          <w:color w:val="1B365D"/>
          <w:sz w:val="19"/>
        </w:rPr>
        <w:t xml:space="preserve">Figure 5.1: </w:t>
      </w:r>
      <w:r>
        <w:rPr>
          <w:b/>
          <w:color w:val="465C7A"/>
          <w:sz w:val="19"/>
        </w:rPr>
        <w:t xml:space="preserve">Combined Tukey Boxplots Across Continuous Attributes. </w:t>
      </w:r>
      <w:r>
        <w:rPr>
          <w:i/>
          <w:color w:val="6C757D"/>
          <w:sz w:val="18"/>
        </w:rPr>
        <w:t>Multi-panel boxplot display illustrating distribution widths, median bars, and extreme values across age, hours, capital gain, and fnlwgt.</w:t>
      </w:r>
    </w:p>
    <w:p>
      <w:pPr>
        <w:pStyle w:val="Heading2"/>
        <w:keepNext/>
        <w:spacing w:before="260" w:after="80"/>
      </w:pPr>
      <w:r>
        <w:rPr>
          <w:rFonts w:ascii="Calibri" w:hAnsi="Calibri"/>
          <w:b/>
          <w:color w:val="465C7A"/>
          <w:sz w:val="26"/>
        </w:rPr>
        <w:t>5.4 Cleaned Dataset Hygiene and Before/After Verification</w:t>
      </w:r>
    </w:p>
    <w:p>
      <w:pPr>
        <w:spacing w:after="120" w:line="276" w:lineRule="auto"/>
      </w:pPr>
      <w:r>
        <w:rPr>
          <w:rFonts w:ascii="Calibri" w:hAnsi="Calibri"/>
          <w:color w:val="212529"/>
          <w:sz w:val="21"/>
        </w:rPr>
        <w:t>Table 5.2 confirms the exact transition metrics achieved by the Week 1 cleaning scripts (outputs/07_before_after_summary.csv):</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2340"/>
        <w:gridCol w:w="2340"/>
        <w:gridCol w:w="2340"/>
        <w:gridCol w:w="2340"/>
      </w:tblGrid>
      <w:tr>
        <w:tc>
          <w:tcPr>
            <w:tcW w:type="dxa" w:w="2592"/>
            <w:shd w:fill="1B365D"/>
            <w:tcMar>
              <w:top w:w="100" w:type="dxa"/>
              <w:bottom w:w="100" w:type="dxa"/>
              <w:left w:w="100" w:type="dxa"/>
              <w:right w:w="100" w:type="dxa"/>
            </w:tcMar>
          </w:tcPr>
          <w:p>
            <w:pPr>
              <w:spacing w:after="0"/>
              <w:jc w:val="left"/>
            </w:pPr>
            <w:r>
              <w:rPr>
                <w:rFonts w:ascii="Calibri" w:hAnsi="Calibri"/>
                <w:b/>
                <w:color w:val="FFFFFF"/>
                <w:sz w:val="18"/>
              </w:rPr>
              <w:t>Data Quality Metric</w:t>
            </w:r>
          </w:p>
        </w:tc>
        <w:tc>
          <w:tcPr>
            <w:tcW w:type="dxa" w:w="1728"/>
            <w:shd w:fill="1B365D"/>
            <w:tcMar>
              <w:top w:w="100" w:type="dxa"/>
              <w:bottom w:w="100" w:type="dxa"/>
              <w:left w:w="100" w:type="dxa"/>
              <w:right w:w="100" w:type="dxa"/>
            </w:tcMar>
          </w:tcPr>
          <w:p>
            <w:pPr>
              <w:spacing w:after="0"/>
              <w:jc w:val="left"/>
            </w:pPr>
            <w:r>
              <w:rPr>
                <w:rFonts w:ascii="Calibri" w:hAnsi="Calibri"/>
                <w:b/>
                <w:color w:val="FFFFFF"/>
                <w:sz w:val="18"/>
              </w:rPr>
              <w:t>Raw State</w:t>
            </w:r>
          </w:p>
        </w:tc>
        <w:tc>
          <w:tcPr>
            <w:tcW w:type="dxa" w:w="1728"/>
            <w:shd w:fill="1B365D"/>
            <w:tcMar>
              <w:top w:w="100" w:type="dxa"/>
              <w:bottom w:w="100" w:type="dxa"/>
              <w:left w:w="100" w:type="dxa"/>
              <w:right w:w="100" w:type="dxa"/>
            </w:tcMar>
          </w:tcPr>
          <w:p>
            <w:pPr>
              <w:spacing w:after="0"/>
              <w:jc w:val="left"/>
            </w:pPr>
            <w:r>
              <w:rPr>
                <w:rFonts w:ascii="Calibri" w:hAnsi="Calibri"/>
                <w:b/>
                <w:color w:val="FFFFFF"/>
                <w:sz w:val="18"/>
              </w:rPr>
              <w:t>Clean State</w:t>
            </w:r>
          </w:p>
        </w:tc>
        <w:tc>
          <w:tcPr>
            <w:tcW w:type="dxa" w:w="3312"/>
            <w:shd w:fill="1B365D"/>
            <w:tcMar>
              <w:top w:w="100" w:type="dxa"/>
              <w:bottom w:w="100" w:type="dxa"/>
              <w:left w:w="100" w:type="dxa"/>
              <w:right w:w="100" w:type="dxa"/>
            </w:tcMar>
          </w:tcPr>
          <w:p>
            <w:pPr>
              <w:spacing w:after="0"/>
              <w:jc w:val="left"/>
            </w:pPr>
            <w:r>
              <w:rPr>
                <w:rFonts w:ascii="Calibri" w:hAnsi="Calibri"/>
                <w:b/>
                <w:color w:val="FFFFFF"/>
                <w:sz w:val="18"/>
              </w:rPr>
              <w:t>Operational Treatment Applied</w:t>
            </w:r>
          </w:p>
        </w:tc>
      </w:tr>
      <w:tr>
        <w:tc>
          <w:tcPr>
            <w:tcW w:type="dxa" w:w="2592"/>
            <w:shd w:fill="FFFFFF"/>
            <w:tcMar>
              <w:top w:w="70" w:type="dxa"/>
              <w:bottom w:w="70" w:type="dxa"/>
              <w:left w:w="100" w:type="dxa"/>
              <w:right w:w="100" w:type="dxa"/>
            </w:tcMar>
          </w:tcPr>
          <w:p>
            <w:pPr>
              <w:spacing w:after="0"/>
              <w:jc w:val="left"/>
            </w:pPr>
            <w:r>
              <w:rPr>
                <w:rFonts w:ascii="Calibri" w:hAnsi="Calibri"/>
                <w:b/>
                <w:color w:val="212529"/>
                <w:sz w:val="17"/>
              </w:rPr>
              <w:t>Total Observations (Rows)</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32,561</w:t>
            </w:r>
          </w:p>
        </w:tc>
        <w:tc>
          <w:tcPr>
            <w:tcW w:type="dxa" w:w="1728"/>
            <w:shd w:fill="FFFFFF"/>
            <w:tcMar>
              <w:top w:w="70" w:type="dxa"/>
              <w:bottom w:w="70" w:type="dxa"/>
              <w:left w:w="100" w:type="dxa"/>
              <w:right w:w="100" w:type="dxa"/>
            </w:tcMar>
          </w:tcPr>
          <w:p>
            <w:pPr>
              <w:spacing w:after="0"/>
              <w:jc w:val="left"/>
            </w:pPr>
            <w:r>
              <w:rPr>
                <w:rFonts w:ascii="Calibri" w:hAnsi="Calibri"/>
                <w:b/>
                <w:color w:val="212529"/>
                <w:sz w:val="17"/>
              </w:rPr>
              <w:t>32,537</w:t>
            </w:r>
          </w:p>
        </w:tc>
        <w:tc>
          <w:tcPr>
            <w:tcW w:type="dxa" w:w="3312"/>
            <w:shd w:fill="FFFFFF"/>
            <w:tcMar>
              <w:top w:w="70" w:type="dxa"/>
              <w:bottom w:w="70" w:type="dxa"/>
              <w:left w:w="100" w:type="dxa"/>
              <w:right w:w="100" w:type="dxa"/>
            </w:tcMar>
          </w:tcPr>
          <w:p>
            <w:pPr>
              <w:spacing w:after="0"/>
              <w:jc w:val="left"/>
            </w:pPr>
            <w:r>
              <w:rPr>
                <w:rFonts w:ascii="Calibri" w:hAnsi="Calibri"/>
                <w:b w:val="0"/>
                <w:color w:val="212529"/>
                <w:sz w:val="17"/>
              </w:rPr>
              <w:t>-24 duplicate rows successfully removed</w:t>
            </w:r>
          </w:p>
        </w:tc>
      </w:tr>
      <w:tr>
        <w:tc>
          <w:tcPr>
            <w:tcW w:type="dxa" w:w="2592"/>
            <w:shd w:fill="F8F9FA"/>
            <w:tcMar>
              <w:top w:w="70" w:type="dxa"/>
              <w:bottom w:w="70" w:type="dxa"/>
              <w:left w:w="100" w:type="dxa"/>
              <w:right w:w="100" w:type="dxa"/>
            </w:tcMar>
          </w:tcPr>
          <w:p>
            <w:pPr>
              <w:spacing w:after="0"/>
              <w:jc w:val="left"/>
            </w:pPr>
            <w:r>
              <w:rPr>
                <w:rFonts w:ascii="Calibri" w:hAnsi="Calibri"/>
                <w:b/>
                <w:color w:val="212529"/>
                <w:sz w:val="17"/>
              </w:rPr>
              <w:t>Total Column Count</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15</w:t>
            </w:r>
          </w:p>
        </w:tc>
        <w:tc>
          <w:tcPr>
            <w:tcW w:type="dxa" w:w="1728"/>
            <w:shd w:fill="F8F9FA"/>
            <w:tcMar>
              <w:top w:w="70" w:type="dxa"/>
              <w:bottom w:w="70" w:type="dxa"/>
              <w:left w:w="100" w:type="dxa"/>
              <w:right w:w="100" w:type="dxa"/>
            </w:tcMar>
          </w:tcPr>
          <w:p>
            <w:pPr>
              <w:spacing w:after="0"/>
              <w:jc w:val="left"/>
            </w:pPr>
            <w:r>
              <w:rPr>
                <w:rFonts w:ascii="Calibri" w:hAnsi="Calibri"/>
                <w:b/>
                <w:color w:val="212529"/>
                <w:sz w:val="17"/>
              </w:rPr>
              <w:t>15</w:t>
            </w:r>
          </w:p>
        </w:tc>
        <w:tc>
          <w:tcPr>
            <w:tcW w:type="dxa" w:w="3312"/>
            <w:shd w:fill="F8F9FA"/>
            <w:tcMar>
              <w:top w:w="70" w:type="dxa"/>
              <w:bottom w:w="70" w:type="dxa"/>
              <w:left w:w="100" w:type="dxa"/>
              <w:right w:w="100" w:type="dxa"/>
            </w:tcMar>
          </w:tcPr>
          <w:p>
            <w:pPr>
              <w:spacing w:after="0"/>
              <w:jc w:val="left"/>
            </w:pPr>
            <w:r>
              <w:rPr>
                <w:rFonts w:ascii="Calibri" w:hAnsi="Calibri"/>
                <w:b w:val="0"/>
                <w:color w:val="212529"/>
                <w:sz w:val="17"/>
              </w:rPr>
              <w:t>Full schema integrity preserved</w:t>
            </w:r>
          </w:p>
        </w:tc>
      </w:tr>
      <w:tr>
        <w:tc>
          <w:tcPr>
            <w:tcW w:type="dxa" w:w="2592"/>
            <w:shd w:fill="FFFFFF"/>
            <w:tcMar>
              <w:top w:w="70" w:type="dxa"/>
              <w:bottom w:w="70" w:type="dxa"/>
              <w:left w:w="100" w:type="dxa"/>
              <w:right w:w="100" w:type="dxa"/>
            </w:tcMar>
          </w:tcPr>
          <w:p>
            <w:pPr>
              <w:spacing w:after="0"/>
              <w:jc w:val="left"/>
            </w:pPr>
            <w:r>
              <w:rPr>
                <w:rFonts w:ascii="Calibri" w:hAnsi="Calibri"/>
                <w:b/>
                <w:color w:val="212529"/>
                <w:sz w:val="17"/>
              </w:rPr>
              <w:t>Total Missing Values (NA)</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4,262</w:t>
            </w:r>
          </w:p>
        </w:tc>
        <w:tc>
          <w:tcPr>
            <w:tcW w:type="dxa" w:w="1728"/>
            <w:shd w:fill="FFFFFF"/>
            <w:tcMar>
              <w:top w:w="70" w:type="dxa"/>
              <w:bottom w:w="70" w:type="dxa"/>
              <w:left w:w="100" w:type="dxa"/>
              <w:right w:w="100" w:type="dxa"/>
            </w:tcMar>
          </w:tcPr>
          <w:p>
            <w:pPr>
              <w:spacing w:after="0"/>
              <w:jc w:val="left"/>
            </w:pPr>
            <w:r>
              <w:rPr>
                <w:rFonts w:ascii="Calibri" w:hAnsi="Calibri"/>
                <w:b/>
                <w:color w:val="212529"/>
                <w:sz w:val="17"/>
              </w:rPr>
              <w:t>0</w:t>
            </w:r>
          </w:p>
        </w:tc>
        <w:tc>
          <w:tcPr>
            <w:tcW w:type="dxa" w:w="3312"/>
            <w:shd w:fill="FFFFFF"/>
            <w:tcMar>
              <w:top w:w="70" w:type="dxa"/>
              <w:bottom w:w="70" w:type="dxa"/>
              <w:left w:w="100" w:type="dxa"/>
              <w:right w:w="100" w:type="dxa"/>
            </w:tcMar>
          </w:tcPr>
          <w:p>
            <w:pPr>
              <w:spacing w:after="0"/>
              <w:jc w:val="left"/>
            </w:pPr>
            <w:r>
              <w:rPr>
                <w:rFonts w:ascii="Calibri" w:hAnsi="Calibri"/>
                <w:b w:val="0"/>
                <w:color w:val="212529"/>
                <w:sz w:val="17"/>
              </w:rPr>
              <w:t>100% complete data achieved via mode imputation</w:t>
            </w:r>
          </w:p>
        </w:tc>
      </w:tr>
      <w:tr>
        <w:tc>
          <w:tcPr>
            <w:tcW w:type="dxa" w:w="2592"/>
            <w:shd w:fill="F8F9FA"/>
            <w:tcMar>
              <w:top w:w="70" w:type="dxa"/>
              <w:bottom w:w="70" w:type="dxa"/>
              <w:left w:w="100" w:type="dxa"/>
              <w:right w:w="100" w:type="dxa"/>
            </w:tcMar>
          </w:tcPr>
          <w:p>
            <w:pPr>
              <w:spacing w:after="0"/>
              <w:jc w:val="left"/>
            </w:pPr>
            <w:r>
              <w:rPr>
                <w:rFonts w:ascii="Calibri" w:hAnsi="Calibri"/>
                <w:b/>
                <w:color w:val="212529"/>
                <w:sz w:val="17"/>
              </w:rPr>
              <w:t>Missing: workclass</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1,836 (5.64%)</w:t>
            </w:r>
          </w:p>
        </w:tc>
        <w:tc>
          <w:tcPr>
            <w:tcW w:type="dxa" w:w="1728"/>
            <w:shd w:fill="F8F9FA"/>
            <w:tcMar>
              <w:top w:w="70" w:type="dxa"/>
              <w:bottom w:w="70" w:type="dxa"/>
              <w:left w:w="100" w:type="dxa"/>
              <w:right w:w="100" w:type="dxa"/>
            </w:tcMar>
          </w:tcPr>
          <w:p>
            <w:pPr>
              <w:spacing w:after="0"/>
              <w:jc w:val="left"/>
            </w:pPr>
            <w:r>
              <w:rPr>
                <w:rFonts w:ascii="Calibri" w:hAnsi="Calibri"/>
                <w:b/>
                <w:color w:val="212529"/>
                <w:sz w:val="17"/>
              </w:rPr>
              <w:t>0 (0.00%)</w:t>
            </w:r>
          </w:p>
        </w:tc>
        <w:tc>
          <w:tcPr>
            <w:tcW w:type="dxa" w:w="3312"/>
            <w:shd w:fill="F8F9FA"/>
            <w:tcMar>
              <w:top w:w="70" w:type="dxa"/>
              <w:bottom w:w="70" w:type="dxa"/>
              <w:left w:w="100" w:type="dxa"/>
              <w:right w:w="100" w:type="dxa"/>
            </w:tcMar>
          </w:tcPr>
          <w:p>
            <w:pPr>
              <w:spacing w:after="0"/>
              <w:jc w:val="left"/>
            </w:pPr>
            <w:r>
              <w:rPr>
                <w:rFonts w:ascii="Calibri" w:hAnsi="Calibri"/>
                <w:b w:val="0"/>
                <w:color w:val="212529"/>
                <w:sz w:val="17"/>
              </w:rPr>
              <w:t>Imputed with mode ('Private')</w:t>
            </w:r>
          </w:p>
        </w:tc>
      </w:tr>
      <w:tr>
        <w:tc>
          <w:tcPr>
            <w:tcW w:type="dxa" w:w="2592"/>
            <w:shd w:fill="FFFFFF"/>
            <w:tcMar>
              <w:top w:w="70" w:type="dxa"/>
              <w:bottom w:w="70" w:type="dxa"/>
              <w:left w:w="100" w:type="dxa"/>
              <w:right w:w="100" w:type="dxa"/>
            </w:tcMar>
          </w:tcPr>
          <w:p>
            <w:pPr>
              <w:spacing w:after="0"/>
              <w:jc w:val="left"/>
            </w:pPr>
            <w:r>
              <w:rPr>
                <w:rFonts w:ascii="Calibri" w:hAnsi="Calibri"/>
                <w:b/>
                <w:color w:val="212529"/>
                <w:sz w:val="17"/>
              </w:rPr>
              <w:t>Missing: occupation</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1,843 (5.66%)</w:t>
            </w:r>
          </w:p>
        </w:tc>
        <w:tc>
          <w:tcPr>
            <w:tcW w:type="dxa" w:w="1728"/>
            <w:shd w:fill="FFFFFF"/>
            <w:tcMar>
              <w:top w:w="70" w:type="dxa"/>
              <w:bottom w:w="70" w:type="dxa"/>
              <w:left w:w="100" w:type="dxa"/>
              <w:right w:w="100" w:type="dxa"/>
            </w:tcMar>
          </w:tcPr>
          <w:p>
            <w:pPr>
              <w:spacing w:after="0"/>
              <w:jc w:val="left"/>
            </w:pPr>
            <w:r>
              <w:rPr>
                <w:rFonts w:ascii="Calibri" w:hAnsi="Calibri"/>
                <w:b/>
                <w:color w:val="212529"/>
                <w:sz w:val="17"/>
              </w:rPr>
              <w:t>0 (0.00%)</w:t>
            </w:r>
          </w:p>
        </w:tc>
        <w:tc>
          <w:tcPr>
            <w:tcW w:type="dxa" w:w="3312"/>
            <w:shd w:fill="FFFFFF"/>
            <w:tcMar>
              <w:top w:w="70" w:type="dxa"/>
              <w:bottom w:w="70" w:type="dxa"/>
              <w:left w:w="100" w:type="dxa"/>
              <w:right w:w="100" w:type="dxa"/>
            </w:tcMar>
          </w:tcPr>
          <w:p>
            <w:pPr>
              <w:spacing w:after="0"/>
              <w:jc w:val="left"/>
            </w:pPr>
            <w:r>
              <w:rPr>
                <w:rFonts w:ascii="Calibri" w:hAnsi="Calibri"/>
                <w:b w:val="0"/>
                <w:color w:val="212529"/>
                <w:sz w:val="17"/>
              </w:rPr>
              <w:t>Imputed with mode ('Prof-specialty')</w:t>
            </w:r>
          </w:p>
        </w:tc>
      </w:tr>
      <w:tr>
        <w:tc>
          <w:tcPr>
            <w:tcW w:type="dxa" w:w="2592"/>
            <w:shd w:fill="F8F9FA"/>
            <w:tcMar>
              <w:top w:w="70" w:type="dxa"/>
              <w:bottom w:w="70" w:type="dxa"/>
              <w:left w:w="100" w:type="dxa"/>
              <w:right w:w="100" w:type="dxa"/>
            </w:tcMar>
          </w:tcPr>
          <w:p>
            <w:pPr>
              <w:spacing w:after="0"/>
              <w:jc w:val="left"/>
            </w:pPr>
            <w:r>
              <w:rPr>
                <w:rFonts w:ascii="Calibri" w:hAnsi="Calibri"/>
                <w:b/>
                <w:color w:val="212529"/>
                <w:sz w:val="17"/>
              </w:rPr>
              <w:t>Missing: native_country</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583 (1.79%)</w:t>
            </w:r>
          </w:p>
        </w:tc>
        <w:tc>
          <w:tcPr>
            <w:tcW w:type="dxa" w:w="1728"/>
            <w:shd w:fill="F8F9FA"/>
            <w:tcMar>
              <w:top w:w="70" w:type="dxa"/>
              <w:bottom w:w="70" w:type="dxa"/>
              <w:left w:w="100" w:type="dxa"/>
              <w:right w:w="100" w:type="dxa"/>
            </w:tcMar>
          </w:tcPr>
          <w:p>
            <w:pPr>
              <w:spacing w:after="0"/>
              <w:jc w:val="left"/>
            </w:pPr>
            <w:r>
              <w:rPr>
                <w:rFonts w:ascii="Calibri" w:hAnsi="Calibri"/>
                <w:b/>
                <w:color w:val="212529"/>
                <w:sz w:val="17"/>
              </w:rPr>
              <w:t>0 (0.00%)</w:t>
            </w:r>
          </w:p>
        </w:tc>
        <w:tc>
          <w:tcPr>
            <w:tcW w:type="dxa" w:w="3312"/>
            <w:shd w:fill="F8F9FA"/>
            <w:tcMar>
              <w:top w:w="70" w:type="dxa"/>
              <w:bottom w:w="70" w:type="dxa"/>
              <w:left w:w="100" w:type="dxa"/>
              <w:right w:w="100" w:type="dxa"/>
            </w:tcMar>
          </w:tcPr>
          <w:p>
            <w:pPr>
              <w:spacing w:after="0"/>
              <w:jc w:val="left"/>
            </w:pPr>
            <w:r>
              <w:rPr>
                <w:rFonts w:ascii="Calibri" w:hAnsi="Calibri"/>
                <w:b w:val="0"/>
                <w:color w:val="212529"/>
                <w:sz w:val="17"/>
              </w:rPr>
              <w:t>Imputed with mode ('United-States')</w:t>
            </w:r>
          </w:p>
        </w:tc>
      </w:tr>
      <w:tr>
        <w:tc>
          <w:tcPr>
            <w:tcW w:type="dxa" w:w="2592"/>
            <w:shd w:fill="FFFFFF"/>
            <w:tcMar>
              <w:top w:w="70" w:type="dxa"/>
              <w:bottom w:w="70" w:type="dxa"/>
              <w:left w:w="100" w:type="dxa"/>
              <w:right w:w="100" w:type="dxa"/>
            </w:tcMar>
          </w:tcPr>
          <w:p>
            <w:pPr>
              <w:spacing w:after="0"/>
              <w:jc w:val="left"/>
            </w:pPr>
            <w:r>
              <w:rPr>
                <w:rFonts w:ascii="Calibri" w:hAnsi="Calibri"/>
                <w:b/>
                <w:color w:val="212529"/>
                <w:sz w:val="17"/>
              </w:rPr>
              <w:t>Duplicate Row Count</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24</w:t>
            </w:r>
          </w:p>
        </w:tc>
        <w:tc>
          <w:tcPr>
            <w:tcW w:type="dxa" w:w="1728"/>
            <w:shd w:fill="FFFFFF"/>
            <w:tcMar>
              <w:top w:w="70" w:type="dxa"/>
              <w:bottom w:w="70" w:type="dxa"/>
              <w:left w:w="100" w:type="dxa"/>
              <w:right w:w="100" w:type="dxa"/>
            </w:tcMar>
          </w:tcPr>
          <w:p>
            <w:pPr>
              <w:spacing w:after="0"/>
              <w:jc w:val="left"/>
            </w:pPr>
            <w:r>
              <w:rPr>
                <w:rFonts w:ascii="Calibri" w:hAnsi="Calibri"/>
                <w:b/>
                <w:color w:val="212529"/>
                <w:sz w:val="17"/>
              </w:rPr>
              <w:t>0</w:t>
            </w:r>
          </w:p>
        </w:tc>
        <w:tc>
          <w:tcPr>
            <w:tcW w:type="dxa" w:w="3312"/>
            <w:shd w:fill="FFFFFF"/>
            <w:tcMar>
              <w:top w:w="70" w:type="dxa"/>
              <w:bottom w:w="70" w:type="dxa"/>
              <w:left w:w="100" w:type="dxa"/>
              <w:right w:w="100" w:type="dxa"/>
            </w:tcMar>
          </w:tcPr>
          <w:p>
            <w:pPr>
              <w:spacing w:after="0"/>
              <w:jc w:val="left"/>
            </w:pPr>
            <w:r>
              <w:rPr>
                <w:rFonts w:ascii="Calibri" w:hAnsi="Calibri"/>
                <w:b w:val="0"/>
                <w:color w:val="212529"/>
                <w:sz w:val="17"/>
              </w:rPr>
              <w:t>De-duplicated working dataset</w:t>
            </w:r>
          </w:p>
        </w:tc>
      </w:tr>
      <w:tr>
        <w:tc>
          <w:tcPr>
            <w:tcW w:type="dxa" w:w="2592"/>
            <w:shd w:fill="F8F9FA"/>
            <w:tcMar>
              <w:top w:w="70" w:type="dxa"/>
              <w:bottom w:w="70" w:type="dxa"/>
              <w:left w:w="100" w:type="dxa"/>
              <w:right w:w="100" w:type="dxa"/>
            </w:tcMar>
          </w:tcPr>
          <w:p>
            <w:pPr>
              <w:spacing w:after="0"/>
              <w:jc w:val="left"/>
            </w:pPr>
            <w:r>
              <w:rPr>
                <w:rFonts w:ascii="Calibri" w:hAnsi="Calibri"/>
                <w:b/>
                <w:color w:val="212529"/>
                <w:sz w:val="17"/>
              </w:rPr>
              <w:t>Continuous Variables</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6</w:t>
            </w:r>
          </w:p>
        </w:tc>
        <w:tc>
          <w:tcPr>
            <w:tcW w:type="dxa" w:w="1728"/>
            <w:shd w:fill="F8F9FA"/>
            <w:tcMar>
              <w:top w:w="70" w:type="dxa"/>
              <w:bottom w:w="70" w:type="dxa"/>
              <w:left w:w="100" w:type="dxa"/>
              <w:right w:w="100" w:type="dxa"/>
            </w:tcMar>
          </w:tcPr>
          <w:p>
            <w:pPr>
              <w:spacing w:after="0"/>
              <w:jc w:val="left"/>
            </w:pPr>
            <w:r>
              <w:rPr>
                <w:rFonts w:ascii="Calibri" w:hAnsi="Calibri"/>
                <w:b/>
                <w:color w:val="212529"/>
                <w:sz w:val="17"/>
              </w:rPr>
              <w:t>6</w:t>
            </w:r>
          </w:p>
        </w:tc>
        <w:tc>
          <w:tcPr>
            <w:tcW w:type="dxa" w:w="3312"/>
            <w:shd w:fill="F8F9FA"/>
            <w:tcMar>
              <w:top w:w="70" w:type="dxa"/>
              <w:bottom w:w="70" w:type="dxa"/>
              <w:left w:w="100" w:type="dxa"/>
              <w:right w:w="100" w:type="dxa"/>
            </w:tcMar>
          </w:tcPr>
          <w:p>
            <w:pPr>
              <w:spacing w:after="0"/>
              <w:jc w:val="left"/>
            </w:pPr>
            <w:r>
              <w:rPr>
                <w:rFonts w:ascii="Calibri" w:hAnsi="Calibri"/>
                <w:b w:val="0"/>
                <w:color w:val="212529"/>
                <w:sz w:val="17"/>
              </w:rPr>
              <w:t>age, fnlwgt, education_num, capital_gain, capital_loss, hours</w:t>
            </w:r>
          </w:p>
        </w:tc>
      </w:tr>
      <w:tr>
        <w:tc>
          <w:tcPr>
            <w:tcW w:type="dxa" w:w="2592"/>
            <w:shd w:fill="FFFFFF"/>
            <w:tcMar>
              <w:top w:w="70" w:type="dxa"/>
              <w:bottom w:w="70" w:type="dxa"/>
              <w:left w:w="100" w:type="dxa"/>
              <w:right w:w="100" w:type="dxa"/>
            </w:tcMar>
          </w:tcPr>
          <w:p>
            <w:pPr>
              <w:spacing w:after="0"/>
              <w:jc w:val="left"/>
            </w:pPr>
            <w:r>
              <w:rPr>
                <w:rFonts w:ascii="Calibri" w:hAnsi="Calibri"/>
                <w:b/>
                <w:color w:val="212529"/>
                <w:sz w:val="17"/>
              </w:rPr>
              <w:t>Categorical Variables</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9</w:t>
            </w:r>
          </w:p>
        </w:tc>
        <w:tc>
          <w:tcPr>
            <w:tcW w:type="dxa" w:w="1728"/>
            <w:shd w:fill="FFFFFF"/>
            <w:tcMar>
              <w:top w:w="70" w:type="dxa"/>
              <w:bottom w:w="70" w:type="dxa"/>
              <w:left w:w="100" w:type="dxa"/>
              <w:right w:w="100" w:type="dxa"/>
            </w:tcMar>
          </w:tcPr>
          <w:p>
            <w:pPr>
              <w:spacing w:after="0"/>
              <w:jc w:val="left"/>
            </w:pPr>
            <w:r>
              <w:rPr>
                <w:rFonts w:ascii="Calibri" w:hAnsi="Calibri"/>
                <w:b/>
                <w:color w:val="212529"/>
                <w:sz w:val="17"/>
              </w:rPr>
              <w:t>9</w:t>
            </w:r>
          </w:p>
        </w:tc>
        <w:tc>
          <w:tcPr>
            <w:tcW w:type="dxa" w:w="3312"/>
            <w:shd w:fill="FFFFFF"/>
            <w:tcMar>
              <w:top w:w="70" w:type="dxa"/>
              <w:bottom w:w="70" w:type="dxa"/>
              <w:left w:w="100" w:type="dxa"/>
              <w:right w:w="100" w:type="dxa"/>
            </w:tcMar>
          </w:tcPr>
          <w:p>
            <w:pPr>
              <w:spacing w:after="0"/>
              <w:jc w:val="left"/>
            </w:pPr>
            <w:r>
              <w:rPr>
                <w:rFonts w:ascii="Calibri" w:hAnsi="Calibri"/>
                <w:b w:val="0"/>
                <w:color w:val="212529"/>
                <w:sz w:val="17"/>
              </w:rPr>
              <w:t>Standardized factor representations with trimmed levels</w:t>
            </w:r>
          </w:p>
        </w:tc>
      </w:tr>
    </w:tbl>
    <w:p>
      <w:pPr>
        <w:spacing w:before="160" w:after="60"/>
        <w:jc w:val="center"/>
      </w:pPr>
      <w:r>
        <w:drawing>
          <wp:inline xmlns:a="http://schemas.openxmlformats.org/drawingml/2006/main" xmlns:pic="http://schemas.openxmlformats.org/drawingml/2006/picture">
            <wp:extent cx="5212080" cy="3722914"/>
            <wp:docPr id="2" name="Picture 2"/>
            <wp:cNvGraphicFramePr>
              <a:graphicFrameLocks noChangeAspect="1"/>
            </wp:cNvGraphicFramePr>
            <a:graphic>
              <a:graphicData uri="http://schemas.openxmlformats.org/drawingml/2006/picture">
                <pic:pic>
                  <pic:nvPicPr>
                    <pic:cNvPr id="0" name="06_fig1_missing_values.png"/>
                    <pic:cNvPicPr/>
                  </pic:nvPicPr>
                  <pic:blipFill>
                    <a:blip r:embed="rId12"/>
                    <a:stretch>
                      <a:fillRect/>
                    </a:stretch>
                  </pic:blipFill>
                  <pic:spPr>
                    <a:xfrm>
                      <a:off x="0" y="0"/>
                      <a:ext cx="5212080" cy="3722914"/>
                    </a:xfrm>
                    <a:prstGeom prst="rect"/>
                  </pic:spPr>
                </pic:pic>
              </a:graphicData>
            </a:graphic>
          </wp:inline>
        </w:drawing>
      </w:r>
    </w:p>
    <w:p>
      <w:pPr>
        <w:spacing w:after="160"/>
        <w:jc w:val="center"/>
      </w:pPr>
      <w:r>
        <w:rPr>
          <w:b/>
          <w:color w:val="1B365D"/>
          <w:sz w:val="19"/>
        </w:rPr>
        <w:t xml:space="preserve">Figure 5.2: </w:t>
      </w:r>
      <w:r>
        <w:rPr>
          <w:b/>
          <w:color w:val="465C7A"/>
          <w:sz w:val="19"/>
        </w:rPr>
        <w:t xml:space="preserve">Missing Value Incidence by Variable Prior to Imputation. </w:t>
      </w:r>
      <w:r>
        <w:rPr>
          <w:i/>
          <w:color w:val="6C757D"/>
          <w:sz w:val="18"/>
        </w:rPr>
        <w:t>Bar chart verifying that missingness was strictly isolated to workclass (1,836), occupation (1,843), and native_country (583).</w:t>
      </w:r>
    </w:p>
    <w:p>
      <w:pPr>
        <w:pStyle w:val="Heading1"/>
        <w:keepNext/>
        <w:spacing w:before="360" w:after="120"/>
      </w:pPr>
      <w:r>
        <w:rPr>
          <w:rFonts w:ascii="Calibri" w:hAnsi="Calibri"/>
          <w:b/>
          <w:color w:val="1B365D"/>
          <w:sz w:val="32"/>
        </w:rPr>
        <w:t>Section 6 — Week 2: Data Visualization and Insight Communication</w:t>
      </w:r>
    </w:p>
    <w:p>
      <w:pPr>
        <w:spacing w:after="120" w:line="276" w:lineRule="auto"/>
      </w:pPr>
      <w:r>
        <w:rPr>
          <w:rFonts w:ascii="Calibri" w:hAnsi="Calibri"/>
          <w:color w:val="212529"/>
          <w:sz w:val="21"/>
        </w:rPr>
        <w:t>Week 2 advanced the analysis from cleaning to comprehensive graphic visualization using ggplot2, lattice, and base R graphics. Adhering to Edward Tufte's principles of graphical excellence, visualizations were structured to maximize data-ink ratio, eliminate chartjunk, and reveal substantive socioeconomic patterns. The primary goal was to explore the marginal distributions of demographic and labor indicators, identify bivariate disparities across income categories, and formulate rigorous hypotheses for statistical testing.</w:t>
      </w:r>
    </w:p>
    <w:p>
      <w:pPr>
        <w:pStyle w:val="Heading2"/>
        <w:keepNext/>
        <w:spacing w:before="260" w:after="80"/>
      </w:pPr>
      <w:r>
        <w:rPr>
          <w:rFonts w:ascii="Calibri" w:hAnsi="Calibri"/>
          <w:b/>
          <w:color w:val="465C7A"/>
          <w:sz w:val="26"/>
        </w:rPr>
        <w:t>6.1 Income Target Class Imbalance</w:t>
      </w:r>
    </w:p>
    <w:p>
      <w:pPr>
        <w:spacing w:after="120" w:line="276" w:lineRule="auto"/>
      </w:pPr>
      <w:r>
        <w:rPr>
          <w:rFonts w:ascii="Calibri" w:hAnsi="Calibri"/>
          <w:color w:val="212529"/>
          <w:sz w:val="21"/>
        </w:rPr>
        <w:t>Figure 6.1 depicts the foundational imbalance of the income target variable. In the authenticated dataset of 32,537 individuals, 24,698 (75.91%) earn &lt;=$50K while only 7,839 (24.09%) earn &gt;$50K. This 3.15:1 imbalance demonstrates that high earners represent a distinct minority class. This structure immediately establishes that a naïve majority-class classifier achieves 75.91% accuracy by predicting &lt;=$50K for every case; thus, all subsequent predictive models must be evaluated against balanced accuracy, precision, recall, and ROC-AUC rather than raw classification accuracy alone.</w:t>
      </w:r>
    </w:p>
    <w:p>
      <w:pPr>
        <w:spacing w:before="160" w:after="60"/>
        <w:jc w:val="center"/>
      </w:pPr>
      <w:r>
        <w:drawing>
          <wp:inline xmlns:a="http://schemas.openxmlformats.org/drawingml/2006/main" xmlns:pic="http://schemas.openxmlformats.org/drawingml/2006/picture">
            <wp:extent cx="5212080" cy="3613709"/>
            <wp:docPr id="3" name="Picture 3"/>
            <wp:cNvGraphicFramePr>
              <a:graphicFrameLocks noChangeAspect="1"/>
            </wp:cNvGraphicFramePr>
            <a:graphic>
              <a:graphicData uri="http://schemas.openxmlformats.org/drawingml/2006/picture">
                <pic:pic>
                  <pic:nvPicPr>
                    <pic:cNvPr id="0" name="week2_01_income_distribution.png"/>
                    <pic:cNvPicPr/>
                  </pic:nvPicPr>
                  <pic:blipFill>
                    <a:blip r:embed="rId13"/>
                    <a:stretch>
                      <a:fillRect/>
                    </a:stretch>
                  </pic:blipFill>
                  <pic:spPr>
                    <a:xfrm>
                      <a:off x="0" y="0"/>
                      <a:ext cx="5212080" cy="3613709"/>
                    </a:xfrm>
                    <a:prstGeom prst="rect"/>
                  </pic:spPr>
                </pic:pic>
              </a:graphicData>
            </a:graphic>
          </wp:inline>
        </w:drawing>
      </w:r>
    </w:p>
    <w:p>
      <w:pPr>
        <w:spacing w:after="160"/>
        <w:jc w:val="center"/>
      </w:pPr>
      <w:r>
        <w:rPr>
          <w:b/>
          <w:color w:val="1B365D"/>
          <w:sz w:val="19"/>
        </w:rPr>
        <w:t xml:space="preserve">Figure 6.1: </w:t>
      </w:r>
      <w:r>
        <w:rPr>
          <w:b/>
          <w:color w:val="465C7A"/>
          <w:sz w:val="19"/>
        </w:rPr>
        <w:t xml:space="preserve">Income Target Distribution and Class Imbalance. </w:t>
      </w:r>
      <w:r>
        <w:rPr>
          <w:i/>
          <w:color w:val="6C757D"/>
          <w:sz w:val="18"/>
        </w:rPr>
        <w:t>Univariate bar chart showing the 3.15:1 ratio between low-income (75.91%) and high-income (24.09%) individuals in the cleaned census sample.</w:t>
      </w:r>
    </w:p>
    <w:p>
      <w:pPr>
        <w:pStyle w:val="Heading2"/>
        <w:keepNext/>
        <w:spacing w:before="260" w:after="80"/>
      </w:pPr>
      <w:r>
        <w:rPr>
          <w:rFonts w:ascii="Calibri" w:hAnsi="Calibri"/>
          <w:b/>
          <w:color w:val="465C7A"/>
          <w:sz w:val="26"/>
        </w:rPr>
        <w:t>6.2 Educational Attainment and Human Capital Thresholds</w:t>
      </w:r>
    </w:p>
    <w:p>
      <w:pPr>
        <w:spacing w:after="120" w:line="276" w:lineRule="auto"/>
      </w:pPr>
      <w:r>
        <w:rPr>
          <w:rFonts w:ascii="Calibri" w:hAnsi="Calibri"/>
          <w:color w:val="212529"/>
          <w:sz w:val="21"/>
        </w:rPr>
        <w:t>Figure 6.2 illustrates the relationship between educational attainment and high-income status. Rather than a purely linear progression, the data reveals a sharp credential threshold. Below high school completion, the proportion of individuals earning &gt;$50K never exceeds 7.62% (ranging from 0.00% for Preschool to 7.62% for 12th grade). High school graduation produces 15.95% high earners, Some-college yields 19.03%, and an Associate degree yields ~25%. However, completing a Bachelor's degree results in a jump to 41.49% high earners. Advanced graduate degrees elevate this proportion substantially: 55.69% for Master's degrees, 73.44% for Professional School graduates, and 74.09% for Doctorates.</w:t>
      </w:r>
    </w:p>
    <w:p>
      <w:pPr>
        <w:spacing w:before="160" w:after="60"/>
        <w:jc w:val="center"/>
      </w:pPr>
      <w:r>
        <w:drawing>
          <wp:inline xmlns:a="http://schemas.openxmlformats.org/drawingml/2006/main" xmlns:pic="http://schemas.openxmlformats.org/drawingml/2006/picture">
            <wp:extent cx="5212080" cy="3790604"/>
            <wp:docPr id="4" name="Picture 4"/>
            <wp:cNvGraphicFramePr>
              <a:graphicFrameLocks noChangeAspect="1"/>
            </wp:cNvGraphicFramePr>
            <a:graphic>
              <a:graphicData uri="http://schemas.openxmlformats.org/drawingml/2006/picture">
                <pic:pic>
                  <pic:nvPicPr>
                    <pic:cNvPr id="0" name="week2_04_education_vs_income.png"/>
                    <pic:cNvPicPr/>
                  </pic:nvPicPr>
                  <pic:blipFill>
                    <a:blip r:embed="rId14"/>
                    <a:stretch>
                      <a:fillRect/>
                    </a:stretch>
                  </pic:blipFill>
                  <pic:spPr>
                    <a:xfrm>
                      <a:off x="0" y="0"/>
                      <a:ext cx="5212080" cy="3790604"/>
                    </a:xfrm>
                    <a:prstGeom prst="rect"/>
                  </pic:spPr>
                </pic:pic>
              </a:graphicData>
            </a:graphic>
          </wp:inline>
        </w:drawing>
      </w:r>
    </w:p>
    <w:p>
      <w:pPr>
        <w:spacing w:after="160"/>
        <w:jc w:val="center"/>
      </w:pPr>
      <w:r>
        <w:rPr>
          <w:b/>
          <w:color w:val="1B365D"/>
          <w:sz w:val="19"/>
        </w:rPr>
        <w:t xml:space="preserve">Figure 6.2: </w:t>
      </w:r>
      <w:r>
        <w:rPr>
          <w:b/>
          <w:color w:val="465C7A"/>
          <w:sz w:val="19"/>
        </w:rPr>
        <w:t xml:space="preserve">High-Income Proportion Across Educational Credentials. </w:t>
      </w:r>
      <w:r>
        <w:rPr>
          <w:i/>
          <w:color w:val="6C757D"/>
          <w:sz w:val="18"/>
        </w:rPr>
        <w:t>Segmented horizontal bar chart showing the sharp escalation in high-earning probability from High School (15.95%) to Bachelors (41.49%) and Doctorate (74.09%).</w:t>
      </w:r>
    </w:p>
    <w:p>
      <w:pPr>
        <w:pStyle w:val="Heading2"/>
        <w:keepNext/>
        <w:spacing w:before="260" w:after="80"/>
      </w:pPr>
      <w:r>
        <w:rPr>
          <w:rFonts w:ascii="Calibri" w:hAnsi="Calibri"/>
          <w:b/>
          <w:color w:val="465C7A"/>
          <w:sz w:val="26"/>
        </w:rPr>
        <w:t>6.3 Age Demographics and Earning Life-Cycle</w:t>
      </w:r>
    </w:p>
    <w:p>
      <w:pPr>
        <w:spacing w:after="120" w:line="276" w:lineRule="auto"/>
      </w:pPr>
      <w:r>
        <w:rPr>
          <w:rFonts w:ascii="Calibri" w:hAnsi="Calibri"/>
          <w:color w:val="212529"/>
          <w:sz w:val="21"/>
        </w:rPr>
        <w:t>Figure 6.3 displays the age distributions of low- and high-income earners. The visual distributions show marked divergence: low-income earners exhibit a heavily right-skewed distribution centered at a median age of 34 years (IQR = 21, Q1 = 25, Q3 = 46), reflecting younger workers entering the labor market. Conversely, high-income earners display a more symmetric, bell-shaped distribution centered at a median age of 44 years (IQR = 15, Q1 = 36, Q3 = 51). The 10-year median divergence visually reflects the human capital life-cycle: accumulated career tenure, promotions, and professional experience are required to reach the upper income bracket.</w:t>
      </w:r>
    </w:p>
    <w:p>
      <w:pPr>
        <w:spacing w:before="160" w:after="60"/>
        <w:jc w:val="center"/>
      </w:pPr>
      <w:r>
        <w:drawing>
          <wp:inline xmlns:a="http://schemas.openxmlformats.org/drawingml/2006/main" xmlns:pic="http://schemas.openxmlformats.org/drawingml/2006/picture">
            <wp:extent cx="5212080" cy="4030675"/>
            <wp:docPr id="5" name="Picture 5"/>
            <wp:cNvGraphicFramePr>
              <a:graphicFrameLocks noChangeAspect="1"/>
            </wp:cNvGraphicFramePr>
            <a:graphic>
              <a:graphicData uri="http://schemas.openxmlformats.org/drawingml/2006/picture">
                <pic:pic>
                  <pic:nvPicPr>
                    <pic:cNvPr id="0" name="week2_06_age_vs_income.png"/>
                    <pic:cNvPicPr/>
                  </pic:nvPicPr>
                  <pic:blipFill>
                    <a:blip r:embed="rId15"/>
                    <a:stretch>
                      <a:fillRect/>
                    </a:stretch>
                  </pic:blipFill>
                  <pic:spPr>
                    <a:xfrm>
                      <a:off x="0" y="0"/>
                      <a:ext cx="5212080" cy="4030675"/>
                    </a:xfrm>
                    <a:prstGeom prst="rect"/>
                  </pic:spPr>
                </pic:pic>
              </a:graphicData>
            </a:graphic>
          </wp:inline>
        </w:drawing>
      </w:r>
    </w:p>
    <w:p>
      <w:pPr>
        <w:spacing w:after="160"/>
        <w:jc w:val="center"/>
      </w:pPr>
      <w:r>
        <w:rPr>
          <w:b/>
          <w:color w:val="1B365D"/>
          <w:sz w:val="19"/>
        </w:rPr>
        <w:t xml:space="preserve">Figure 6.3: </w:t>
      </w:r>
      <w:r>
        <w:rPr>
          <w:b/>
          <w:color w:val="465C7A"/>
          <w:sz w:val="19"/>
        </w:rPr>
        <w:t xml:space="preserve">Age Distribution Stratified by Income Category. </w:t>
      </w:r>
      <w:r>
        <w:rPr>
          <w:i/>
          <w:color w:val="6C757D"/>
          <w:sz w:val="18"/>
        </w:rPr>
        <w:t>Comparative density and violin plot revealing the 10-year median age shift between low earners (median 34) and high earners (median 44).</w:t>
      </w:r>
    </w:p>
    <w:p>
      <w:pPr>
        <w:pStyle w:val="Heading2"/>
        <w:keepNext/>
        <w:spacing w:before="260" w:after="80"/>
      </w:pPr>
      <w:r>
        <w:rPr>
          <w:rFonts w:ascii="Calibri" w:hAnsi="Calibri"/>
          <w:b/>
          <w:color w:val="465C7A"/>
          <w:sz w:val="26"/>
        </w:rPr>
        <w:t>6.4 Labor Supply and the 40-Hour Institutional Anchor</w:t>
      </w:r>
    </w:p>
    <w:p>
      <w:pPr>
        <w:spacing w:after="120" w:line="276" w:lineRule="auto"/>
      </w:pPr>
      <w:r>
        <w:rPr>
          <w:rFonts w:ascii="Calibri" w:hAnsi="Calibri"/>
          <w:color w:val="212529"/>
          <w:sz w:val="21"/>
        </w:rPr>
        <w:t>Figure 6.4 depicts reported weekly hours worked. The distribution is heavily leptokurtic, with an overwhelming spike at exactly 40 hours per week (15,204 individuals, or 46.73% of the entire sample), reflecting the Fair Labor Standards Act standard workweek. Despite this shared anchor, high earners work noticeably more hours on average: mean hours for &lt;=$50K workers is 38.84 hours (SD = 12.32, IQR = 5), whereas mean hours for &gt;$50K workers is 45.47 hours (SD = 11.01, IQR = 10). Low earners show substantial part-time concentration (&lt;40 hrs: 23.84%), while high earners show substantial overtime concentration (&gt;40 hrs: 29.43%).</w:t>
      </w:r>
    </w:p>
    <w:p>
      <w:pPr>
        <w:spacing w:before="160" w:after="60"/>
        <w:jc w:val="center"/>
      </w:pPr>
      <w:r>
        <w:drawing>
          <wp:inline xmlns:a="http://schemas.openxmlformats.org/drawingml/2006/main" xmlns:pic="http://schemas.openxmlformats.org/drawingml/2006/picture">
            <wp:extent cx="5212080" cy="4030675"/>
            <wp:docPr id="6" name="Picture 6"/>
            <wp:cNvGraphicFramePr>
              <a:graphicFrameLocks noChangeAspect="1"/>
            </wp:cNvGraphicFramePr>
            <a:graphic>
              <a:graphicData uri="http://schemas.openxmlformats.org/drawingml/2006/picture">
                <pic:pic>
                  <pic:nvPicPr>
                    <pic:cNvPr id="0" name="week2_08_hours_vs_income.png"/>
                    <pic:cNvPicPr/>
                  </pic:nvPicPr>
                  <pic:blipFill>
                    <a:blip r:embed="rId16"/>
                    <a:stretch>
                      <a:fillRect/>
                    </a:stretch>
                  </pic:blipFill>
                  <pic:spPr>
                    <a:xfrm>
                      <a:off x="0" y="0"/>
                      <a:ext cx="5212080" cy="4030675"/>
                    </a:xfrm>
                    <a:prstGeom prst="rect"/>
                  </pic:spPr>
                </pic:pic>
              </a:graphicData>
            </a:graphic>
          </wp:inline>
        </w:drawing>
      </w:r>
    </w:p>
    <w:p>
      <w:pPr>
        <w:spacing w:after="160"/>
        <w:jc w:val="center"/>
      </w:pPr>
      <w:r>
        <w:rPr>
          <w:b/>
          <w:color w:val="1B365D"/>
          <w:sz w:val="19"/>
        </w:rPr>
        <w:t xml:space="preserve">Figure 6.4: </w:t>
      </w:r>
      <w:r>
        <w:rPr>
          <w:b/>
          <w:color w:val="465C7A"/>
          <w:sz w:val="19"/>
        </w:rPr>
        <w:t xml:space="preserve">Weekly Working Hours Distribution by Income Category. </w:t>
      </w:r>
      <w:r>
        <w:rPr>
          <w:i/>
          <w:color w:val="6C757D"/>
          <w:sz w:val="18"/>
        </w:rPr>
        <w:t>Comparative histogram displaying the dominant 40-hour institutional peak alongside the substantial overtime shift among high earners.</w:t>
      </w:r>
    </w:p>
    <w:p>
      <w:pPr>
        <w:pStyle w:val="Heading2"/>
        <w:keepNext/>
        <w:spacing w:before="260" w:after="80"/>
      </w:pPr>
      <w:r>
        <w:rPr>
          <w:rFonts w:ascii="Calibri" w:hAnsi="Calibri"/>
          <w:b/>
          <w:color w:val="465C7A"/>
          <w:sz w:val="26"/>
        </w:rPr>
        <w:t>6.5 Continuous Correlation Matrix and Multivariable Lattice Conditioning</w:t>
      </w:r>
    </w:p>
    <w:p>
      <w:pPr>
        <w:spacing w:after="120" w:line="276" w:lineRule="auto"/>
      </w:pPr>
      <w:r>
        <w:rPr>
          <w:rFonts w:ascii="Calibri" w:hAnsi="Calibri"/>
          <w:color w:val="212529"/>
          <w:sz w:val="21"/>
        </w:rPr>
        <w:t>Figure 6.5 presents the correlation matrix across all six numerical variables. Linear bivariate associations are modest: the strongest observed correlation is between education_num and hours_per_week (r = +0.148), followed by age and hours_per_week (r = +0.069). Capital gains and capital losses exhibit virtually zero correlation with one another (r = -0.032) and with other metrics. This confirms that individual numerical attributes capture largely distinct dimensions of socioeconomic standing, indicating that multicollinearity among continuous features will not undermine subsequent multivariate regression models.</w:t>
      </w:r>
    </w:p>
    <w:p>
      <w:pPr>
        <w:spacing w:before="160" w:after="60"/>
        <w:jc w:val="center"/>
      </w:pPr>
      <w:r>
        <w:drawing>
          <wp:inline xmlns:a="http://schemas.openxmlformats.org/drawingml/2006/main" xmlns:pic="http://schemas.openxmlformats.org/drawingml/2006/picture">
            <wp:extent cx="5212080" cy="4039362"/>
            <wp:docPr id="7" name="Picture 7"/>
            <wp:cNvGraphicFramePr>
              <a:graphicFrameLocks noChangeAspect="1"/>
            </wp:cNvGraphicFramePr>
            <a:graphic>
              <a:graphicData uri="http://schemas.openxmlformats.org/drawingml/2006/picture">
                <pic:pic>
                  <pic:nvPicPr>
                    <pic:cNvPr id="0" name="week2_11_correlation_heatmap.png"/>
                    <pic:cNvPicPr/>
                  </pic:nvPicPr>
                  <pic:blipFill>
                    <a:blip r:embed="rId17"/>
                    <a:stretch>
                      <a:fillRect/>
                    </a:stretch>
                  </pic:blipFill>
                  <pic:spPr>
                    <a:xfrm>
                      <a:off x="0" y="0"/>
                      <a:ext cx="5212080" cy="4039362"/>
                    </a:xfrm>
                    <a:prstGeom prst="rect"/>
                  </pic:spPr>
                </pic:pic>
              </a:graphicData>
            </a:graphic>
          </wp:inline>
        </w:drawing>
      </w:r>
    </w:p>
    <w:p>
      <w:pPr>
        <w:spacing w:after="160"/>
        <w:jc w:val="center"/>
      </w:pPr>
      <w:r>
        <w:rPr>
          <w:b/>
          <w:color w:val="1B365D"/>
          <w:sz w:val="19"/>
        </w:rPr>
        <w:t xml:space="preserve">Figure 6.5: </w:t>
      </w:r>
      <w:r>
        <w:rPr>
          <w:b/>
          <w:color w:val="465C7A"/>
          <w:sz w:val="19"/>
        </w:rPr>
        <w:t xml:space="preserve">Pearson Correlation Heatmap Across Numerical Features. </w:t>
      </w:r>
      <w:r>
        <w:rPr>
          <w:i/>
          <w:color w:val="6C757D"/>
          <w:sz w:val="18"/>
        </w:rPr>
        <w:t>Correlation matrix demonstrating low linear collinearity among numerical features, with education and hours showing the strongest relationship (r = 0.15).</w:t>
      </w:r>
    </w:p>
    <w:p>
      <w:pPr>
        <w:spacing w:after="120" w:line="276" w:lineRule="auto"/>
      </w:pPr>
      <w:r>
        <w:rPr>
          <w:rFonts w:ascii="Calibri" w:hAnsi="Calibri"/>
          <w:color w:val="212529"/>
          <w:sz w:val="21"/>
        </w:rPr>
        <w:t>Figure 6.6 explores conditional interactions via a multi-panel Trellis/Lattice display in R/08_week2_visualizations.R. Conditioning on sex and income category simultaneously demonstrates that while the age-hours relationship follows a similar quadratic trajectory for both men and women, female workers face a tighter hours-to-earnings penalty, requiring longer weekly hours across older age brackets to attain high-income parity. This visual finding directly informed the inclusion of interaction effects and demographic controls in Week 3 modeling.</w:t>
      </w:r>
    </w:p>
    <w:p>
      <w:pPr>
        <w:spacing w:before="160" w:after="60"/>
        <w:jc w:val="center"/>
      </w:pPr>
      <w:r>
        <w:drawing>
          <wp:inline xmlns:a="http://schemas.openxmlformats.org/drawingml/2006/main" xmlns:pic="http://schemas.openxmlformats.org/drawingml/2006/picture">
            <wp:extent cx="5212080" cy="3474720"/>
            <wp:docPr id="8" name="Picture 8"/>
            <wp:cNvGraphicFramePr>
              <a:graphicFrameLocks noChangeAspect="1"/>
            </wp:cNvGraphicFramePr>
            <a:graphic>
              <a:graphicData uri="http://schemas.openxmlformats.org/drawingml/2006/picture">
                <pic:pic>
                  <pic:nvPicPr>
                    <pic:cNvPr id="0" name="week2_14_lattice_age_hours_income.png"/>
                    <pic:cNvPicPr/>
                  </pic:nvPicPr>
                  <pic:blipFill>
                    <a:blip r:embed="rId18"/>
                    <a:stretch>
                      <a:fillRect/>
                    </a:stretch>
                  </pic:blipFill>
                  <pic:spPr>
                    <a:xfrm>
                      <a:off x="0" y="0"/>
                      <a:ext cx="5212080" cy="3474720"/>
                    </a:xfrm>
                    <a:prstGeom prst="rect"/>
                  </pic:spPr>
                </pic:pic>
              </a:graphicData>
            </a:graphic>
          </wp:inline>
        </w:drawing>
      </w:r>
    </w:p>
    <w:p>
      <w:pPr>
        <w:spacing w:after="160"/>
        <w:jc w:val="center"/>
      </w:pPr>
      <w:r>
        <w:rPr>
          <w:b/>
          <w:color w:val="1B365D"/>
          <w:sz w:val="19"/>
        </w:rPr>
        <w:t xml:space="preserve">Figure 6.6: </w:t>
      </w:r>
      <w:r>
        <w:rPr>
          <w:b/>
          <w:color w:val="465C7A"/>
          <w:sz w:val="19"/>
        </w:rPr>
        <w:t xml:space="preserve">Lattice Conditioning: Age vs. Hours Worked Stratified by Sex and Income. </w:t>
      </w:r>
      <w:r>
        <w:rPr>
          <w:i/>
          <w:color w:val="6C757D"/>
          <w:sz w:val="18"/>
        </w:rPr>
        <w:t>Four-panel Trellis scatter plot conditioning age and working hours across male/female and low/high income cohorts.</w:t>
      </w:r>
    </w:p>
    <w:p>
      <w:pPr>
        <w:pStyle w:val="Heading1"/>
        <w:keepNext/>
        <w:spacing w:before="360" w:after="120"/>
      </w:pPr>
      <w:r>
        <w:rPr>
          <w:rFonts w:ascii="Calibri" w:hAnsi="Calibri"/>
          <w:b/>
          <w:color w:val="1B365D"/>
          <w:sz w:val="32"/>
        </w:rPr>
        <w:t>Section 7 — Week 3: Statistical Analysis and Hypothesis Testing</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40" w:type="dxa"/>
            </w:tcMar>
            <w:tcBorders>
              <w:top w:val="none"/>
              <w:bottom w:val="none"/>
              <w:right w:val="none"/>
              <w:left w:val="single" w:sz="36" w:space="0" w:color="1B365D"/>
            </w:tcBorders>
          </w:tcPr>
          <w:p>
            <w:pPr>
              <w:spacing w:after="40"/>
            </w:pPr>
            <w:r>
              <w:rPr>
                <w:rFonts w:ascii="Calibri" w:hAnsi="Calibri"/>
                <w:b/>
                <w:color w:val="1B365D"/>
                <w:sz w:val="19"/>
              </w:rPr>
              <w:t xml:space="preserve">[HYPOTHESIS TESTING REGISTRY AUDIT &amp; VERIFICATION] </w:t>
            </w:r>
            <w:r>
              <w:rPr>
                <w:rFonts w:ascii="Calibri" w:hAnsi="Calibri"/>
                <w:color w:val="212529"/>
                <w:sz w:val="19"/>
              </w:rPr>
              <w:t>VERIFICATION OF HYPOTHESIS TESTING SUITE: The battery of hypothesis tests formally executed in R/10_week3_statistical_analysis.R and recorded in outputs/week3_statistics/hypothesis_tests.csv comprises exactly eight verified tests across five research questions (RQ1, RQ2a, RQ2b, RQ3a, RQ3b, RQ4a, RQ4b, and RQ5). Paired parametric and non-parametric tests were evaluated for age and weekly hours. While informal project summaries occasionally mentioned 'nine tests' (conflating the auxiliary Spearman rank correlation matrix with a distinct test row), an exhaustive audit of the master test registry confirms that exactly eight hypothesis tests were formally specified, run, and recorded.</w:t>
            </w:r>
          </w:p>
        </w:tc>
      </w:tr>
    </w:tbl>
    <w:p>
      <w:pPr>
        <w:spacing w:after="80"/>
      </w:pPr>
    </w:p>
    <w:p>
      <w:pPr>
        <w:spacing w:after="120" w:line="276" w:lineRule="auto"/>
      </w:pPr>
      <w:r>
        <w:rPr>
          <w:rFonts w:ascii="Calibri" w:hAnsi="Calibri"/>
          <w:color w:val="212529"/>
          <w:sz w:val="21"/>
        </w:rPr>
        <w:t>Week 3 applied formal inferential statistics to evaluate the exploratory hypotheses generated in Week 2. To guard against Type I error inflation arising from multiple simultaneous tests, both family-wise Bonferroni adjustments and Benjamini-Hochberg False Discovery Rate (FDR) corrections were applied across all tests at a family-wise alpha = 0.05. Furthermore, because the large sample size (N = 32,537) yields statistical power capable of detecting negligible differences, standardized effect sizes (Cramer's V, Cohen's d, Rank-Biserial r, Pearson's r) were computed to evaluate practical significance.</w:t>
      </w:r>
    </w:p>
    <w:p>
      <w:pPr>
        <w:pStyle w:val="Heading2"/>
        <w:keepNext/>
        <w:spacing w:before="260" w:after="80"/>
      </w:pPr>
      <w:r>
        <w:rPr>
          <w:rFonts w:ascii="Calibri" w:hAnsi="Calibri"/>
          <w:b/>
          <w:color w:val="465C7A"/>
          <w:sz w:val="26"/>
        </w:rPr>
        <w:t>7.1 Detailed Review of the Eight Verified Hypothesis Tests</w:t>
      </w:r>
    </w:p>
    <w:p>
      <w:pPr>
        <w:pStyle w:val="Heading3"/>
        <w:keepNext/>
        <w:spacing w:before="180" w:after="60"/>
      </w:pPr>
      <w:r>
        <w:rPr>
          <w:rFonts w:ascii="Calibri" w:hAnsi="Calibri"/>
          <w:b/>
          <w:color w:val="2980B9"/>
          <w:sz w:val="22"/>
        </w:rPr>
        <w:t>RQ1: Educational Attainment vs. Income Category</w:t>
      </w:r>
    </w:p>
    <w:p>
      <w:pPr>
        <w:spacing w:after="120" w:line="276" w:lineRule="auto"/>
      </w:pPr>
      <w:r>
        <w:rPr>
          <w:rFonts w:ascii="Calibri" w:hAnsi="Calibri"/>
          <w:b/>
          <w:color w:val="212529"/>
          <w:sz w:val="21"/>
        </w:rPr>
        <w:t xml:space="preserve">Hypotheses: </w:t>
      </w:r>
      <w:r>
        <w:rPr>
          <w:rFonts w:ascii="Calibri" w:hAnsi="Calibri"/>
          <w:color w:val="212529"/>
          <w:sz w:val="21"/>
        </w:rPr>
        <w:t>H0: Educational attainment and income category are independent.</w:t>
        <w:br/>
        <w:t>H1: Educational attainment and income category are statistically associated.</w:t>
      </w:r>
    </w:p>
    <w:p>
      <w:pPr>
        <w:spacing w:after="120" w:line="276" w:lineRule="auto"/>
      </w:pPr>
      <w:r>
        <w:rPr>
          <w:rFonts w:ascii="Calibri" w:hAnsi="Calibri"/>
          <w:b/>
          <w:color w:val="212529"/>
          <w:sz w:val="21"/>
        </w:rPr>
        <w:t xml:space="preserve">Statistical Output: </w:t>
      </w:r>
      <w:r>
        <w:rPr>
          <w:rFonts w:ascii="Calibri" w:hAnsi="Calibri"/>
          <w:color w:val="212529"/>
          <w:sz w:val="21"/>
        </w:rPr>
        <w:t>Pearson's Chi-Square Test of Independence (df = 15) | Chi-Square = 4428.40, df = 15, Raw p &lt; 0.0001, Bonferroni p &lt; 0.0001, BH FDR p &lt; 0.0001</w:t>
      </w:r>
    </w:p>
    <w:p>
      <w:pPr>
        <w:spacing w:after="120" w:line="276" w:lineRule="auto"/>
      </w:pPr>
      <w:r>
        <w:rPr>
          <w:rFonts w:ascii="Calibri" w:hAnsi="Calibri"/>
          <w:b/>
          <w:color w:val="212529"/>
          <w:sz w:val="21"/>
        </w:rPr>
        <w:t xml:space="preserve">Effect Size Metric: </w:t>
      </w:r>
      <w:r>
        <w:rPr>
          <w:rFonts w:ascii="Calibri" w:hAnsi="Calibri"/>
          <w:color w:val="212529"/>
          <w:sz w:val="21"/>
        </w:rPr>
        <w:t>Cramer's V = 0.3689 (Moderate-to-strong association)</w:t>
      </w:r>
    </w:p>
    <w:p>
      <w:pPr>
        <w:spacing w:after="120" w:line="276" w:lineRule="auto"/>
      </w:pPr>
      <w:r>
        <w:rPr>
          <w:rFonts w:ascii="Calibri" w:hAnsi="Calibri"/>
          <w:b/>
          <w:color w:val="212529"/>
          <w:sz w:val="21"/>
        </w:rPr>
        <w:t xml:space="preserve">Assumption Check: </w:t>
      </w:r>
      <w:r>
        <w:rPr>
          <w:rFonts w:ascii="Calibri" w:hAnsi="Calibri"/>
          <w:color w:val="212529"/>
          <w:sz w:val="21"/>
        </w:rPr>
        <w:t>Cochran rule satisfied: Minimum expected cell count was 12.0; 0% of cells had expected count &lt; 5.</w:t>
      </w:r>
    </w:p>
    <w:p>
      <w:pPr>
        <w:spacing w:after="120" w:line="276" w:lineRule="auto"/>
      </w:pPr>
      <w:r>
        <w:rPr>
          <w:rFonts w:ascii="Calibri" w:hAnsi="Calibri"/>
          <w:b/>
          <w:color w:val="212529"/>
          <w:sz w:val="21"/>
        </w:rPr>
        <w:t xml:space="preserve">Inference Decision: </w:t>
      </w:r>
      <w:r>
        <w:rPr>
          <w:rFonts w:ascii="Calibri" w:hAnsi="Calibri"/>
          <w:color w:val="212529"/>
          <w:sz w:val="21"/>
        </w:rPr>
        <w:t>Reject H0. Educational attainment exhibits a highly significant, substantive association with income. Higher educational credentials substantially shift individuals into the &gt;$50K bracket.</w:t>
      </w:r>
    </w:p>
    <w:p>
      <w:pPr>
        <w:pStyle w:val="Heading3"/>
        <w:keepNext/>
        <w:spacing w:before="180" w:after="60"/>
      </w:pPr>
      <w:r>
        <w:rPr>
          <w:rFonts w:ascii="Calibri" w:hAnsi="Calibri"/>
          <w:b/>
          <w:color w:val="2980B9"/>
          <w:sz w:val="22"/>
        </w:rPr>
        <w:t>RQ2a: Parametric Mean Age Divergence by Income Group</w:t>
      </w:r>
    </w:p>
    <w:p>
      <w:pPr>
        <w:spacing w:after="120" w:line="276" w:lineRule="auto"/>
      </w:pPr>
      <w:r>
        <w:rPr>
          <w:rFonts w:ascii="Calibri" w:hAnsi="Calibri"/>
          <w:b/>
          <w:color w:val="212529"/>
          <w:sz w:val="21"/>
        </w:rPr>
        <w:t xml:space="preserve">Hypotheses: </w:t>
      </w:r>
      <w:r>
        <w:rPr>
          <w:rFonts w:ascii="Calibri" w:hAnsi="Calibri"/>
          <w:color w:val="212529"/>
          <w:sz w:val="21"/>
        </w:rPr>
        <w:t>H0: Mean age &lt;=$50K equals mean age &gt;$50K (mu1 = mu2).</w:t>
        <w:br/>
        <w:t>H1: Mean age differs significantly between income groups (mu1 != mu2).</w:t>
      </w:r>
    </w:p>
    <w:p>
      <w:pPr>
        <w:spacing w:after="120" w:line="276" w:lineRule="auto"/>
      </w:pPr>
      <w:r>
        <w:rPr>
          <w:rFonts w:ascii="Calibri" w:hAnsi="Calibri"/>
          <w:b/>
          <w:color w:val="212529"/>
          <w:sz w:val="21"/>
        </w:rPr>
        <w:t xml:space="preserve">Statistical Output: </w:t>
      </w:r>
      <w:r>
        <w:rPr>
          <w:rFonts w:ascii="Calibri" w:hAnsi="Calibri"/>
          <w:color w:val="212529"/>
          <w:sz w:val="21"/>
        </w:rPr>
        <w:t>Welch's Two-Sample t-test (unequal variances, df = 17,406.1) | t = 50.24, df = 17406.1, Raw p &lt; 0.0001, Bonferroni p &lt; 0.0001, BH FDR p &lt; 0.0001</w:t>
      </w:r>
    </w:p>
    <w:p>
      <w:pPr>
        <w:spacing w:after="120" w:line="276" w:lineRule="auto"/>
      </w:pPr>
      <w:r>
        <w:rPr>
          <w:rFonts w:ascii="Calibri" w:hAnsi="Calibri"/>
          <w:b/>
          <w:color w:val="212529"/>
          <w:sz w:val="21"/>
        </w:rPr>
        <w:t xml:space="preserve">Effect Size Metric: </w:t>
      </w:r>
      <w:r>
        <w:rPr>
          <w:rFonts w:ascii="Calibri" w:hAnsi="Calibri"/>
          <w:color w:val="212529"/>
          <w:sz w:val="21"/>
        </w:rPr>
        <w:t>Cohen's d = 0.5629 (Moderate-to-large effect size)</w:t>
      </w:r>
    </w:p>
    <w:p>
      <w:pPr>
        <w:spacing w:after="120" w:line="276" w:lineRule="auto"/>
      </w:pPr>
      <w:r>
        <w:rPr>
          <w:rFonts w:ascii="Calibri" w:hAnsi="Calibri"/>
          <w:b/>
          <w:color w:val="212529"/>
          <w:sz w:val="21"/>
        </w:rPr>
        <w:t xml:space="preserve">Assumption Check: </w:t>
      </w:r>
      <w:r>
        <w:rPr>
          <w:rFonts w:ascii="Calibri" w:hAnsi="Calibri"/>
          <w:color w:val="212529"/>
          <w:sz w:val="21"/>
        </w:rPr>
        <w:t>Mild right-skewness (+0.56); robust by Central Limit Theorem (N = 32,537). Welch correction protects against heteroscedasticity.</w:t>
      </w:r>
    </w:p>
    <w:p>
      <w:pPr>
        <w:spacing w:after="120" w:line="276" w:lineRule="auto"/>
      </w:pPr>
      <w:r>
        <w:rPr>
          <w:rFonts w:ascii="Calibri" w:hAnsi="Calibri"/>
          <w:b/>
          <w:color w:val="212529"/>
          <w:sz w:val="21"/>
        </w:rPr>
        <w:t xml:space="preserve">Inference Decision: </w:t>
      </w:r>
      <w:r>
        <w:rPr>
          <w:rFonts w:ascii="Calibri" w:hAnsi="Calibri"/>
          <w:color w:val="212529"/>
          <w:sz w:val="21"/>
        </w:rPr>
        <w:t>Reject H0. High earners are significantly older on average (44.25 yrs, SD = 10.52 vs. 36.79 yrs, SD = 14.02), reflecting an average career progression gap of 7.46 years.</w:t>
      </w:r>
    </w:p>
    <w:p>
      <w:pPr>
        <w:pStyle w:val="Heading3"/>
        <w:keepNext/>
        <w:spacing w:before="180" w:after="60"/>
      </w:pPr>
      <w:r>
        <w:rPr>
          <w:rFonts w:ascii="Calibri" w:hAnsi="Calibri"/>
          <w:b/>
          <w:color w:val="2980B9"/>
          <w:sz w:val="22"/>
        </w:rPr>
        <w:t>RQ2b: Non-Parametric Age Median Shift by Income Group</w:t>
      </w:r>
    </w:p>
    <w:p>
      <w:pPr>
        <w:spacing w:after="120" w:line="276" w:lineRule="auto"/>
      </w:pPr>
      <w:r>
        <w:rPr>
          <w:rFonts w:ascii="Calibri" w:hAnsi="Calibri"/>
          <w:b/>
          <w:color w:val="212529"/>
          <w:sz w:val="21"/>
        </w:rPr>
        <w:t xml:space="preserve">Hypotheses: </w:t>
      </w:r>
      <w:r>
        <w:rPr>
          <w:rFonts w:ascii="Calibri" w:hAnsi="Calibri"/>
          <w:color w:val="212529"/>
          <w:sz w:val="21"/>
        </w:rPr>
        <w:t>H0: The age distribution median is identical between income groups.</w:t>
        <w:br/>
        <w:t>H1: The age distribution is systematically shifted higher for &gt;$50K earners.</w:t>
      </w:r>
    </w:p>
    <w:p>
      <w:pPr>
        <w:spacing w:after="120" w:line="276" w:lineRule="auto"/>
      </w:pPr>
      <w:r>
        <w:rPr>
          <w:rFonts w:ascii="Calibri" w:hAnsi="Calibri"/>
          <w:b/>
          <w:color w:val="212529"/>
          <w:sz w:val="21"/>
        </w:rPr>
        <w:t xml:space="preserve">Statistical Output: </w:t>
      </w:r>
      <w:r>
        <w:rPr>
          <w:rFonts w:ascii="Calibri" w:hAnsi="Calibri"/>
          <w:color w:val="212529"/>
          <w:sz w:val="21"/>
        </w:rPr>
        <w:t>Wilcoxon Rank-Sum Test (Mann-Whitney U) | W = 132,460,134, Raw p &lt; 0.0001, Bonferroni p &lt; 0.0001, BH FDR p &lt; 0.0001</w:t>
      </w:r>
    </w:p>
    <w:p>
      <w:pPr>
        <w:spacing w:after="120" w:line="276" w:lineRule="auto"/>
      </w:pPr>
      <w:r>
        <w:rPr>
          <w:rFonts w:ascii="Calibri" w:hAnsi="Calibri"/>
          <w:b/>
          <w:color w:val="212529"/>
          <w:sz w:val="21"/>
        </w:rPr>
        <w:t xml:space="preserve">Effect Size Metric: </w:t>
      </w:r>
      <w:r>
        <w:rPr>
          <w:rFonts w:ascii="Calibri" w:hAnsi="Calibri"/>
          <w:color w:val="212529"/>
          <w:sz w:val="21"/>
        </w:rPr>
        <w:t>Rank-Biserial r = 0.3683 (Moderate non-parametric shift)</w:t>
      </w:r>
    </w:p>
    <w:p>
      <w:pPr>
        <w:spacing w:after="120" w:line="276" w:lineRule="auto"/>
      </w:pPr>
      <w:r>
        <w:rPr>
          <w:rFonts w:ascii="Calibri" w:hAnsi="Calibri"/>
          <w:b/>
          <w:color w:val="212529"/>
          <w:sz w:val="21"/>
        </w:rPr>
        <w:t xml:space="preserve">Assumption Check: </w:t>
      </w:r>
      <w:r>
        <w:rPr>
          <w:rFonts w:ascii="Calibri" w:hAnsi="Calibri"/>
          <w:color w:val="212529"/>
          <w:sz w:val="21"/>
        </w:rPr>
        <w:t>Ordinal ranking assumption met; normal approximation applied due to tied ages across 32,537 observations.</w:t>
      </w:r>
    </w:p>
    <w:p>
      <w:pPr>
        <w:spacing w:after="120" w:line="276" w:lineRule="auto"/>
      </w:pPr>
      <w:r>
        <w:rPr>
          <w:rFonts w:ascii="Calibri" w:hAnsi="Calibri"/>
          <w:b/>
          <w:color w:val="212529"/>
          <w:sz w:val="21"/>
        </w:rPr>
        <w:t xml:space="preserve">Inference Decision: </w:t>
      </w:r>
      <w:r>
        <w:rPr>
          <w:rFonts w:ascii="Calibri" w:hAnsi="Calibri"/>
          <w:color w:val="212529"/>
          <w:sz w:val="21"/>
        </w:rPr>
        <w:t>Reject H0. Confirms RQ2a non-parametrically: the median age of high earners (44 years, IQR = 15) is significantly greater than low earners (34 years, IQR = 21).</w:t>
      </w:r>
    </w:p>
    <w:p>
      <w:pPr>
        <w:pStyle w:val="Heading3"/>
        <w:keepNext/>
        <w:spacing w:before="180" w:after="60"/>
      </w:pPr>
      <w:r>
        <w:rPr>
          <w:rFonts w:ascii="Calibri" w:hAnsi="Calibri"/>
          <w:b/>
          <w:color w:val="2980B9"/>
          <w:sz w:val="22"/>
        </w:rPr>
        <w:t>RQ3a: Parametric Mean Weekly Hours by Income Group</w:t>
      </w:r>
    </w:p>
    <w:p>
      <w:pPr>
        <w:spacing w:after="120" w:line="276" w:lineRule="auto"/>
      </w:pPr>
      <w:r>
        <w:rPr>
          <w:rFonts w:ascii="Calibri" w:hAnsi="Calibri"/>
          <w:b/>
          <w:color w:val="212529"/>
          <w:sz w:val="21"/>
        </w:rPr>
        <w:t xml:space="preserve">Hypotheses: </w:t>
      </w:r>
      <w:r>
        <w:rPr>
          <w:rFonts w:ascii="Calibri" w:hAnsi="Calibri"/>
          <w:color w:val="212529"/>
          <w:sz w:val="21"/>
        </w:rPr>
        <w:t>H0: Mean weekly hours &lt;=$50K equals mean weekly hours &gt;$50K (mu1 = mu2).</w:t>
        <w:br/>
        <w:t>H1: Mean weekly hours differs between income groups (mu1 != mu2).</w:t>
      </w:r>
    </w:p>
    <w:p>
      <w:pPr>
        <w:spacing w:after="120" w:line="276" w:lineRule="auto"/>
      </w:pPr>
      <w:r>
        <w:rPr>
          <w:rFonts w:ascii="Calibri" w:hAnsi="Calibri"/>
          <w:b/>
          <w:color w:val="212529"/>
          <w:sz w:val="21"/>
        </w:rPr>
        <w:t xml:space="preserve">Statistical Output: </w:t>
      </w:r>
      <w:r>
        <w:rPr>
          <w:rFonts w:ascii="Calibri" w:hAnsi="Calibri"/>
          <w:color w:val="212529"/>
          <w:sz w:val="21"/>
        </w:rPr>
        <w:t>Welch's Two-Sample t-test (unequal variances, df = 14,568.1) | t = 45.10, df = 14568.1, Raw p &lt; 0.0001, Bonferroni p &lt; 0.0001, BH FDR p &lt; 0.0001</w:t>
      </w:r>
    </w:p>
    <w:p>
      <w:pPr>
        <w:spacing w:after="120" w:line="276" w:lineRule="auto"/>
      </w:pPr>
      <w:r>
        <w:rPr>
          <w:rFonts w:ascii="Calibri" w:hAnsi="Calibri"/>
          <w:b/>
          <w:color w:val="212529"/>
          <w:sz w:val="21"/>
        </w:rPr>
        <w:t xml:space="preserve">Effect Size Metric: </w:t>
      </w:r>
      <w:r>
        <w:rPr>
          <w:rFonts w:ascii="Calibri" w:hAnsi="Calibri"/>
          <w:color w:val="212529"/>
          <w:sz w:val="21"/>
        </w:rPr>
        <w:t>Cohen's d = 0.5518 (Moderate effect size)</w:t>
      </w:r>
    </w:p>
    <w:p>
      <w:pPr>
        <w:spacing w:after="120" w:line="276" w:lineRule="auto"/>
      </w:pPr>
      <w:r>
        <w:rPr>
          <w:rFonts w:ascii="Calibri" w:hAnsi="Calibri"/>
          <w:b/>
          <w:color w:val="212529"/>
          <w:sz w:val="21"/>
        </w:rPr>
        <w:t xml:space="preserve">Assumption Check: </w:t>
      </w:r>
      <w:r>
        <w:rPr>
          <w:rFonts w:ascii="Calibri" w:hAnsi="Calibri"/>
          <w:color w:val="212529"/>
          <w:sz w:val="21"/>
        </w:rPr>
        <w:t>Leptokurtic distribution peaked at 40 hours; Central Limit Theorem guarantees normal sampling distribution given large N.</w:t>
      </w:r>
    </w:p>
    <w:p>
      <w:pPr>
        <w:spacing w:after="120" w:line="276" w:lineRule="auto"/>
      </w:pPr>
      <w:r>
        <w:rPr>
          <w:rFonts w:ascii="Calibri" w:hAnsi="Calibri"/>
          <w:b/>
          <w:color w:val="212529"/>
          <w:sz w:val="21"/>
        </w:rPr>
        <w:t xml:space="preserve">Inference Decision: </w:t>
      </w:r>
      <w:r>
        <w:rPr>
          <w:rFonts w:ascii="Calibri" w:hAnsi="Calibri"/>
          <w:color w:val="212529"/>
          <w:sz w:val="21"/>
        </w:rPr>
        <w:t>Reject H0. High earners work significantly more hours per week on average (45.47 hrs, SD = 11.01 vs. 38.84 hrs, SD = 12.32), a practical difference of 6.63 hours weekly.</w:t>
      </w:r>
    </w:p>
    <w:p>
      <w:pPr>
        <w:pStyle w:val="Heading3"/>
        <w:keepNext/>
        <w:spacing w:before="180" w:after="60"/>
      </w:pPr>
      <w:r>
        <w:rPr>
          <w:rFonts w:ascii="Calibri" w:hAnsi="Calibri"/>
          <w:b/>
          <w:color w:val="2980B9"/>
          <w:sz w:val="22"/>
        </w:rPr>
        <w:t>RQ3b: Non-Parametric Weekly Hours Rank Distribution Shift</w:t>
      </w:r>
    </w:p>
    <w:p>
      <w:pPr>
        <w:spacing w:after="120" w:line="276" w:lineRule="auto"/>
      </w:pPr>
      <w:r>
        <w:rPr>
          <w:rFonts w:ascii="Calibri" w:hAnsi="Calibri"/>
          <w:b/>
          <w:color w:val="212529"/>
          <w:sz w:val="21"/>
        </w:rPr>
        <w:t xml:space="preserve">Hypotheses: </w:t>
      </w:r>
      <w:r>
        <w:rPr>
          <w:rFonts w:ascii="Calibri" w:hAnsi="Calibri"/>
          <w:color w:val="212529"/>
          <w:sz w:val="21"/>
        </w:rPr>
        <w:t>H0: The median and rank distribution of hours are identical across income groups.</w:t>
        <w:br/>
        <w:t>H1: The hours rank distribution is shifted higher in the &gt;$50K group.</w:t>
      </w:r>
    </w:p>
    <w:p>
      <w:pPr>
        <w:spacing w:after="120" w:line="276" w:lineRule="auto"/>
      </w:pPr>
      <w:r>
        <w:rPr>
          <w:rFonts w:ascii="Calibri" w:hAnsi="Calibri"/>
          <w:b/>
          <w:color w:val="212529"/>
          <w:sz w:val="21"/>
        </w:rPr>
        <w:t xml:space="preserve">Statistical Output: </w:t>
      </w:r>
      <w:r>
        <w:rPr>
          <w:rFonts w:ascii="Calibri" w:hAnsi="Calibri"/>
          <w:color w:val="212529"/>
          <w:sz w:val="21"/>
        </w:rPr>
        <w:t>Wilcoxon Rank-Sum Test (Mann-Whitney U) | W = 130,106,291.5, Raw p &lt; 0.0001, Bonferroni p &lt; 0.0001, BH FDR p &lt; 0.0001</w:t>
      </w:r>
    </w:p>
    <w:p>
      <w:pPr>
        <w:spacing w:after="120" w:line="276" w:lineRule="auto"/>
      </w:pPr>
      <w:r>
        <w:rPr>
          <w:rFonts w:ascii="Calibri" w:hAnsi="Calibri"/>
          <w:b/>
          <w:color w:val="212529"/>
          <w:sz w:val="21"/>
        </w:rPr>
        <w:t xml:space="preserve">Effect Size Metric: </w:t>
      </w:r>
      <w:r>
        <w:rPr>
          <w:rFonts w:ascii="Calibri" w:hAnsi="Calibri"/>
          <w:color w:val="212529"/>
          <w:sz w:val="21"/>
        </w:rPr>
        <w:t>Rank-Biserial r = 0.3440 (Moderate non-parametric shift)</w:t>
      </w:r>
    </w:p>
    <w:p>
      <w:pPr>
        <w:spacing w:after="120" w:line="276" w:lineRule="auto"/>
      </w:pPr>
      <w:r>
        <w:rPr>
          <w:rFonts w:ascii="Calibri" w:hAnsi="Calibri"/>
          <w:b/>
          <w:color w:val="212529"/>
          <w:sz w:val="21"/>
        </w:rPr>
        <w:t xml:space="preserve">Assumption Check: </w:t>
      </w:r>
      <w:r>
        <w:rPr>
          <w:rFonts w:ascii="Calibri" w:hAnsi="Calibri"/>
          <w:color w:val="212529"/>
          <w:sz w:val="21"/>
        </w:rPr>
        <w:t>Heavy spike at 40 hours produces tied ranks; handled via asymptotic normal approximation.</w:t>
      </w:r>
    </w:p>
    <w:p>
      <w:pPr>
        <w:spacing w:after="120" w:line="276" w:lineRule="auto"/>
      </w:pPr>
      <w:r>
        <w:rPr>
          <w:rFonts w:ascii="Calibri" w:hAnsi="Calibri"/>
          <w:b/>
          <w:color w:val="212529"/>
          <w:sz w:val="21"/>
        </w:rPr>
        <w:t xml:space="preserve">Inference Decision: </w:t>
      </w:r>
      <w:r>
        <w:rPr>
          <w:rFonts w:ascii="Calibri" w:hAnsi="Calibri"/>
          <w:color w:val="212529"/>
          <w:sz w:val="21"/>
        </w:rPr>
        <w:t>Reject H0. Confirms RQ3a non-parametrically: working hours of high earners rank significantly higher than low earners, even when medians coincide at 40 hours due to the legal standard workweek.</w:t>
      </w:r>
    </w:p>
    <w:p>
      <w:pPr>
        <w:pStyle w:val="Heading3"/>
        <w:keepNext/>
        <w:spacing w:before="180" w:after="60"/>
      </w:pPr>
      <w:r>
        <w:rPr>
          <w:rFonts w:ascii="Calibri" w:hAnsi="Calibri"/>
          <w:b/>
          <w:color w:val="2980B9"/>
          <w:sz w:val="22"/>
        </w:rPr>
        <w:t>RQ4a: Employment Sector (Workclass) vs. Income Category</w:t>
      </w:r>
    </w:p>
    <w:p>
      <w:pPr>
        <w:spacing w:after="120" w:line="276" w:lineRule="auto"/>
      </w:pPr>
      <w:r>
        <w:rPr>
          <w:rFonts w:ascii="Calibri" w:hAnsi="Calibri"/>
          <w:b/>
          <w:color w:val="212529"/>
          <w:sz w:val="21"/>
        </w:rPr>
        <w:t xml:space="preserve">Hypotheses: </w:t>
      </w:r>
      <w:r>
        <w:rPr>
          <w:rFonts w:ascii="Calibri" w:hAnsi="Calibri"/>
          <w:color w:val="212529"/>
          <w:sz w:val="21"/>
        </w:rPr>
        <w:t>H0: Workclass sector and income category are independent.</w:t>
        <w:br/>
        <w:t>H1: Workclass sector and income category are statistically associated.</w:t>
      </w:r>
    </w:p>
    <w:p>
      <w:pPr>
        <w:spacing w:after="120" w:line="276" w:lineRule="auto"/>
      </w:pPr>
      <w:r>
        <w:rPr>
          <w:rFonts w:ascii="Calibri" w:hAnsi="Calibri"/>
          <w:b/>
          <w:color w:val="212529"/>
          <w:sz w:val="21"/>
        </w:rPr>
        <w:t xml:space="preserve">Statistical Output: </w:t>
      </w:r>
      <w:r>
        <w:rPr>
          <w:rFonts w:ascii="Calibri" w:hAnsi="Calibri"/>
          <w:color w:val="212529"/>
          <w:sz w:val="21"/>
        </w:rPr>
        <w:t>Pearson's Chi-Square Test of Independence (df = 7) | Chi-Square = 922.35, df = 7, Raw p = 7.16e-195, Bonferroni p = 5.73e-194, BH FDR p = 8.18e-195</w:t>
      </w:r>
    </w:p>
    <w:p>
      <w:pPr>
        <w:spacing w:after="120" w:line="276" w:lineRule="auto"/>
      </w:pPr>
      <w:r>
        <w:rPr>
          <w:rFonts w:ascii="Calibri" w:hAnsi="Calibri"/>
          <w:b/>
          <w:color w:val="212529"/>
          <w:sz w:val="21"/>
        </w:rPr>
        <w:t xml:space="preserve">Effect Size Metric: </w:t>
      </w:r>
      <w:r>
        <w:rPr>
          <w:rFonts w:ascii="Calibri" w:hAnsi="Calibri"/>
          <w:color w:val="212529"/>
          <w:sz w:val="21"/>
        </w:rPr>
        <w:t>Cramer's V = 0.1684 (Modest effect size)</w:t>
      </w:r>
    </w:p>
    <w:p>
      <w:pPr>
        <w:spacing w:after="120" w:line="276" w:lineRule="auto"/>
      </w:pPr>
      <w:r>
        <w:rPr>
          <w:rFonts w:ascii="Calibri" w:hAnsi="Calibri"/>
          <w:b/>
          <w:color w:val="212529"/>
          <w:sz w:val="21"/>
        </w:rPr>
        <w:t xml:space="preserve">Assumption Check: </w:t>
      </w:r>
      <w:r>
        <w:rPr>
          <w:rFonts w:ascii="Calibri" w:hAnsi="Calibri"/>
          <w:color w:val="212529"/>
          <w:sz w:val="21"/>
        </w:rPr>
        <w:t>Min expected count = 1.69 (Without-pay/Never-worked &lt; 5 in 12.5% of cells); chi-square asymptotically robust due to large N = 32,537.</w:t>
      </w:r>
    </w:p>
    <w:p>
      <w:pPr>
        <w:spacing w:after="120" w:line="276" w:lineRule="auto"/>
      </w:pPr>
      <w:r>
        <w:rPr>
          <w:rFonts w:ascii="Calibri" w:hAnsi="Calibri"/>
          <w:b/>
          <w:color w:val="212529"/>
          <w:sz w:val="21"/>
        </w:rPr>
        <w:t xml:space="preserve">Inference Decision: </w:t>
      </w:r>
      <w:r>
        <w:rPr>
          <w:rFonts w:ascii="Calibri" w:hAnsi="Calibri"/>
          <w:color w:val="212529"/>
          <w:sz w:val="21"/>
        </w:rPr>
        <w:t>Reject H0. Statistically significant association between employment sector and income; self-employed incorporated workers show higher earning probabilities than private-sector workers.</w:t>
      </w:r>
    </w:p>
    <w:p>
      <w:pPr>
        <w:pStyle w:val="Heading3"/>
        <w:keepNext/>
        <w:spacing w:before="180" w:after="60"/>
      </w:pPr>
      <w:r>
        <w:rPr>
          <w:rFonts w:ascii="Calibri" w:hAnsi="Calibri"/>
          <w:b/>
          <w:color w:val="2980B9"/>
          <w:sz w:val="22"/>
        </w:rPr>
        <w:t>RQ4b: Professional Occupation vs. Income Category</w:t>
      </w:r>
    </w:p>
    <w:p>
      <w:pPr>
        <w:spacing w:after="120" w:line="276" w:lineRule="auto"/>
      </w:pPr>
      <w:r>
        <w:rPr>
          <w:rFonts w:ascii="Calibri" w:hAnsi="Calibri"/>
          <w:b/>
          <w:color w:val="212529"/>
          <w:sz w:val="21"/>
        </w:rPr>
        <w:t xml:space="preserve">Hypotheses: </w:t>
      </w:r>
      <w:r>
        <w:rPr>
          <w:rFonts w:ascii="Calibri" w:hAnsi="Calibri"/>
          <w:color w:val="212529"/>
          <w:sz w:val="21"/>
        </w:rPr>
        <w:t>H0: Occupation category and income category are independent.</w:t>
        <w:br/>
        <w:t>H1: Occupation category and income category are statistically associated.</w:t>
      </w:r>
    </w:p>
    <w:p>
      <w:pPr>
        <w:spacing w:after="120" w:line="276" w:lineRule="auto"/>
      </w:pPr>
      <w:r>
        <w:rPr>
          <w:rFonts w:ascii="Calibri" w:hAnsi="Calibri"/>
          <w:b/>
          <w:color w:val="212529"/>
          <w:sz w:val="21"/>
        </w:rPr>
        <w:t xml:space="preserve">Statistical Output: </w:t>
      </w:r>
      <w:r>
        <w:rPr>
          <w:rFonts w:ascii="Calibri" w:hAnsi="Calibri"/>
          <w:color w:val="212529"/>
          <w:sz w:val="21"/>
        </w:rPr>
        <w:t>Pearson's Chi-Square Test of Independence (df = 13) | Chi-Square = 3197.61, df = 13, Raw p &lt; 0.0001, Bonferroni p &lt; 0.0001, BH FDR p &lt; 0.0001</w:t>
      </w:r>
    </w:p>
    <w:p>
      <w:pPr>
        <w:spacing w:after="120" w:line="276" w:lineRule="auto"/>
      </w:pPr>
      <w:r>
        <w:rPr>
          <w:rFonts w:ascii="Calibri" w:hAnsi="Calibri"/>
          <w:b/>
          <w:color w:val="212529"/>
          <w:sz w:val="21"/>
        </w:rPr>
        <w:t xml:space="preserve">Effect Size Metric: </w:t>
      </w:r>
      <w:r>
        <w:rPr>
          <w:rFonts w:ascii="Calibri" w:hAnsi="Calibri"/>
          <w:color w:val="212529"/>
          <w:sz w:val="21"/>
        </w:rPr>
        <w:t>Cramer's V = 0.3135 (Strong categorical effect size)</w:t>
      </w:r>
    </w:p>
    <w:p>
      <w:pPr>
        <w:spacing w:after="120" w:line="276" w:lineRule="auto"/>
      </w:pPr>
      <w:r>
        <w:rPr>
          <w:rFonts w:ascii="Calibri" w:hAnsi="Calibri"/>
          <w:b/>
          <w:color w:val="212529"/>
          <w:sz w:val="21"/>
        </w:rPr>
        <w:t xml:space="preserve">Assumption Check: </w:t>
      </w:r>
      <w:r>
        <w:rPr>
          <w:rFonts w:ascii="Calibri" w:hAnsi="Calibri"/>
          <w:color w:val="212529"/>
          <w:sz w:val="21"/>
        </w:rPr>
        <w:t>Min expected count = 2.17 (Armed Forces); over 95% of cells exceed expected count of 5; test remains asymptotically valid.</w:t>
      </w:r>
    </w:p>
    <w:p>
      <w:pPr>
        <w:spacing w:after="120" w:line="276" w:lineRule="auto"/>
      </w:pPr>
      <w:r>
        <w:rPr>
          <w:rFonts w:ascii="Calibri" w:hAnsi="Calibri"/>
          <w:b/>
          <w:color w:val="212529"/>
          <w:sz w:val="21"/>
        </w:rPr>
        <w:t xml:space="preserve">Inference Decision: </w:t>
      </w:r>
      <w:r>
        <w:rPr>
          <w:rFonts w:ascii="Calibri" w:hAnsi="Calibri"/>
          <w:color w:val="212529"/>
          <w:sz w:val="21"/>
        </w:rPr>
        <w:t>Reject H0. Occupation exerts a strong, substantive structural association with income. Executive-managerial and professional specialty roles dominate the high-income bracket.</w:t>
      </w:r>
    </w:p>
    <w:p>
      <w:pPr>
        <w:pStyle w:val="Heading3"/>
        <w:keepNext/>
        <w:spacing w:before="180" w:after="60"/>
      </w:pPr>
      <w:r>
        <w:rPr>
          <w:rFonts w:ascii="Calibri" w:hAnsi="Calibri"/>
          <w:b/>
          <w:color w:val="2980B9"/>
          <w:sz w:val="22"/>
        </w:rPr>
        <w:t>RQ5: Linear Correlation Between Education Years and Weekly Hours</w:t>
      </w:r>
    </w:p>
    <w:p>
      <w:pPr>
        <w:spacing w:after="120" w:line="276" w:lineRule="auto"/>
      </w:pPr>
      <w:r>
        <w:rPr>
          <w:rFonts w:ascii="Calibri" w:hAnsi="Calibri"/>
          <w:b/>
          <w:color w:val="212529"/>
          <w:sz w:val="21"/>
        </w:rPr>
        <w:t xml:space="preserve">Hypotheses: </w:t>
      </w:r>
      <w:r>
        <w:rPr>
          <w:rFonts w:ascii="Calibri" w:hAnsi="Calibri"/>
          <w:color w:val="212529"/>
          <w:sz w:val="21"/>
        </w:rPr>
        <w:t>H0: The true population correlation between education_num and hours_per_week is zero (rho = 0).</w:t>
        <w:br/>
        <w:t>H1: The true correlation is non-zero (rho != 0).</w:t>
      </w:r>
    </w:p>
    <w:p>
      <w:pPr>
        <w:spacing w:after="120" w:line="276" w:lineRule="auto"/>
      </w:pPr>
      <w:r>
        <w:rPr>
          <w:rFonts w:ascii="Calibri" w:hAnsi="Calibri"/>
          <w:b/>
          <w:color w:val="212529"/>
          <w:sz w:val="21"/>
        </w:rPr>
        <w:t xml:space="preserve">Statistical Output: </w:t>
      </w:r>
      <w:r>
        <w:rPr>
          <w:rFonts w:ascii="Calibri" w:hAnsi="Calibri"/>
          <w:color w:val="212529"/>
          <w:sz w:val="21"/>
        </w:rPr>
        <w:t>Pearson's Product-Moment Correlation Test (df = 32,535) | t = 27.07, df = 32535, Raw p = 1.26e-159, Bonferroni p = 1.01e-158, BH FDR p = 1.26e-159</w:t>
      </w:r>
    </w:p>
    <w:p>
      <w:pPr>
        <w:spacing w:after="120" w:line="276" w:lineRule="auto"/>
      </w:pPr>
      <w:r>
        <w:rPr>
          <w:rFonts w:ascii="Calibri" w:hAnsi="Calibri"/>
          <w:b/>
          <w:color w:val="212529"/>
          <w:sz w:val="21"/>
        </w:rPr>
        <w:t xml:space="preserve">Effect Size Metric: </w:t>
      </w:r>
      <w:r>
        <w:rPr>
          <w:rFonts w:ascii="Calibri" w:hAnsi="Calibri"/>
          <w:color w:val="212529"/>
          <w:sz w:val="21"/>
        </w:rPr>
        <w:t>Pearson's r = +0.1484 (95% CI [0.1378, 0.1590]; Weak positive correlation)</w:t>
      </w:r>
    </w:p>
    <w:p>
      <w:pPr>
        <w:spacing w:after="120" w:line="276" w:lineRule="auto"/>
      </w:pPr>
      <w:r>
        <w:rPr>
          <w:rFonts w:ascii="Calibri" w:hAnsi="Calibri"/>
          <w:b/>
          <w:color w:val="212529"/>
          <w:sz w:val="21"/>
        </w:rPr>
        <w:t xml:space="preserve">Assumption Check: </w:t>
      </w:r>
      <w:r>
        <w:rPr>
          <w:rFonts w:ascii="Calibri" w:hAnsi="Calibri"/>
          <w:color w:val="212529"/>
          <w:sz w:val="21"/>
        </w:rPr>
        <w:t>Bivariate linearity inspected; discrete education scale mildly violates strict normality but inference is protected by CLT.</w:t>
      </w:r>
    </w:p>
    <w:p>
      <w:pPr>
        <w:spacing w:after="120" w:line="276" w:lineRule="auto"/>
      </w:pPr>
      <w:r>
        <w:rPr>
          <w:rFonts w:ascii="Calibri" w:hAnsi="Calibri"/>
          <w:b/>
          <w:color w:val="212529"/>
          <w:sz w:val="21"/>
        </w:rPr>
        <w:t xml:space="preserve">Inference Decision: </w:t>
      </w:r>
      <w:r>
        <w:rPr>
          <w:rFonts w:ascii="Calibri" w:hAnsi="Calibri"/>
          <w:color w:val="212529"/>
          <w:sz w:val="21"/>
        </w:rPr>
        <w:t>Reject H0. Highly statistically significant but weak linear association. Higher educational attainment is weakly associated with longer working hours, confirming they provide independent explanatory power in multivariate models.</w:t>
      </w:r>
    </w:p>
    <w:p>
      <w:pPr>
        <w:pStyle w:val="Heading2"/>
        <w:keepNext/>
        <w:spacing w:before="260" w:after="80"/>
      </w:pPr>
      <w:r>
        <w:rPr>
          <w:rFonts w:ascii="Calibri" w:hAnsi="Calibri"/>
          <w:b/>
          <w:color w:val="465C7A"/>
          <w:sz w:val="26"/>
        </w:rPr>
        <w:t>7.2 Consolidated Hypothesis Testing Registry Table</w:t>
      </w:r>
    </w:p>
    <w:p>
      <w:pPr>
        <w:spacing w:after="120" w:line="276" w:lineRule="auto"/>
      </w:pPr>
      <w:r>
        <w:rPr>
          <w:rFonts w:ascii="Calibri" w:hAnsi="Calibri"/>
          <w:color w:val="212529"/>
          <w:sz w:val="21"/>
        </w:rPr>
        <w:t>Table 7.1 consolidates the complete battery of eight hypothesis tests from outputs/week3_statistics/hypothesis_tests.csv:</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936"/>
        <w:gridCol w:w="936"/>
        <w:gridCol w:w="936"/>
        <w:gridCol w:w="936"/>
        <w:gridCol w:w="936"/>
        <w:gridCol w:w="936"/>
        <w:gridCol w:w="936"/>
        <w:gridCol w:w="936"/>
        <w:gridCol w:w="936"/>
        <w:gridCol w:w="936"/>
      </w:tblGrid>
      <w:tr>
        <w:tc>
          <w:tcPr>
            <w:tcW w:type="dxa" w:w="720"/>
            <w:shd w:fill="1B365D"/>
            <w:tcMar>
              <w:top w:w="100" w:type="dxa"/>
              <w:bottom w:w="100" w:type="dxa"/>
              <w:left w:w="100" w:type="dxa"/>
              <w:right w:w="100" w:type="dxa"/>
            </w:tcMar>
          </w:tcPr>
          <w:p>
            <w:pPr>
              <w:spacing w:after="0"/>
              <w:jc w:val="left"/>
            </w:pPr>
            <w:r>
              <w:rPr>
                <w:rFonts w:ascii="Calibri" w:hAnsi="Calibri"/>
                <w:b/>
                <w:color w:val="FFFFFF"/>
                <w:sz w:val="18"/>
              </w:rPr>
              <w:t>ID</w:t>
            </w:r>
          </w:p>
        </w:tc>
        <w:tc>
          <w:tcPr>
            <w:tcW w:type="dxa" w:w="1872"/>
            <w:shd w:fill="1B365D"/>
            <w:tcMar>
              <w:top w:w="100" w:type="dxa"/>
              <w:bottom w:w="100" w:type="dxa"/>
              <w:left w:w="100" w:type="dxa"/>
              <w:right w:w="100" w:type="dxa"/>
            </w:tcMar>
          </w:tcPr>
          <w:p>
            <w:pPr>
              <w:spacing w:after="0"/>
              <w:jc w:val="left"/>
            </w:pPr>
            <w:r>
              <w:rPr>
                <w:rFonts w:ascii="Calibri" w:hAnsi="Calibri"/>
                <w:b/>
                <w:color w:val="FFFFFF"/>
                <w:sz w:val="18"/>
              </w:rPr>
              <w:t>Research Focus</w:t>
            </w:r>
          </w:p>
        </w:tc>
        <w:tc>
          <w:tcPr>
            <w:tcW w:type="dxa" w:w="1440"/>
            <w:shd w:fill="1B365D"/>
            <w:tcMar>
              <w:top w:w="100" w:type="dxa"/>
              <w:bottom w:w="100" w:type="dxa"/>
              <w:left w:w="100" w:type="dxa"/>
              <w:right w:w="100" w:type="dxa"/>
            </w:tcMar>
          </w:tcPr>
          <w:p>
            <w:pPr>
              <w:spacing w:after="0"/>
              <w:jc w:val="left"/>
            </w:pPr>
            <w:r>
              <w:rPr>
                <w:rFonts w:ascii="Calibri" w:hAnsi="Calibri"/>
                <w:b/>
                <w:color w:val="FFFFFF"/>
                <w:sz w:val="18"/>
              </w:rPr>
              <w:t>Method</w:t>
            </w:r>
          </w:p>
        </w:tc>
        <w:tc>
          <w:tcPr>
            <w:tcW w:type="dxa" w:w="864"/>
            <w:shd w:fill="1B365D"/>
            <w:tcMar>
              <w:top w:w="100" w:type="dxa"/>
              <w:bottom w:w="100" w:type="dxa"/>
              <w:left w:w="100" w:type="dxa"/>
              <w:right w:w="100" w:type="dxa"/>
            </w:tcMar>
          </w:tcPr>
          <w:p>
            <w:pPr>
              <w:spacing w:after="0"/>
              <w:jc w:val="left"/>
            </w:pPr>
            <w:r>
              <w:rPr>
                <w:rFonts w:ascii="Calibri" w:hAnsi="Calibri"/>
                <w:b/>
                <w:color w:val="FFFFFF"/>
                <w:sz w:val="18"/>
              </w:rPr>
              <w:t>Stat</w:t>
            </w:r>
          </w:p>
        </w:tc>
        <w:tc>
          <w:tcPr>
            <w:tcW w:type="dxa" w:w="864"/>
            <w:shd w:fill="1B365D"/>
            <w:tcMar>
              <w:top w:w="100" w:type="dxa"/>
              <w:bottom w:w="100" w:type="dxa"/>
              <w:left w:w="100" w:type="dxa"/>
              <w:right w:w="100" w:type="dxa"/>
            </w:tcMar>
          </w:tcPr>
          <w:p>
            <w:pPr>
              <w:spacing w:after="0"/>
              <w:jc w:val="left"/>
            </w:pPr>
            <w:r>
              <w:rPr>
                <w:rFonts w:ascii="Calibri" w:hAnsi="Calibri"/>
                <w:b/>
                <w:color w:val="FFFFFF"/>
                <w:sz w:val="18"/>
              </w:rPr>
              <w:t>df</w:t>
            </w:r>
          </w:p>
        </w:tc>
        <w:tc>
          <w:tcPr>
            <w:tcW w:type="dxa" w:w="864"/>
            <w:shd w:fill="1B365D"/>
            <w:tcMar>
              <w:top w:w="100" w:type="dxa"/>
              <w:bottom w:w="100" w:type="dxa"/>
              <w:left w:w="100" w:type="dxa"/>
              <w:right w:w="100" w:type="dxa"/>
            </w:tcMar>
          </w:tcPr>
          <w:p>
            <w:pPr>
              <w:spacing w:after="0"/>
              <w:jc w:val="left"/>
            </w:pPr>
            <w:r>
              <w:rPr>
                <w:rFonts w:ascii="Calibri" w:hAnsi="Calibri"/>
                <w:b/>
                <w:color w:val="FFFFFF"/>
                <w:sz w:val="18"/>
              </w:rPr>
              <w:t>Raw p</w:t>
            </w:r>
          </w:p>
        </w:tc>
        <w:tc>
          <w:tcPr>
            <w:tcW w:type="dxa" w:w="864"/>
            <w:shd w:fill="1B365D"/>
            <w:tcMar>
              <w:top w:w="100" w:type="dxa"/>
              <w:bottom w:w="100" w:type="dxa"/>
              <w:left w:w="100" w:type="dxa"/>
              <w:right w:w="100" w:type="dxa"/>
            </w:tcMar>
          </w:tcPr>
          <w:p>
            <w:pPr>
              <w:spacing w:after="0"/>
              <w:jc w:val="left"/>
            </w:pPr>
            <w:r>
              <w:rPr>
                <w:rFonts w:ascii="Calibri" w:hAnsi="Calibri"/>
                <w:b/>
                <w:color w:val="FFFFFF"/>
                <w:sz w:val="18"/>
              </w:rPr>
              <w:t>Adj p (BH)</w:t>
            </w:r>
          </w:p>
        </w:tc>
        <w:tc>
          <w:tcPr>
            <w:tcW w:type="dxa" w:w="1152"/>
            <w:shd w:fill="1B365D"/>
            <w:tcMar>
              <w:top w:w="100" w:type="dxa"/>
              <w:bottom w:w="100" w:type="dxa"/>
              <w:left w:w="100" w:type="dxa"/>
              <w:right w:w="100" w:type="dxa"/>
            </w:tcMar>
          </w:tcPr>
          <w:p>
            <w:pPr>
              <w:spacing w:after="0"/>
              <w:jc w:val="left"/>
            </w:pPr>
            <w:r>
              <w:rPr>
                <w:rFonts w:ascii="Calibri" w:hAnsi="Calibri"/>
                <w:b/>
                <w:color w:val="FFFFFF"/>
                <w:sz w:val="18"/>
              </w:rPr>
              <w:t>Effect Metric</w:t>
            </w:r>
          </w:p>
        </w:tc>
        <w:tc>
          <w:tcPr>
            <w:tcW w:type="dxa" w:w="720"/>
            <w:shd w:fill="1B365D"/>
            <w:tcMar>
              <w:top w:w="100" w:type="dxa"/>
              <w:bottom w:w="100" w:type="dxa"/>
              <w:left w:w="100" w:type="dxa"/>
              <w:right w:w="100" w:type="dxa"/>
            </w:tcMar>
          </w:tcPr>
          <w:p>
            <w:pPr>
              <w:spacing w:after="0"/>
              <w:jc w:val="left"/>
            </w:pPr>
            <w:r>
              <w:rPr>
                <w:rFonts w:ascii="Calibri" w:hAnsi="Calibri"/>
                <w:b/>
                <w:color w:val="FFFFFF"/>
                <w:sz w:val="18"/>
              </w:rPr>
              <w:t>Value</w:t>
            </w:r>
          </w:p>
        </w:tc>
        <w:tc>
          <w:tcPr>
            <w:tcW w:type="dxa" w:w="1008"/>
            <w:shd w:fill="1B365D"/>
            <w:tcMar>
              <w:top w:w="100" w:type="dxa"/>
              <w:bottom w:w="100" w:type="dxa"/>
              <w:left w:w="100" w:type="dxa"/>
              <w:right w:w="100" w:type="dxa"/>
            </w:tcMar>
          </w:tcPr>
          <w:p>
            <w:pPr>
              <w:spacing w:after="0"/>
              <w:jc w:val="left"/>
            </w:pPr>
            <w:r>
              <w:rPr>
                <w:rFonts w:ascii="Calibri" w:hAnsi="Calibri"/>
                <w:b/>
                <w:color w:val="FFFFFF"/>
                <w:sz w:val="18"/>
              </w:rPr>
              <w:t>Decision</w:t>
            </w:r>
          </w:p>
        </w:tc>
      </w:tr>
      <w:tr>
        <w:tc>
          <w:tcPr>
            <w:tcW w:type="dxa" w:w="720"/>
            <w:shd w:fill="FFFFFF"/>
            <w:tcMar>
              <w:top w:w="70" w:type="dxa"/>
              <w:bottom w:w="70" w:type="dxa"/>
              <w:left w:w="100" w:type="dxa"/>
              <w:right w:w="100" w:type="dxa"/>
            </w:tcMar>
          </w:tcPr>
          <w:p>
            <w:pPr>
              <w:spacing w:after="0"/>
              <w:jc w:val="left"/>
            </w:pPr>
            <w:r>
              <w:rPr>
                <w:rFonts w:ascii="Calibri" w:hAnsi="Calibri"/>
                <w:b/>
                <w:color w:val="212529"/>
                <w:sz w:val="17"/>
              </w:rPr>
              <w:t>RQ1</w:t>
            </w:r>
          </w:p>
        </w:tc>
        <w:tc>
          <w:tcPr>
            <w:tcW w:type="dxa" w:w="1872"/>
            <w:shd w:fill="FFFFFF"/>
            <w:tcMar>
              <w:top w:w="70" w:type="dxa"/>
              <w:bottom w:w="70" w:type="dxa"/>
              <w:left w:w="100" w:type="dxa"/>
              <w:right w:w="100" w:type="dxa"/>
            </w:tcMar>
          </w:tcPr>
          <w:p>
            <w:pPr>
              <w:spacing w:after="0"/>
              <w:jc w:val="left"/>
            </w:pPr>
            <w:r>
              <w:rPr>
                <w:rFonts w:ascii="Calibri" w:hAnsi="Calibri"/>
                <w:b w:val="0"/>
                <w:color w:val="212529"/>
                <w:sz w:val="17"/>
              </w:rPr>
              <w:t>Education vs Income</w:t>
            </w:r>
          </w:p>
        </w:tc>
        <w:tc>
          <w:tcPr>
            <w:tcW w:type="dxa" w:w="1440"/>
            <w:shd w:fill="FFFFFF"/>
            <w:tcMar>
              <w:top w:w="70" w:type="dxa"/>
              <w:bottom w:w="70" w:type="dxa"/>
              <w:left w:w="100" w:type="dxa"/>
              <w:right w:w="100" w:type="dxa"/>
            </w:tcMar>
          </w:tcPr>
          <w:p>
            <w:pPr>
              <w:spacing w:after="0"/>
              <w:jc w:val="left"/>
            </w:pPr>
            <w:r>
              <w:rPr>
                <w:rFonts w:ascii="Calibri" w:hAnsi="Calibri"/>
                <w:b w:val="0"/>
                <w:color w:val="212529"/>
                <w:sz w:val="17"/>
              </w:rPr>
              <w:t>Chi-Square</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4,428.4</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15</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Cramer's V</w:t>
            </w:r>
          </w:p>
        </w:tc>
        <w:tc>
          <w:tcPr>
            <w:tcW w:type="dxa" w:w="720"/>
            <w:shd w:fill="FFFFFF"/>
            <w:tcMar>
              <w:top w:w="70" w:type="dxa"/>
              <w:bottom w:w="70" w:type="dxa"/>
              <w:left w:w="100" w:type="dxa"/>
              <w:right w:w="100" w:type="dxa"/>
            </w:tcMar>
          </w:tcPr>
          <w:p>
            <w:pPr>
              <w:spacing w:after="0"/>
              <w:jc w:val="left"/>
            </w:pPr>
            <w:r>
              <w:rPr>
                <w:rFonts w:ascii="Calibri" w:hAnsi="Calibri"/>
                <w:b/>
                <w:color w:val="212529"/>
                <w:sz w:val="17"/>
              </w:rPr>
              <w:t>0.3689</w:t>
            </w:r>
          </w:p>
        </w:tc>
        <w:tc>
          <w:tcPr>
            <w:tcW w:type="dxa" w:w="1008"/>
            <w:shd w:fill="FFFFFF"/>
            <w:tcMar>
              <w:top w:w="70" w:type="dxa"/>
              <w:bottom w:w="70" w:type="dxa"/>
              <w:left w:w="100" w:type="dxa"/>
              <w:right w:w="100" w:type="dxa"/>
            </w:tcMar>
          </w:tcPr>
          <w:p>
            <w:pPr>
              <w:spacing w:after="0"/>
              <w:jc w:val="left"/>
            </w:pPr>
            <w:r>
              <w:rPr>
                <w:rFonts w:ascii="Calibri" w:hAnsi="Calibri"/>
                <w:b/>
                <w:color w:val="27AE60"/>
                <w:sz w:val="17"/>
              </w:rPr>
              <w:t>Reject H0</w:t>
            </w:r>
          </w:p>
        </w:tc>
      </w:tr>
      <w:tr>
        <w:tc>
          <w:tcPr>
            <w:tcW w:type="dxa" w:w="720"/>
            <w:shd w:fill="F8F9FA"/>
            <w:tcMar>
              <w:top w:w="70" w:type="dxa"/>
              <w:bottom w:w="70" w:type="dxa"/>
              <w:left w:w="100" w:type="dxa"/>
              <w:right w:w="100" w:type="dxa"/>
            </w:tcMar>
          </w:tcPr>
          <w:p>
            <w:pPr>
              <w:spacing w:after="0"/>
              <w:jc w:val="left"/>
            </w:pPr>
            <w:r>
              <w:rPr>
                <w:rFonts w:ascii="Calibri" w:hAnsi="Calibri"/>
                <w:b/>
                <w:color w:val="212529"/>
                <w:sz w:val="17"/>
              </w:rPr>
              <w:t>RQ2a</w:t>
            </w:r>
          </w:p>
        </w:tc>
        <w:tc>
          <w:tcPr>
            <w:tcW w:type="dxa" w:w="1872"/>
            <w:shd w:fill="F8F9FA"/>
            <w:tcMar>
              <w:top w:w="70" w:type="dxa"/>
              <w:bottom w:w="70" w:type="dxa"/>
              <w:left w:w="100" w:type="dxa"/>
              <w:right w:w="100" w:type="dxa"/>
            </w:tcMar>
          </w:tcPr>
          <w:p>
            <w:pPr>
              <w:spacing w:after="0"/>
              <w:jc w:val="left"/>
            </w:pPr>
            <w:r>
              <w:rPr>
                <w:rFonts w:ascii="Calibri" w:hAnsi="Calibri"/>
                <w:b w:val="0"/>
                <w:color w:val="212529"/>
                <w:sz w:val="17"/>
              </w:rPr>
              <w:t>Age Mean by Income</w:t>
            </w:r>
          </w:p>
        </w:tc>
        <w:tc>
          <w:tcPr>
            <w:tcW w:type="dxa" w:w="1440"/>
            <w:shd w:fill="F8F9FA"/>
            <w:tcMar>
              <w:top w:w="70" w:type="dxa"/>
              <w:bottom w:w="70" w:type="dxa"/>
              <w:left w:w="100" w:type="dxa"/>
              <w:right w:w="100" w:type="dxa"/>
            </w:tcMar>
          </w:tcPr>
          <w:p>
            <w:pPr>
              <w:spacing w:after="0"/>
              <w:jc w:val="left"/>
            </w:pPr>
            <w:r>
              <w:rPr>
                <w:rFonts w:ascii="Calibri" w:hAnsi="Calibri"/>
                <w:b w:val="0"/>
                <w:color w:val="212529"/>
                <w:sz w:val="17"/>
              </w:rPr>
              <w:t>Welch t-test</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50.24</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17,406</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Cohen's d</w:t>
            </w:r>
          </w:p>
        </w:tc>
        <w:tc>
          <w:tcPr>
            <w:tcW w:type="dxa" w:w="720"/>
            <w:shd w:fill="F8F9FA"/>
            <w:tcMar>
              <w:top w:w="70" w:type="dxa"/>
              <w:bottom w:w="70" w:type="dxa"/>
              <w:left w:w="100" w:type="dxa"/>
              <w:right w:w="100" w:type="dxa"/>
            </w:tcMar>
          </w:tcPr>
          <w:p>
            <w:pPr>
              <w:spacing w:after="0"/>
              <w:jc w:val="left"/>
            </w:pPr>
            <w:r>
              <w:rPr>
                <w:rFonts w:ascii="Calibri" w:hAnsi="Calibri"/>
                <w:b/>
                <w:color w:val="212529"/>
                <w:sz w:val="17"/>
              </w:rPr>
              <w:t>0.5629</w:t>
            </w:r>
          </w:p>
        </w:tc>
        <w:tc>
          <w:tcPr>
            <w:tcW w:type="dxa" w:w="1008"/>
            <w:shd w:fill="F8F9FA"/>
            <w:tcMar>
              <w:top w:w="70" w:type="dxa"/>
              <w:bottom w:w="70" w:type="dxa"/>
              <w:left w:w="100" w:type="dxa"/>
              <w:right w:w="100" w:type="dxa"/>
            </w:tcMar>
          </w:tcPr>
          <w:p>
            <w:pPr>
              <w:spacing w:after="0"/>
              <w:jc w:val="left"/>
            </w:pPr>
            <w:r>
              <w:rPr>
                <w:rFonts w:ascii="Calibri" w:hAnsi="Calibri"/>
                <w:b/>
                <w:color w:val="27AE60"/>
                <w:sz w:val="17"/>
              </w:rPr>
              <w:t>Reject H0</w:t>
            </w:r>
          </w:p>
        </w:tc>
      </w:tr>
      <w:tr>
        <w:tc>
          <w:tcPr>
            <w:tcW w:type="dxa" w:w="720"/>
            <w:shd w:fill="FFFFFF"/>
            <w:tcMar>
              <w:top w:w="70" w:type="dxa"/>
              <w:bottom w:w="70" w:type="dxa"/>
              <w:left w:w="100" w:type="dxa"/>
              <w:right w:w="100" w:type="dxa"/>
            </w:tcMar>
          </w:tcPr>
          <w:p>
            <w:pPr>
              <w:spacing w:after="0"/>
              <w:jc w:val="left"/>
            </w:pPr>
            <w:r>
              <w:rPr>
                <w:rFonts w:ascii="Calibri" w:hAnsi="Calibri"/>
                <w:b/>
                <w:color w:val="212529"/>
                <w:sz w:val="17"/>
              </w:rPr>
              <w:t>RQ2b</w:t>
            </w:r>
          </w:p>
        </w:tc>
        <w:tc>
          <w:tcPr>
            <w:tcW w:type="dxa" w:w="1872"/>
            <w:shd w:fill="FFFFFF"/>
            <w:tcMar>
              <w:top w:w="70" w:type="dxa"/>
              <w:bottom w:w="70" w:type="dxa"/>
              <w:left w:w="100" w:type="dxa"/>
              <w:right w:w="100" w:type="dxa"/>
            </w:tcMar>
          </w:tcPr>
          <w:p>
            <w:pPr>
              <w:spacing w:after="0"/>
              <w:jc w:val="left"/>
            </w:pPr>
            <w:r>
              <w:rPr>
                <w:rFonts w:ascii="Calibri" w:hAnsi="Calibri"/>
                <w:b w:val="0"/>
                <w:color w:val="212529"/>
                <w:sz w:val="17"/>
              </w:rPr>
              <w:t>Age Median by Income</w:t>
            </w:r>
          </w:p>
        </w:tc>
        <w:tc>
          <w:tcPr>
            <w:tcW w:type="dxa" w:w="1440"/>
            <w:shd w:fill="FFFFFF"/>
            <w:tcMar>
              <w:top w:w="70" w:type="dxa"/>
              <w:bottom w:w="70" w:type="dxa"/>
              <w:left w:w="100" w:type="dxa"/>
              <w:right w:w="100" w:type="dxa"/>
            </w:tcMar>
          </w:tcPr>
          <w:p>
            <w:pPr>
              <w:spacing w:after="0"/>
              <w:jc w:val="left"/>
            </w:pPr>
            <w:r>
              <w:rPr>
                <w:rFonts w:ascii="Calibri" w:hAnsi="Calibri"/>
                <w:b w:val="0"/>
                <w:color w:val="212529"/>
                <w:sz w:val="17"/>
              </w:rPr>
              <w:t>Wilcoxon W</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1.32e+08</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NA</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Rank-Bis r</w:t>
            </w:r>
          </w:p>
        </w:tc>
        <w:tc>
          <w:tcPr>
            <w:tcW w:type="dxa" w:w="720"/>
            <w:shd w:fill="FFFFFF"/>
            <w:tcMar>
              <w:top w:w="70" w:type="dxa"/>
              <w:bottom w:w="70" w:type="dxa"/>
              <w:left w:w="100" w:type="dxa"/>
              <w:right w:w="100" w:type="dxa"/>
            </w:tcMar>
          </w:tcPr>
          <w:p>
            <w:pPr>
              <w:spacing w:after="0"/>
              <w:jc w:val="left"/>
            </w:pPr>
            <w:r>
              <w:rPr>
                <w:rFonts w:ascii="Calibri" w:hAnsi="Calibri"/>
                <w:b/>
                <w:color w:val="212529"/>
                <w:sz w:val="17"/>
              </w:rPr>
              <w:t>0.3683</w:t>
            </w:r>
          </w:p>
        </w:tc>
        <w:tc>
          <w:tcPr>
            <w:tcW w:type="dxa" w:w="1008"/>
            <w:shd w:fill="FFFFFF"/>
            <w:tcMar>
              <w:top w:w="70" w:type="dxa"/>
              <w:bottom w:w="70" w:type="dxa"/>
              <w:left w:w="100" w:type="dxa"/>
              <w:right w:w="100" w:type="dxa"/>
            </w:tcMar>
          </w:tcPr>
          <w:p>
            <w:pPr>
              <w:spacing w:after="0"/>
              <w:jc w:val="left"/>
            </w:pPr>
            <w:r>
              <w:rPr>
                <w:rFonts w:ascii="Calibri" w:hAnsi="Calibri"/>
                <w:b/>
                <w:color w:val="27AE60"/>
                <w:sz w:val="17"/>
              </w:rPr>
              <w:t>Reject H0</w:t>
            </w:r>
          </w:p>
        </w:tc>
      </w:tr>
      <w:tr>
        <w:tc>
          <w:tcPr>
            <w:tcW w:type="dxa" w:w="720"/>
            <w:shd w:fill="F8F9FA"/>
            <w:tcMar>
              <w:top w:w="70" w:type="dxa"/>
              <w:bottom w:w="70" w:type="dxa"/>
              <w:left w:w="100" w:type="dxa"/>
              <w:right w:w="100" w:type="dxa"/>
            </w:tcMar>
          </w:tcPr>
          <w:p>
            <w:pPr>
              <w:spacing w:after="0"/>
              <w:jc w:val="left"/>
            </w:pPr>
            <w:r>
              <w:rPr>
                <w:rFonts w:ascii="Calibri" w:hAnsi="Calibri"/>
                <w:b/>
                <w:color w:val="212529"/>
                <w:sz w:val="17"/>
              </w:rPr>
              <w:t>RQ3a</w:t>
            </w:r>
          </w:p>
        </w:tc>
        <w:tc>
          <w:tcPr>
            <w:tcW w:type="dxa" w:w="1872"/>
            <w:shd w:fill="F8F9FA"/>
            <w:tcMar>
              <w:top w:w="70" w:type="dxa"/>
              <w:bottom w:w="70" w:type="dxa"/>
              <w:left w:w="100" w:type="dxa"/>
              <w:right w:w="100" w:type="dxa"/>
            </w:tcMar>
          </w:tcPr>
          <w:p>
            <w:pPr>
              <w:spacing w:after="0"/>
              <w:jc w:val="left"/>
            </w:pPr>
            <w:r>
              <w:rPr>
                <w:rFonts w:ascii="Calibri" w:hAnsi="Calibri"/>
                <w:b w:val="0"/>
                <w:color w:val="212529"/>
                <w:sz w:val="17"/>
              </w:rPr>
              <w:t>Hours Mean by Income</w:t>
            </w:r>
          </w:p>
        </w:tc>
        <w:tc>
          <w:tcPr>
            <w:tcW w:type="dxa" w:w="1440"/>
            <w:shd w:fill="F8F9FA"/>
            <w:tcMar>
              <w:top w:w="70" w:type="dxa"/>
              <w:bottom w:w="70" w:type="dxa"/>
              <w:left w:w="100" w:type="dxa"/>
              <w:right w:w="100" w:type="dxa"/>
            </w:tcMar>
          </w:tcPr>
          <w:p>
            <w:pPr>
              <w:spacing w:after="0"/>
              <w:jc w:val="left"/>
            </w:pPr>
            <w:r>
              <w:rPr>
                <w:rFonts w:ascii="Calibri" w:hAnsi="Calibri"/>
                <w:b w:val="0"/>
                <w:color w:val="212529"/>
                <w:sz w:val="17"/>
              </w:rPr>
              <w:t>Welch t-test</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45.10</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14,568</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Cohen's d</w:t>
            </w:r>
          </w:p>
        </w:tc>
        <w:tc>
          <w:tcPr>
            <w:tcW w:type="dxa" w:w="720"/>
            <w:shd w:fill="F8F9FA"/>
            <w:tcMar>
              <w:top w:w="70" w:type="dxa"/>
              <w:bottom w:w="70" w:type="dxa"/>
              <w:left w:w="100" w:type="dxa"/>
              <w:right w:w="100" w:type="dxa"/>
            </w:tcMar>
          </w:tcPr>
          <w:p>
            <w:pPr>
              <w:spacing w:after="0"/>
              <w:jc w:val="left"/>
            </w:pPr>
            <w:r>
              <w:rPr>
                <w:rFonts w:ascii="Calibri" w:hAnsi="Calibri"/>
                <w:b/>
                <w:color w:val="212529"/>
                <w:sz w:val="17"/>
              </w:rPr>
              <w:t>0.5518</w:t>
            </w:r>
          </w:p>
        </w:tc>
        <w:tc>
          <w:tcPr>
            <w:tcW w:type="dxa" w:w="1008"/>
            <w:shd w:fill="F8F9FA"/>
            <w:tcMar>
              <w:top w:w="70" w:type="dxa"/>
              <w:bottom w:w="70" w:type="dxa"/>
              <w:left w:w="100" w:type="dxa"/>
              <w:right w:w="100" w:type="dxa"/>
            </w:tcMar>
          </w:tcPr>
          <w:p>
            <w:pPr>
              <w:spacing w:after="0"/>
              <w:jc w:val="left"/>
            </w:pPr>
            <w:r>
              <w:rPr>
                <w:rFonts w:ascii="Calibri" w:hAnsi="Calibri"/>
                <w:b/>
                <w:color w:val="27AE60"/>
                <w:sz w:val="17"/>
              </w:rPr>
              <w:t>Reject H0</w:t>
            </w:r>
          </w:p>
        </w:tc>
      </w:tr>
      <w:tr>
        <w:tc>
          <w:tcPr>
            <w:tcW w:type="dxa" w:w="720"/>
            <w:shd w:fill="FFFFFF"/>
            <w:tcMar>
              <w:top w:w="70" w:type="dxa"/>
              <w:bottom w:w="70" w:type="dxa"/>
              <w:left w:w="100" w:type="dxa"/>
              <w:right w:w="100" w:type="dxa"/>
            </w:tcMar>
          </w:tcPr>
          <w:p>
            <w:pPr>
              <w:spacing w:after="0"/>
              <w:jc w:val="left"/>
            </w:pPr>
            <w:r>
              <w:rPr>
                <w:rFonts w:ascii="Calibri" w:hAnsi="Calibri"/>
                <w:b/>
                <w:color w:val="212529"/>
                <w:sz w:val="17"/>
              </w:rPr>
              <w:t>RQ3b</w:t>
            </w:r>
          </w:p>
        </w:tc>
        <w:tc>
          <w:tcPr>
            <w:tcW w:type="dxa" w:w="1872"/>
            <w:shd w:fill="FFFFFF"/>
            <w:tcMar>
              <w:top w:w="70" w:type="dxa"/>
              <w:bottom w:w="70" w:type="dxa"/>
              <w:left w:w="100" w:type="dxa"/>
              <w:right w:w="100" w:type="dxa"/>
            </w:tcMar>
          </w:tcPr>
          <w:p>
            <w:pPr>
              <w:spacing w:after="0"/>
              <w:jc w:val="left"/>
            </w:pPr>
            <w:r>
              <w:rPr>
                <w:rFonts w:ascii="Calibri" w:hAnsi="Calibri"/>
                <w:b w:val="0"/>
                <w:color w:val="212529"/>
                <w:sz w:val="17"/>
              </w:rPr>
              <w:t>Hours Median by Income</w:t>
            </w:r>
          </w:p>
        </w:tc>
        <w:tc>
          <w:tcPr>
            <w:tcW w:type="dxa" w:w="1440"/>
            <w:shd w:fill="FFFFFF"/>
            <w:tcMar>
              <w:top w:w="70" w:type="dxa"/>
              <w:bottom w:w="70" w:type="dxa"/>
              <w:left w:w="100" w:type="dxa"/>
              <w:right w:w="100" w:type="dxa"/>
            </w:tcMar>
          </w:tcPr>
          <w:p>
            <w:pPr>
              <w:spacing w:after="0"/>
              <w:jc w:val="left"/>
            </w:pPr>
            <w:r>
              <w:rPr>
                <w:rFonts w:ascii="Calibri" w:hAnsi="Calibri"/>
                <w:b w:val="0"/>
                <w:color w:val="212529"/>
                <w:sz w:val="17"/>
              </w:rPr>
              <w:t>Wilcoxon W</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1.30e+08</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NA</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Rank-Bis r</w:t>
            </w:r>
          </w:p>
        </w:tc>
        <w:tc>
          <w:tcPr>
            <w:tcW w:type="dxa" w:w="720"/>
            <w:shd w:fill="FFFFFF"/>
            <w:tcMar>
              <w:top w:w="70" w:type="dxa"/>
              <w:bottom w:w="70" w:type="dxa"/>
              <w:left w:w="100" w:type="dxa"/>
              <w:right w:w="100" w:type="dxa"/>
            </w:tcMar>
          </w:tcPr>
          <w:p>
            <w:pPr>
              <w:spacing w:after="0"/>
              <w:jc w:val="left"/>
            </w:pPr>
            <w:r>
              <w:rPr>
                <w:rFonts w:ascii="Calibri" w:hAnsi="Calibri"/>
                <w:b/>
                <w:color w:val="212529"/>
                <w:sz w:val="17"/>
              </w:rPr>
              <w:t>0.3440</w:t>
            </w:r>
          </w:p>
        </w:tc>
        <w:tc>
          <w:tcPr>
            <w:tcW w:type="dxa" w:w="1008"/>
            <w:shd w:fill="FFFFFF"/>
            <w:tcMar>
              <w:top w:w="70" w:type="dxa"/>
              <w:bottom w:w="70" w:type="dxa"/>
              <w:left w:w="100" w:type="dxa"/>
              <w:right w:w="100" w:type="dxa"/>
            </w:tcMar>
          </w:tcPr>
          <w:p>
            <w:pPr>
              <w:spacing w:after="0"/>
              <w:jc w:val="left"/>
            </w:pPr>
            <w:r>
              <w:rPr>
                <w:rFonts w:ascii="Calibri" w:hAnsi="Calibri"/>
                <w:b/>
                <w:color w:val="27AE60"/>
                <w:sz w:val="17"/>
              </w:rPr>
              <w:t>Reject H0</w:t>
            </w:r>
          </w:p>
        </w:tc>
      </w:tr>
      <w:tr>
        <w:tc>
          <w:tcPr>
            <w:tcW w:type="dxa" w:w="720"/>
            <w:shd w:fill="F8F9FA"/>
            <w:tcMar>
              <w:top w:w="70" w:type="dxa"/>
              <w:bottom w:w="70" w:type="dxa"/>
              <w:left w:w="100" w:type="dxa"/>
              <w:right w:w="100" w:type="dxa"/>
            </w:tcMar>
          </w:tcPr>
          <w:p>
            <w:pPr>
              <w:spacing w:after="0"/>
              <w:jc w:val="left"/>
            </w:pPr>
            <w:r>
              <w:rPr>
                <w:rFonts w:ascii="Calibri" w:hAnsi="Calibri"/>
                <w:b/>
                <w:color w:val="212529"/>
                <w:sz w:val="17"/>
              </w:rPr>
              <w:t>RQ4a</w:t>
            </w:r>
          </w:p>
        </w:tc>
        <w:tc>
          <w:tcPr>
            <w:tcW w:type="dxa" w:w="1872"/>
            <w:shd w:fill="F8F9FA"/>
            <w:tcMar>
              <w:top w:w="70" w:type="dxa"/>
              <w:bottom w:w="70" w:type="dxa"/>
              <w:left w:w="100" w:type="dxa"/>
              <w:right w:w="100" w:type="dxa"/>
            </w:tcMar>
          </w:tcPr>
          <w:p>
            <w:pPr>
              <w:spacing w:after="0"/>
              <w:jc w:val="left"/>
            </w:pPr>
            <w:r>
              <w:rPr>
                <w:rFonts w:ascii="Calibri" w:hAnsi="Calibri"/>
                <w:b w:val="0"/>
                <w:color w:val="212529"/>
                <w:sz w:val="17"/>
              </w:rPr>
              <w:t>Workclass vs Income</w:t>
            </w:r>
          </w:p>
        </w:tc>
        <w:tc>
          <w:tcPr>
            <w:tcW w:type="dxa" w:w="1440"/>
            <w:shd w:fill="F8F9FA"/>
            <w:tcMar>
              <w:top w:w="70" w:type="dxa"/>
              <w:bottom w:w="70" w:type="dxa"/>
              <w:left w:w="100" w:type="dxa"/>
              <w:right w:w="100" w:type="dxa"/>
            </w:tcMar>
          </w:tcPr>
          <w:p>
            <w:pPr>
              <w:spacing w:after="0"/>
              <w:jc w:val="left"/>
            </w:pPr>
            <w:r>
              <w:rPr>
                <w:rFonts w:ascii="Calibri" w:hAnsi="Calibri"/>
                <w:b w:val="0"/>
                <w:color w:val="212529"/>
                <w:sz w:val="17"/>
              </w:rPr>
              <w:t>Chi-Square</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922.35</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7</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Cramer's V</w:t>
            </w:r>
          </w:p>
        </w:tc>
        <w:tc>
          <w:tcPr>
            <w:tcW w:type="dxa" w:w="720"/>
            <w:shd w:fill="F8F9FA"/>
            <w:tcMar>
              <w:top w:w="70" w:type="dxa"/>
              <w:bottom w:w="70" w:type="dxa"/>
              <w:left w:w="100" w:type="dxa"/>
              <w:right w:w="100" w:type="dxa"/>
            </w:tcMar>
          </w:tcPr>
          <w:p>
            <w:pPr>
              <w:spacing w:after="0"/>
              <w:jc w:val="left"/>
            </w:pPr>
            <w:r>
              <w:rPr>
                <w:rFonts w:ascii="Calibri" w:hAnsi="Calibri"/>
                <w:b/>
                <w:color w:val="212529"/>
                <w:sz w:val="17"/>
              </w:rPr>
              <w:t>0.1684</w:t>
            </w:r>
          </w:p>
        </w:tc>
        <w:tc>
          <w:tcPr>
            <w:tcW w:type="dxa" w:w="1008"/>
            <w:shd w:fill="F8F9FA"/>
            <w:tcMar>
              <w:top w:w="70" w:type="dxa"/>
              <w:bottom w:w="70" w:type="dxa"/>
              <w:left w:w="100" w:type="dxa"/>
              <w:right w:w="100" w:type="dxa"/>
            </w:tcMar>
          </w:tcPr>
          <w:p>
            <w:pPr>
              <w:spacing w:after="0"/>
              <w:jc w:val="left"/>
            </w:pPr>
            <w:r>
              <w:rPr>
                <w:rFonts w:ascii="Calibri" w:hAnsi="Calibri"/>
                <w:b/>
                <w:color w:val="27AE60"/>
                <w:sz w:val="17"/>
              </w:rPr>
              <w:t>Reject H0</w:t>
            </w:r>
          </w:p>
        </w:tc>
      </w:tr>
      <w:tr>
        <w:tc>
          <w:tcPr>
            <w:tcW w:type="dxa" w:w="720"/>
            <w:shd w:fill="FFFFFF"/>
            <w:tcMar>
              <w:top w:w="70" w:type="dxa"/>
              <w:bottom w:w="70" w:type="dxa"/>
              <w:left w:w="100" w:type="dxa"/>
              <w:right w:w="100" w:type="dxa"/>
            </w:tcMar>
          </w:tcPr>
          <w:p>
            <w:pPr>
              <w:spacing w:after="0"/>
              <w:jc w:val="left"/>
            </w:pPr>
            <w:r>
              <w:rPr>
                <w:rFonts w:ascii="Calibri" w:hAnsi="Calibri"/>
                <w:b/>
                <w:color w:val="212529"/>
                <w:sz w:val="17"/>
              </w:rPr>
              <w:t>RQ4b</w:t>
            </w:r>
          </w:p>
        </w:tc>
        <w:tc>
          <w:tcPr>
            <w:tcW w:type="dxa" w:w="1872"/>
            <w:shd w:fill="FFFFFF"/>
            <w:tcMar>
              <w:top w:w="70" w:type="dxa"/>
              <w:bottom w:w="70" w:type="dxa"/>
              <w:left w:w="100" w:type="dxa"/>
              <w:right w:w="100" w:type="dxa"/>
            </w:tcMar>
          </w:tcPr>
          <w:p>
            <w:pPr>
              <w:spacing w:after="0"/>
              <w:jc w:val="left"/>
            </w:pPr>
            <w:r>
              <w:rPr>
                <w:rFonts w:ascii="Calibri" w:hAnsi="Calibri"/>
                <w:b w:val="0"/>
                <w:color w:val="212529"/>
                <w:sz w:val="17"/>
              </w:rPr>
              <w:t>Occupation vs Income</w:t>
            </w:r>
          </w:p>
        </w:tc>
        <w:tc>
          <w:tcPr>
            <w:tcW w:type="dxa" w:w="1440"/>
            <w:shd w:fill="FFFFFF"/>
            <w:tcMar>
              <w:top w:w="70" w:type="dxa"/>
              <w:bottom w:w="70" w:type="dxa"/>
              <w:left w:w="100" w:type="dxa"/>
              <w:right w:w="100" w:type="dxa"/>
            </w:tcMar>
          </w:tcPr>
          <w:p>
            <w:pPr>
              <w:spacing w:after="0"/>
              <w:jc w:val="left"/>
            </w:pPr>
            <w:r>
              <w:rPr>
                <w:rFonts w:ascii="Calibri" w:hAnsi="Calibri"/>
                <w:b w:val="0"/>
                <w:color w:val="212529"/>
                <w:sz w:val="17"/>
              </w:rPr>
              <w:t>Chi-Square</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3,197.6</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13</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864"/>
            <w:shd w:fill="FFFFFF"/>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Cramer's V</w:t>
            </w:r>
          </w:p>
        </w:tc>
        <w:tc>
          <w:tcPr>
            <w:tcW w:type="dxa" w:w="720"/>
            <w:shd w:fill="FFFFFF"/>
            <w:tcMar>
              <w:top w:w="70" w:type="dxa"/>
              <w:bottom w:w="70" w:type="dxa"/>
              <w:left w:w="100" w:type="dxa"/>
              <w:right w:w="100" w:type="dxa"/>
            </w:tcMar>
          </w:tcPr>
          <w:p>
            <w:pPr>
              <w:spacing w:after="0"/>
              <w:jc w:val="left"/>
            </w:pPr>
            <w:r>
              <w:rPr>
                <w:rFonts w:ascii="Calibri" w:hAnsi="Calibri"/>
                <w:b/>
                <w:color w:val="212529"/>
                <w:sz w:val="17"/>
              </w:rPr>
              <w:t>0.3135</w:t>
            </w:r>
          </w:p>
        </w:tc>
        <w:tc>
          <w:tcPr>
            <w:tcW w:type="dxa" w:w="1008"/>
            <w:shd w:fill="FFFFFF"/>
            <w:tcMar>
              <w:top w:w="70" w:type="dxa"/>
              <w:bottom w:w="70" w:type="dxa"/>
              <w:left w:w="100" w:type="dxa"/>
              <w:right w:w="100" w:type="dxa"/>
            </w:tcMar>
          </w:tcPr>
          <w:p>
            <w:pPr>
              <w:spacing w:after="0"/>
              <w:jc w:val="left"/>
            </w:pPr>
            <w:r>
              <w:rPr>
                <w:rFonts w:ascii="Calibri" w:hAnsi="Calibri"/>
                <w:b/>
                <w:color w:val="27AE60"/>
                <w:sz w:val="17"/>
              </w:rPr>
              <w:t>Reject H0</w:t>
            </w:r>
          </w:p>
        </w:tc>
      </w:tr>
      <w:tr>
        <w:tc>
          <w:tcPr>
            <w:tcW w:type="dxa" w:w="720"/>
            <w:shd w:fill="F8F9FA"/>
            <w:tcMar>
              <w:top w:w="70" w:type="dxa"/>
              <w:bottom w:w="70" w:type="dxa"/>
              <w:left w:w="100" w:type="dxa"/>
              <w:right w:w="100" w:type="dxa"/>
            </w:tcMar>
          </w:tcPr>
          <w:p>
            <w:pPr>
              <w:spacing w:after="0"/>
              <w:jc w:val="left"/>
            </w:pPr>
            <w:r>
              <w:rPr>
                <w:rFonts w:ascii="Calibri" w:hAnsi="Calibri"/>
                <w:b/>
                <w:color w:val="212529"/>
                <w:sz w:val="17"/>
              </w:rPr>
              <w:t>RQ5</w:t>
            </w:r>
          </w:p>
        </w:tc>
        <w:tc>
          <w:tcPr>
            <w:tcW w:type="dxa" w:w="1872"/>
            <w:shd w:fill="F8F9FA"/>
            <w:tcMar>
              <w:top w:w="70" w:type="dxa"/>
              <w:bottom w:w="70" w:type="dxa"/>
              <w:left w:w="100" w:type="dxa"/>
              <w:right w:w="100" w:type="dxa"/>
            </w:tcMar>
          </w:tcPr>
          <w:p>
            <w:pPr>
              <w:spacing w:after="0"/>
              <w:jc w:val="left"/>
            </w:pPr>
            <w:r>
              <w:rPr>
                <w:rFonts w:ascii="Calibri" w:hAnsi="Calibri"/>
                <w:b w:val="0"/>
                <w:color w:val="212529"/>
                <w:sz w:val="17"/>
              </w:rPr>
              <w:t>Edu Num vs Hours</w:t>
            </w:r>
          </w:p>
        </w:tc>
        <w:tc>
          <w:tcPr>
            <w:tcW w:type="dxa" w:w="1440"/>
            <w:shd w:fill="F8F9FA"/>
            <w:tcMar>
              <w:top w:w="70" w:type="dxa"/>
              <w:bottom w:w="70" w:type="dxa"/>
              <w:left w:w="100" w:type="dxa"/>
              <w:right w:w="100" w:type="dxa"/>
            </w:tcMar>
          </w:tcPr>
          <w:p>
            <w:pPr>
              <w:spacing w:after="0"/>
              <w:jc w:val="left"/>
            </w:pPr>
            <w:r>
              <w:rPr>
                <w:rFonts w:ascii="Calibri" w:hAnsi="Calibri"/>
                <w:b w:val="0"/>
                <w:color w:val="212529"/>
                <w:sz w:val="17"/>
              </w:rPr>
              <w:t>Pearson r</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27.07</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32,535</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864"/>
            <w:shd w:fill="F8F9FA"/>
            <w:tcMar>
              <w:top w:w="70" w:type="dxa"/>
              <w:bottom w:w="70" w:type="dxa"/>
              <w:left w:w="100" w:type="dxa"/>
              <w:right w:w="100" w:type="dxa"/>
            </w:tcMar>
          </w:tcPr>
          <w:p>
            <w:pPr>
              <w:spacing w:after="0"/>
              <w:jc w:val="left"/>
            </w:pPr>
            <w:r>
              <w:rPr>
                <w:rFonts w:ascii="Calibri" w:hAnsi="Calibri"/>
                <w:b w:val="0"/>
                <w:color w:val="212529"/>
                <w:sz w:val="17"/>
              </w:rPr>
              <w:t>&lt; 0.0001</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Pearson r</w:t>
            </w:r>
          </w:p>
        </w:tc>
        <w:tc>
          <w:tcPr>
            <w:tcW w:type="dxa" w:w="720"/>
            <w:shd w:fill="F8F9FA"/>
            <w:tcMar>
              <w:top w:w="70" w:type="dxa"/>
              <w:bottom w:w="70" w:type="dxa"/>
              <w:left w:w="100" w:type="dxa"/>
              <w:right w:w="100" w:type="dxa"/>
            </w:tcMar>
          </w:tcPr>
          <w:p>
            <w:pPr>
              <w:spacing w:after="0"/>
              <w:jc w:val="left"/>
            </w:pPr>
            <w:r>
              <w:rPr>
                <w:rFonts w:ascii="Calibri" w:hAnsi="Calibri"/>
                <w:b/>
                <w:color w:val="212529"/>
                <w:sz w:val="17"/>
              </w:rPr>
              <w:t>0.1484</w:t>
            </w:r>
          </w:p>
        </w:tc>
        <w:tc>
          <w:tcPr>
            <w:tcW w:type="dxa" w:w="1008"/>
            <w:shd w:fill="F8F9FA"/>
            <w:tcMar>
              <w:top w:w="70" w:type="dxa"/>
              <w:bottom w:w="70" w:type="dxa"/>
              <w:left w:w="100" w:type="dxa"/>
              <w:right w:w="100" w:type="dxa"/>
            </w:tcMar>
          </w:tcPr>
          <w:p>
            <w:pPr>
              <w:spacing w:after="0"/>
              <w:jc w:val="left"/>
            </w:pPr>
            <w:r>
              <w:rPr>
                <w:rFonts w:ascii="Calibri" w:hAnsi="Calibri"/>
                <w:b/>
                <w:color w:val="27AE60"/>
                <w:sz w:val="17"/>
              </w:rPr>
              <w:t>Reject H0</w:t>
            </w:r>
          </w:p>
        </w:tc>
      </w:tr>
    </w:tbl>
    <w:p>
      <w:pPr>
        <w:spacing w:before="40" w:after="160"/>
      </w:pPr>
      <w:r>
        <w:rPr>
          <w:i/>
          <w:color w:val="6C757D"/>
          <w:sz w:val="17"/>
        </w:rPr>
        <w:t>Table 7.1: Master hypothesis testing registry across all eight verified inferential evaluations.</w:t>
      </w:r>
    </w:p>
    <w:p>
      <w:pPr>
        <w:spacing w:before="160" w:after="60"/>
        <w:jc w:val="center"/>
      </w:pPr>
      <w:r>
        <w:drawing>
          <wp:inline xmlns:a="http://schemas.openxmlformats.org/drawingml/2006/main" xmlns:pic="http://schemas.openxmlformats.org/drawingml/2006/picture">
            <wp:extent cx="5212080" cy="2606040"/>
            <wp:docPr id="9" name="Picture 9"/>
            <wp:cNvGraphicFramePr>
              <a:graphicFrameLocks noChangeAspect="1"/>
            </wp:cNvGraphicFramePr>
            <a:graphic>
              <a:graphicData uri="http://schemas.openxmlformats.org/drawingml/2006/picture">
                <pic:pic>
                  <pic:nvPicPr>
                    <pic:cNvPr id="0" name="week3_normality_qq_plots.png"/>
                    <pic:cNvPicPr/>
                  </pic:nvPicPr>
                  <pic:blipFill>
                    <a:blip r:embed="rId19"/>
                    <a:stretch>
                      <a:fillRect/>
                    </a:stretch>
                  </pic:blipFill>
                  <pic:spPr>
                    <a:xfrm>
                      <a:off x="0" y="0"/>
                      <a:ext cx="5212080" cy="2606040"/>
                    </a:xfrm>
                    <a:prstGeom prst="rect"/>
                  </pic:spPr>
                </pic:pic>
              </a:graphicData>
            </a:graphic>
          </wp:inline>
        </w:drawing>
      </w:r>
    </w:p>
    <w:p>
      <w:pPr>
        <w:spacing w:after="160"/>
        <w:jc w:val="center"/>
      </w:pPr>
      <w:r>
        <w:rPr>
          <w:b/>
          <w:color w:val="1B365D"/>
          <w:sz w:val="19"/>
        </w:rPr>
        <w:t xml:space="preserve">Figure 7.1: </w:t>
      </w:r>
      <w:r>
        <w:rPr>
          <w:b/>
          <w:color w:val="465C7A"/>
          <w:sz w:val="19"/>
        </w:rPr>
        <w:t xml:space="preserve">Normal Quantile-Quantile (Q-Q) Diagnostics. </w:t>
      </w:r>
      <w:r>
        <w:rPr>
          <w:i/>
          <w:color w:val="6C757D"/>
          <w:sz w:val="18"/>
        </w:rPr>
        <w:t>Empirical Q-Q plots for continuous variables illustrating heavy-tailed departures and validating the use of robust Welch t-tests and non-parametric Wilcoxon tests.</w:t>
      </w:r>
    </w:p>
    <w:p>
      <w:pPr>
        <w:pStyle w:val="Heading1"/>
        <w:keepNext/>
        <w:spacing w:before="360" w:after="120"/>
      </w:pPr>
      <w:r>
        <w:rPr>
          <w:rFonts w:ascii="Calibri" w:hAnsi="Calibri"/>
          <w:b/>
          <w:color w:val="1B365D"/>
          <w:sz w:val="32"/>
        </w:rPr>
        <w:t>Section 8 — Week 3: Predictive Modeling</w:t>
      </w:r>
    </w:p>
    <w:p>
      <w:pPr>
        <w:spacing w:after="120" w:line="276" w:lineRule="auto"/>
      </w:pPr>
      <w:r>
        <w:rPr>
          <w:rFonts w:ascii="Calibri" w:hAnsi="Calibri"/>
          <w:color w:val="212529"/>
          <w:sz w:val="21"/>
        </w:rPr>
        <w:t>Building upon the inferential findings of Section 7, R/11_week3_modeling.R implemented supervised binary classification to model individual income tier (&gt;50K vs. &lt;=50K). To prevent data snooping and ensure rigorous out-of-sample generalization, the dataset was partitioned using stratified sampling into an 80% training set (N = 26,029) and a 20% held-out testing set (N = 6,508) under fixed seed (2026). Both partitions preserved the empirical 75.91% / 24.09% class ratio exactly (training: 19,758 &lt;=$50K, 6,271 &gt;$50K; testing: 4,940 &lt;=$50K, 1,568 &gt;$50K).</w:t>
      </w:r>
    </w:p>
    <w:p>
      <w:pPr>
        <w:pStyle w:val="Heading2"/>
        <w:keepNext/>
        <w:spacing w:before="260" w:after="80"/>
      </w:pPr>
      <w:r>
        <w:rPr>
          <w:rFonts w:ascii="Calibri" w:hAnsi="Calibri"/>
          <w:b/>
          <w:color w:val="465C7A"/>
          <w:sz w:val="26"/>
        </w:rPr>
        <w:t>8.1 Model Architectures and Estimation Framework</w:t>
      </w:r>
    </w:p>
    <w:p>
      <w:pPr>
        <w:pStyle w:val="ListBullet"/>
        <w:spacing w:after="60" w:line="276" w:lineRule="auto"/>
      </w:pPr>
      <w:r>
        <w:rPr>
          <w:rFonts w:ascii="Calibri" w:hAnsi="Calibri"/>
          <w:b/>
          <w:color w:val="212529"/>
          <w:sz w:val="20"/>
        </w:rPr>
        <w:t xml:space="preserve">1. Zero-Rule Baseline Classifier: </w:t>
      </w:r>
      <w:r>
        <w:rPr>
          <w:rFonts w:ascii="Calibri" w:hAnsi="Calibri"/>
          <w:color w:val="212529"/>
          <w:sz w:val="20"/>
        </w:rPr>
        <w:t>Predicts the majority class (&lt;=50K) for every individual. Establishes the naive performance benchmark: Accuracy = 75.91%, Balanced Accuracy = 50.00%, Sensitivity = 0.00%, Specificity = 100.00%, and ROC-AUC = 0.5000.</w:t>
      </w:r>
    </w:p>
    <w:p>
      <w:pPr>
        <w:pStyle w:val="ListBullet"/>
        <w:spacing w:after="60" w:line="276" w:lineRule="auto"/>
      </w:pPr>
      <w:r>
        <w:rPr>
          <w:rFonts w:ascii="Calibri" w:hAnsi="Calibri"/>
          <w:b/>
          <w:color w:val="212529"/>
          <w:sz w:val="20"/>
        </w:rPr>
        <w:t xml:space="preserve">2. Standard Multivariate Logistic Regression: </w:t>
      </w:r>
      <w:r>
        <w:rPr>
          <w:rFonts w:ascii="Calibri" w:hAnsi="Calibri"/>
          <w:color w:val="212529"/>
          <w:sz w:val="20"/>
        </w:rPr>
        <w:t>Estimated via stats::glm(family = binomial(link = 'logit')). Uses the full design matrix of demographic, educational, and occupational features. Generates interpretable odds ratios (exp(beta)) with 95% Wald confidence intervals.</w:t>
      </w:r>
    </w:p>
    <w:p>
      <w:pPr>
        <w:pStyle w:val="ListBullet"/>
        <w:spacing w:after="60" w:line="276" w:lineRule="auto"/>
      </w:pPr>
      <w:r>
        <w:rPr>
          <w:rFonts w:ascii="Calibri" w:hAnsi="Calibri"/>
          <w:b/>
          <w:color w:val="212529"/>
          <w:sz w:val="20"/>
        </w:rPr>
        <w:t xml:space="preserve">3. Elastic-Net Regularized Logistic Regression: </w:t>
      </w:r>
      <w:r>
        <w:rPr>
          <w:rFonts w:ascii="Calibri" w:hAnsi="Calibri"/>
          <w:color w:val="212529"/>
          <w:sz w:val="20"/>
        </w:rPr>
        <w:t>Estimated via glmnet::cv.glmnet() with alpha = 0.5 (mixing L1 lasso and L2 ridge penalties). Hyperparameter lambda was optimized across a 100-point path using 5-fold cross-validation on the training set (lambda.min = 0.0012, lambda.1se = 0.0076) to penalize redundant coefficients.</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50" w:type="dxa"/>
              <w:right w:w="140" w:type="dxa"/>
            </w:tcMar>
            <w:tcBorders>
              <w:top w:val="single" w:sz="4" w:space="0" w:color="D0D7DE"/>
              <w:bottom w:val="single" w:sz="4" w:space="0" w:color="D0D7DE"/>
              <w:right w:val="single" w:sz="4" w:space="0" w:color="D0D7DE"/>
              <w:left w:val="single" w:sz="24" w:space="0" w:color="1B365D"/>
            </w:tcBorders>
          </w:tcPr>
          <w:p>
            <w:pPr>
              <w:spacing w:after="0" w:line="252" w:lineRule="auto"/>
            </w:pPr>
            <w:r>
              <w:rPr>
                <w:rFonts w:ascii="Consolas" w:hAnsi="Consolas"/>
                <w:color w:val="282C34"/>
                <w:sz w:val="17"/>
              </w:rPr>
              <w:t># Excerpt from R/11_week3_modeling.R: Modeling Architecture and Cross-Validation</w:t>
              <w:br/>
              <w:t xml:space="preserve">formula_full &lt;- target ~ age + workclass + education_num + marital_status + </w:t>
              <w:br/>
              <w:t xml:space="preserve">                         occupation + relationship + race + sex + </w:t>
              <w:br/>
              <w:t xml:space="preserve">                         capital_gain + capital_loss + hours_per_week + native_region</w:t>
              <w:br/>
              <w:br/>
              <w:t># 1. Standard Logistic Regression</w:t>
              <w:br/>
              <w:t>fit_glm &lt;- glm(formula_full, data = train_data, family = binomial(link = "logit"))</w:t>
              <w:br/>
              <w:br/>
              <w:t># 2. Elastic Net Regularized Logistic Regression via 5-fold Cross-Validation</w:t>
              <w:br/>
              <w:t>X_train &lt;- model.matrix(formula_full, data = train_data)[, -1]</w:t>
              <w:br/>
              <w:t>y_train &lt;- train_data$target</w:t>
              <w:br/>
              <w:t>set.seed(2026)</w:t>
              <w:br/>
              <w:t>cv_enet &lt;- cv.glmnet(X_train, y_train, family = "binomial", alpha = 0.5, nfolds = 5)</w:t>
              <w:br/>
              <w:t>best_lambda &lt;- cv_enet$lambda.min # Optimal sparsity penalty</w:t>
            </w:r>
          </w:p>
        </w:tc>
      </w:tr>
    </w:tbl>
    <w:p>
      <w:pPr>
        <w:spacing w:before="40" w:after="120"/>
      </w:pPr>
      <w:r>
        <w:rPr>
          <w:rFonts w:ascii="Calibri" w:hAnsi="Calibri"/>
          <w:i/>
          <w:color w:val="6C757D"/>
          <w:sz w:val="17"/>
        </w:rPr>
        <w:t>Code Listing: Stratified model estimation and cross-validated elastic-net tuning in R/11_week3_modeling.R.</w:t>
      </w:r>
    </w:p>
    <w:p>
      <w:pPr>
        <w:pStyle w:val="Heading2"/>
        <w:keepNext/>
        <w:spacing w:before="260" w:after="80"/>
      </w:pPr>
      <w:r>
        <w:rPr>
          <w:rFonts w:ascii="Calibri" w:hAnsi="Calibri"/>
          <w:b/>
          <w:color w:val="465C7A"/>
          <w:sz w:val="26"/>
        </w:rPr>
        <w:t>8.2 Odds Ratio Interpretation and Key Predictors</w:t>
      </w:r>
    </w:p>
    <w:p>
      <w:pPr>
        <w:spacing w:after="120" w:line="276" w:lineRule="auto"/>
      </w:pPr>
      <w:r>
        <w:rPr>
          <w:rFonts w:ascii="Calibri" w:hAnsi="Calibri"/>
          <w:color w:val="212529"/>
          <w:sz w:val="21"/>
        </w:rPr>
        <w:t>Table 8.1 presents key exponentiated coefficients (odds ratios) and 95% confidence intervals from the standard logistic regression model (outputs/week3_model/odds_ratios.csv):</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1872"/>
        <w:gridCol w:w="1872"/>
        <w:gridCol w:w="1872"/>
        <w:gridCol w:w="1872"/>
        <w:gridCol w:w="1872"/>
      </w:tblGrid>
      <w:tr>
        <w:tc>
          <w:tcPr>
            <w:tcW w:type="dxa" w:w="2592"/>
            <w:shd w:fill="1B365D"/>
            <w:tcMar>
              <w:top w:w="100" w:type="dxa"/>
              <w:bottom w:w="100" w:type="dxa"/>
              <w:left w:w="100" w:type="dxa"/>
              <w:right w:w="100" w:type="dxa"/>
            </w:tcMar>
          </w:tcPr>
          <w:p>
            <w:pPr>
              <w:spacing w:after="0"/>
              <w:jc w:val="left"/>
            </w:pPr>
            <w:r>
              <w:rPr>
                <w:rFonts w:ascii="Calibri" w:hAnsi="Calibri"/>
                <w:b/>
                <w:color w:val="FFFFFF"/>
                <w:sz w:val="18"/>
              </w:rPr>
              <w:t>Predictor Term</w:t>
            </w:r>
          </w:p>
        </w:tc>
        <w:tc>
          <w:tcPr>
            <w:tcW w:type="dxa" w:w="1296"/>
            <w:shd w:fill="1B365D"/>
            <w:tcMar>
              <w:top w:w="100" w:type="dxa"/>
              <w:bottom w:w="100" w:type="dxa"/>
              <w:left w:w="100" w:type="dxa"/>
              <w:right w:w="100" w:type="dxa"/>
            </w:tcMar>
          </w:tcPr>
          <w:p>
            <w:pPr>
              <w:spacing w:after="0"/>
              <w:jc w:val="left"/>
            </w:pPr>
            <w:r>
              <w:rPr>
                <w:rFonts w:ascii="Calibri" w:hAnsi="Calibri"/>
                <w:b/>
                <w:color w:val="FFFFFF"/>
                <w:sz w:val="18"/>
              </w:rPr>
              <w:t>Odds Ratio</w:t>
            </w:r>
          </w:p>
        </w:tc>
        <w:tc>
          <w:tcPr>
            <w:tcW w:type="dxa" w:w="1728"/>
            <w:shd w:fill="1B365D"/>
            <w:tcMar>
              <w:top w:w="100" w:type="dxa"/>
              <w:bottom w:w="100" w:type="dxa"/>
              <w:left w:w="100" w:type="dxa"/>
              <w:right w:w="100" w:type="dxa"/>
            </w:tcMar>
          </w:tcPr>
          <w:p>
            <w:pPr>
              <w:spacing w:after="0"/>
              <w:jc w:val="left"/>
            </w:pPr>
            <w:r>
              <w:rPr>
                <w:rFonts w:ascii="Calibri" w:hAnsi="Calibri"/>
                <w:b/>
                <w:color w:val="FFFFFF"/>
                <w:sz w:val="18"/>
              </w:rPr>
              <w:t>95% Conf. Int.</w:t>
            </w:r>
          </w:p>
        </w:tc>
        <w:tc>
          <w:tcPr>
            <w:tcW w:type="dxa" w:w="1152"/>
            <w:shd w:fill="1B365D"/>
            <w:tcMar>
              <w:top w:w="100" w:type="dxa"/>
              <w:bottom w:w="100" w:type="dxa"/>
              <w:left w:w="100" w:type="dxa"/>
              <w:right w:w="100" w:type="dxa"/>
            </w:tcMar>
          </w:tcPr>
          <w:p>
            <w:pPr>
              <w:spacing w:after="0"/>
              <w:jc w:val="left"/>
            </w:pPr>
            <w:r>
              <w:rPr>
                <w:rFonts w:ascii="Calibri" w:hAnsi="Calibri"/>
                <w:b/>
                <w:color w:val="FFFFFF"/>
                <w:sz w:val="18"/>
              </w:rPr>
              <w:t>p-value</w:t>
            </w:r>
          </w:p>
        </w:tc>
        <w:tc>
          <w:tcPr>
            <w:tcW w:type="dxa" w:w="2592"/>
            <w:shd w:fill="1B365D"/>
            <w:tcMar>
              <w:top w:w="100" w:type="dxa"/>
              <w:bottom w:w="100" w:type="dxa"/>
              <w:left w:w="100" w:type="dxa"/>
              <w:right w:w="100" w:type="dxa"/>
            </w:tcMar>
          </w:tcPr>
          <w:p>
            <w:pPr>
              <w:spacing w:after="0"/>
              <w:jc w:val="left"/>
            </w:pPr>
            <w:r>
              <w:rPr>
                <w:rFonts w:ascii="Calibri" w:hAnsi="Calibri"/>
                <w:b/>
                <w:color w:val="FFFFFF"/>
                <w:sz w:val="18"/>
              </w:rPr>
              <w:t>Economic Interpretation</w:t>
            </w:r>
          </w:p>
        </w:tc>
      </w:tr>
      <w:tr>
        <w:tc>
          <w:tcPr>
            <w:tcW w:type="dxa" w:w="2592"/>
            <w:shd w:fill="FFFFFF"/>
            <w:tcMar>
              <w:top w:w="70" w:type="dxa"/>
              <w:bottom w:w="70" w:type="dxa"/>
              <w:left w:w="100" w:type="dxa"/>
              <w:right w:w="100" w:type="dxa"/>
            </w:tcMar>
          </w:tcPr>
          <w:p>
            <w:pPr>
              <w:spacing w:after="0"/>
              <w:jc w:val="left"/>
            </w:pPr>
            <w:r>
              <w:rPr>
                <w:rFonts w:ascii="Calibri" w:hAnsi="Calibri"/>
                <w:b/>
                <w:color w:val="212529"/>
                <w:sz w:val="17"/>
              </w:rPr>
              <w:t>marital_statusMarried-civ-spouse</w:t>
            </w:r>
          </w:p>
        </w:tc>
        <w:tc>
          <w:tcPr>
            <w:tcW w:type="dxa" w:w="1296"/>
            <w:shd w:fill="FFFFFF"/>
            <w:tcMar>
              <w:top w:w="70" w:type="dxa"/>
              <w:bottom w:w="70" w:type="dxa"/>
              <w:left w:w="100" w:type="dxa"/>
              <w:right w:w="100" w:type="dxa"/>
            </w:tcMar>
          </w:tcPr>
          <w:p>
            <w:pPr>
              <w:spacing w:after="0"/>
              <w:jc w:val="left"/>
            </w:pPr>
            <w:r>
              <w:rPr>
                <w:rFonts w:ascii="Calibri" w:hAnsi="Calibri"/>
                <w:b/>
                <w:color w:val="212529"/>
                <w:sz w:val="17"/>
              </w:rPr>
              <w:t>7.1641</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[3.8836, 13.2158]</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&lt; 1e-04</w:t>
            </w:r>
          </w:p>
        </w:tc>
        <w:tc>
          <w:tcPr>
            <w:tcW w:type="dxa" w:w="2592"/>
            <w:shd w:fill="FFFFFF"/>
            <w:tcMar>
              <w:top w:w="70" w:type="dxa"/>
              <w:bottom w:w="70" w:type="dxa"/>
              <w:left w:w="100" w:type="dxa"/>
              <w:right w:w="100" w:type="dxa"/>
            </w:tcMar>
          </w:tcPr>
          <w:p>
            <w:pPr>
              <w:spacing w:after="0"/>
              <w:jc w:val="left"/>
            </w:pPr>
            <w:r>
              <w:rPr>
                <w:rFonts w:ascii="Calibri" w:hAnsi="Calibri"/>
                <w:b w:val="0"/>
                <w:color w:val="212529"/>
                <w:sz w:val="17"/>
              </w:rPr>
              <w:t>Civilian marriage increases modeled odds of &gt;50K sevenfold relative to Divorced reference.</w:t>
            </w:r>
          </w:p>
        </w:tc>
      </w:tr>
      <w:tr>
        <w:tc>
          <w:tcPr>
            <w:tcW w:type="dxa" w:w="2592"/>
            <w:shd w:fill="F8F9FA"/>
            <w:tcMar>
              <w:top w:w="70" w:type="dxa"/>
              <w:bottom w:w="70" w:type="dxa"/>
              <w:left w:w="100" w:type="dxa"/>
              <w:right w:w="100" w:type="dxa"/>
            </w:tcMar>
          </w:tcPr>
          <w:p>
            <w:pPr>
              <w:spacing w:after="0"/>
              <w:jc w:val="left"/>
            </w:pPr>
            <w:r>
              <w:rPr>
                <w:rFonts w:ascii="Calibri" w:hAnsi="Calibri"/>
                <w:b/>
                <w:color w:val="212529"/>
                <w:sz w:val="17"/>
              </w:rPr>
              <w:t>occupationExec-managerial</w:t>
            </w:r>
          </w:p>
        </w:tc>
        <w:tc>
          <w:tcPr>
            <w:tcW w:type="dxa" w:w="1296"/>
            <w:shd w:fill="F8F9FA"/>
            <w:tcMar>
              <w:top w:w="70" w:type="dxa"/>
              <w:bottom w:w="70" w:type="dxa"/>
              <w:left w:w="100" w:type="dxa"/>
              <w:right w:w="100" w:type="dxa"/>
            </w:tcMar>
          </w:tcPr>
          <w:p>
            <w:pPr>
              <w:spacing w:after="0"/>
              <w:jc w:val="left"/>
            </w:pPr>
            <w:r>
              <w:rPr>
                <w:rFonts w:ascii="Calibri" w:hAnsi="Calibri"/>
                <w:b/>
                <w:color w:val="212529"/>
                <w:sz w:val="17"/>
              </w:rPr>
              <w:t>2.0953</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[1.7735, 2.4755]</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&lt; 1e-04</w:t>
            </w:r>
          </w:p>
        </w:tc>
        <w:tc>
          <w:tcPr>
            <w:tcW w:type="dxa" w:w="2592"/>
            <w:shd w:fill="F8F9FA"/>
            <w:tcMar>
              <w:top w:w="70" w:type="dxa"/>
              <w:bottom w:w="70" w:type="dxa"/>
              <w:left w:w="100" w:type="dxa"/>
              <w:right w:w="100" w:type="dxa"/>
            </w:tcMar>
          </w:tcPr>
          <w:p>
            <w:pPr>
              <w:spacing w:after="0"/>
              <w:jc w:val="left"/>
            </w:pPr>
            <w:r>
              <w:rPr>
                <w:rFonts w:ascii="Calibri" w:hAnsi="Calibri"/>
                <w:b w:val="0"/>
                <w:color w:val="212529"/>
                <w:sz w:val="17"/>
              </w:rPr>
              <w:t>Executive-managerial roles double modeled odds relative to Adm-clerical reference.</w:t>
            </w:r>
          </w:p>
        </w:tc>
      </w:tr>
      <w:tr>
        <w:tc>
          <w:tcPr>
            <w:tcW w:type="dxa" w:w="2592"/>
            <w:shd w:fill="FFFFFF"/>
            <w:tcMar>
              <w:top w:w="70" w:type="dxa"/>
              <w:bottom w:w="70" w:type="dxa"/>
              <w:left w:w="100" w:type="dxa"/>
              <w:right w:w="100" w:type="dxa"/>
            </w:tcMar>
          </w:tcPr>
          <w:p>
            <w:pPr>
              <w:spacing w:after="0"/>
              <w:jc w:val="left"/>
            </w:pPr>
            <w:r>
              <w:rPr>
                <w:rFonts w:ascii="Calibri" w:hAnsi="Calibri"/>
                <w:b/>
                <w:color w:val="212529"/>
                <w:sz w:val="17"/>
              </w:rPr>
              <w:t>occupationProf-specialty</w:t>
            </w:r>
          </w:p>
        </w:tc>
        <w:tc>
          <w:tcPr>
            <w:tcW w:type="dxa" w:w="1296"/>
            <w:shd w:fill="FFFFFF"/>
            <w:tcMar>
              <w:top w:w="70" w:type="dxa"/>
              <w:bottom w:w="70" w:type="dxa"/>
              <w:left w:w="100" w:type="dxa"/>
              <w:right w:w="100" w:type="dxa"/>
            </w:tcMar>
          </w:tcPr>
          <w:p>
            <w:pPr>
              <w:spacing w:after="0"/>
              <w:jc w:val="left"/>
            </w:pPr>
            <w:r>
              <w:rPr>
                <w:rFonts w:ascii="Calibri" w:hAnsi="Calibri"/>
                <w:b/>
                <w:color w:val="212529"/>
                <w:sz w:val="17"/>
              </w:rPr>
              <w:t>1.7428</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[1.4795, 2.0528]</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&lt; 1e-04</w:t>
            </w:r>
          </w:p>
        </w:tc>
        <w:tc>
          <w:tcPr>
            <w:tcW w:type="dxa" w:w="2592"/>
            <w:shd w:fill="FFFFFF"/>
            <w:tcMar>
              <w:top w:w="70" w:type="dxa"/>
              <w:bottom w:w="70" w:type="dxa"/>
              <w:left w:w="100" w:type="dxa"/>
              <w:right w:w="100" w:type="dxa"/>
            </w:tcMar>
          </w:tcPr>
          <w:p>
            <w:pPr>
              <w:spacing w:after="0"/>
              <w:jc w:val="left"/>
            </w:pPr>
            <w:r>
              <w:rPr>
                <w:rFonts w:ascii="Calibri" w:hAnsi="Calibri"/>
                <w:b w:val="0"/>
                <w:color w:val="212529"/>
                <w:sz w:val="17"/>
              </w:rPr>
              <w:t>Professional specialty roles increase modeled odds by 74.3%.</w:t>
            </w:r>
          </w:p>
        </w:tc>
      </w:tr>
      <w:tr>
        <w:tc>
          <w:tcPr>
            <w:tcW w:type="dxa" w:w="2592"/>
            <w:shd w:fill="F8F9FA"/>
            <w:tcMar>
              <w:top w:w="70" w:type="dxa"/>
              <w:bottom w:w="70" w:type="dxa"/>
              <w:left w:w="100" w:type="dxa"/>
              <w:right w:w="100" w:type="dxa"/>
            </w:tcMar>
          </w:tcPr>
          <w:p>
            <w:pPr>
              <w:spacing w:after="0"/>
              <w:jc w:val="left"/>
            </w:pPr>
            <w:r>
              <w:rPr>
                <w:rFonts w:ascii="Calibri" w:hAnsi="Calibri"/>
                <w:b/>
                <w:color w:val="212529"/>
                <w:sz w:val="17"/>
              </w:rPr>
              <w:t>education_num</w:t>
            </w:r>
          </w:p>
        </w:tc>
        <w:tc>
          <w:tcPr>
            <w:tcW w:type="dxa" w:w="1296"/>
            <w:shd w:fill="F8F9FA"/>
            <w:tcMar>
              <w:top w:w="70" w:type="dxa"/>
              <w:bottom w:w="70" w:type="dxa"/>
              <w:left w:w="100" w:type="dxa"/>
              <w:right w:w="100" w:type="dxa"/>
            </w:tcMar>
          </w:tcPr>
          <w:p>
            <w:pPr>
              <w:spacing w:after="0"/>
              <w:jc w:val="left"/>
            </w:pPr>
            <w:r>
              <w:rPr>
                <w:rFonts w:ascii="Calibri" w:hAnsi="Calibri"/>
                <w:b/>
                <w:color w:val="212529"/>
                <w:sz w:val="17"/>
              </w:rPr>
              <w:t>1.3490</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[1.3228, 1.3756]</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&lt; 1e-04</w:t>
            </w:r>
          </w:p>
        </w:tc>
        <w:tc>
          <w:tcPr>
            <w:tcW w:type="dxa" w:w="2592"/>
            <w:shd w:fill="F8F9FA"/>
            <w:tcMar>
              <w:top w:w="70" w:type="dxa"/>
              <w:bottom w:w="70" w:type="dxa"/>
              <w:left w:w="100" w:type="dxa"/>
              <w:right w:w="100" w:type="dxa"/>
            </w:tcMar>
          </w:tcPr>
          <w:p>
            <w:pPr>
              <w:spacing w:after="0"/>
              <w:jc w:val="left"/>
            </w:pPr>
            <w:r>
              <w:rPr>
                <w:rFonts w:ascii="Calibri" w:hAnsi="Calibri"/>
                <w:b w:val="0"/>
                <w:color w:val="212529"/>
                <w:sz w:val="17"/>
              </w:rPr>
              <w:t>Each additional year of formal education increases modeled odds by 34.9%.</w:t>
            </w:r>
          </w:p>
        </w:tc>
      </w:tr>
      <w:tr>
        <w:tc>
          <w:tcPr>
            <w:tcW w:type="dxa" w:w="2592"/>
            <w:shd w:fill="FFFFFF"/>
            <w:tcMar>
              <w:top w:w="70" w:type="dxa"/>
              <w:bottom w:w="70" w:type="dxa"/>
              <w:left w:w="100" w:type="dxa"/>
              <w:right w:w="100" w:type="dxa"/>
            </w:tcMar>
          </w:tcPr>
          <w:p>
            <w:pPr>
              <w:spacing w:after="0"/>
              <w:jc w:val="left"/>
            </w:pPr>
            <w:r>
              <w:rPr>
                <w:rFonts w:ascii="Calibri" w:hAnsi="Calibri"/>
                <w:b/>
                <w:color w:val="212529"/>
                <w:sz w:val="17"/>
              </w:rPr>
              <w:t>hours_per_week</w:t>
            </w:r>
          </w:p>
        </w:tc>
        <w:tc>
          <w:tcPr>
            <w:tcW w:type="dxa" w:w="1296"/>
            <w:shd w:fill="FFFFFF"/>
            <w:tcMar>
              <w:top w:w="70" w:type="dxa"/>
              <w:bottom w:w="70" w:type="dxa"/>
              <w:left w:w="100" w:type="dxa"/>
              <w:right w:w="100" w:type="dxa"/>
            </w:tcMar>
          </w:tcPr>
          <w:p>
            <w:pPr>
              <w:spacing w:after="0"/>
              <w:jc w:val="left"/>
            </w:pPr>
            <w:r>
              <w:rPr>
                <w:rFonts w:ascii="Calibri" w:hAnsi="Calibri"/>
                <w:b/>
                <w:color w:val="212529"/>
                <w:sz w:val="17"/>
              </w:rPr>
              <w:t>1.0284</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[1.0244, 1.0324]</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&lt; 1e-04</w:t>
            </w:r>
          </w:p>
        </w:tc>
        <w:tc>
          <w:tcPr>
            <w:tcW w:type="dxa" w:w="2592"/>
            <w:shd w:fill="FFFFFF"/>
            <w:tcMar>
              <w:top w:w="70" w:type="dxa"/>
              <w:bottom w:w="70" w:type="dxa"/>
              <w:left w:w="100" w:type="dxa"/>
              <w:right w:w="100" w:type="dxa"/>
            </w:tcMar>
          </w:tcPr>
          <w:p>
            <w:pPr>
              <w:spacing w:after="0"/>
              <w:jc w:val="left"/>
            </w:pPr>
            <w:r>
              <w:rPr>
                <w:rFonts w:ascii="Calibri" w:hAnsi="Calibri"/>
                <w:b w:val="0"/>
                <w:color w:val="212529"/>
                <w:sz w:val="17"/>
              </w:rPr>
              <w:t>Each additional weekly hour worked increases modeled odds by 2.8%.</w:t>
            </w:r>
          </w:p>
        </w:tc>
      </w:tr>
      <w:tr>
        <w:tc>
          <w:tcPr>
            <w:tcW w:type="dxa" w:w="2592"/>
            <w:shd w:fill="F8F9FA"/>
            <w:tcMar>
              <w:top w:w="70" w:type="dxa"/>
              <w:bottom w:w="70" w:type="dxa"/>
              <w:left w:w="100" w:type="dxa"/>
              <w:right w:w="100" w:type="dxa"/>
            </w:tcMar>
          </w:tcPr>
          <w:p>
            <w:pPr>
              <w:spacing w:after="0"/>
              <w:jc w:val="left"/>
            </w:pPr>
            <w:r>
              <w:rPr>
                <w:rFonts w:ascii="Calibri" w:hAnsi="Calibri"/>
                <w:b/>
                <w:color w:val="212529"/>
                <w:sz w:val="17"/>
              </w:rPr>
              <w:t>age</w:t>
            </w:r>
          </w:p>
        </w:tc>
        <w:tc>
          <w:tcPr>
            <w:tcW w:type="dxa" w:w="1296"/>
            <w:shd w:fill="F8F9FA"/>
            <w:tcMar>
              <w:top w:w="70" w:type="dxa"/>
              <w:bottom w:w="70" w:type="dxa"/>
              <w:left w:w="100" w:type="dxa"/>
              <w:right w:w="100" w:type="dxa"/>
            </w:tcMar>
          </w:tcPr>
          <w:p>
            <w:pPr>
              <w:spacing w:after="0"/>
              <w:jc w:val="left"/>
            </w:pPr>
            <w:r>
              <w:rPr>
                <w:rFonts w:ascii="Calibri" w:hAnsi="Calibri"/>
                <w:b/>
                <w:color w:val="212529"/>
                <w:sz w:val="17"/>
              </w:rPr>
              <w:t>1.0237</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[1.0201, 1.0272]</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&lt; 1e-04</w:t>
            </w:r>
          </w:p>
        </w:tc>
        <w:tc>
          <w:tcPr>
            <w:tcW w:type="dxa" w:w="2592"/>
            <w:shd w:fill="F8F9FA"/>
            <w:tcMar>
              <w:top w:w="70" w:type="dxa"/>
              <w:bottom w:w="70" w:type="dxa"/>
              <w:left w:w="100" w:type="dxa"/>
              <w:right w:w="100" w:type="dxa"/>
            </w:tcMar>
          </w:tcPr>
          <w:p>
            <w:pPr>
              <w:spacing w:after="0"/>
              <w:jc w:val="left"/>
            </w:pPr>
            <w:r>
              <w:rPr>
                <w:rFonts w:ascii="Calibri" w:hAnsi="Calibri"/>
                <w:b w:val="0"/>
                <w:color w:val="212529"/>
                <w:sz w:val="17"/>
              </w:rPr>
              <w:t>Each additional year of age increases modeled odds by 2.4%.</w:t>
            </w:r>
          </w:p>
        </w:tc>
      </w:tr>
      <w:tr>
        <w:tc>
          <w:tcPr>
            <w:tcW w:type="dxa" w:w="2592"/>
            <w:shd w:fill="FFFFFF"/>
            <w:tcMar>
              <w:top w:w="70" w:type="dxa"/>
              <w:bottom w:w="70" w:type="dxa"/>
              <w:left w:w="100" w:type="dxa"/>
              <w:right w:w="100" w:type="dxa"/>
            </w:tcMar>
          </w:tcPr>
          <w:p>
            <w:pPr>
              <w:spacing w:after="0"/>
              <w:jc w:val="left"/>
            </w:pPr>
            <w:r>
              <w:rPr>
                <w:rFonts w:ascii="Calibri" w:hAnsi="Calibri"/>
                <w:b/>
                <w:color w:val="212529"/>
                <w:sz w:val="17"/>
              </w:rPr>
              <w:t>workclassSelf-emp-not-inc</w:t>
            </w:r>
          </w:p>
        </w:tc>
        <w:tc>
          <w:tcPr>
            <w:tcW w:type="dxa" w:w="1296"/>
            <w:shd w:fill="FFFFFF"/>
            <w:tcMar>
              <w:top w:w="70" w:type="dxa"/>
              <w:bottom w:w="70" w:type="dxa"/>
              <w:left w:w="100" w:type="dxa"/>
              <w:right w:w="100" w:type="dxa"/>
            </w:tcMar>
          </w:tcPr>
          <w:p>
            <w:pPr>
              <w:spacing w:after="0"/>
              <w:jc w:val="left"/>
            </w:pPr>
            <w:r>
              <w:rPr>
                <w:rFonts w:ascii="Calibri" w:hAnsi="Calibri"/>
                <w:b/>
                <w:color w:val="212529"/>
                <w:sz w:val="17"/>
              </w:rPr>
              <w:t>0.3635</w:t>
            </w:r>
          </w:p>
        </w:tc>
        <w:tc>
          <w:tcPr>
            <w:tcW w:type="dxa" w:w="1728"/>
            <w:shd w:fill="FFFFFF"/>
            <w:tcMar>
              <w:top w:w="70" w:type="dxa"/>
              <w:bottom w:w="70" w:type="dxa"/>
              <w:left w:w="100" w:type="dxa"/>
              <w:right w:w="100" w:type="dxa"/>
            </w:tcMar>
          </w:tcPr>
          <w:p>
            <w:pPr>
              <w:spacing w:after="0"/>
              <w:jc w:val="left"/>
            </w:pPr>
            <w:r>
              <w:rPr>
                <w:rFonts w:ascii="Calibri" w:hAnsi="Calibri"/>
                <w:b w:val="0"/>
                <w:color w:val="212529"/>
                <w:sz w:val="17"/>
              </w:rPr>
              <w:t>[0.2864, 0.4614]</w:t>
            </w:r>
          </w:p>
        </w:tc>
        <w:tc>
          <w:tcPr>
            <w:tcW w:type="dxa" w:w="1152"/>
            <w:shd w:fill="FFFFFF"/>
            <w:tcMar>
              <w:top w:w="70" w:type="dxa"/>
              <w:bottom w:w="70" w:type="dxa"/>
              <w:left w:w="100" w:type="dxa"/>
              <w:right w:w="100" w:type="dxa"/>
            </w:tcMar>
          </w:tcPr>
          <w:p>
            <w:pPr>
              <w:spacing w:after="0"/>
              <w:jc w:val="left"/>
            </w:pPr>
            <w:r>
              <w:rPr>
                <w:rFonts w:ascii="Calibri" w:hAnsi="Calibri"/>
                <w:b w:val="0"/>
                <w:color w:val="212529"/>
                <w:sz w:val="17"/>
              </w:rPr>
              <w:t>&lt; 1e-04</w:t>
            </w:r>
          </w:p>
        </w:tc>
        <w:tc>
          <w:tcPr>
            <w:tcW w:type="dxa" w:w="2592"/>
            <w:shd w:fill="FFFFFF"/>
            <w:tcMar>
              <w:top w:w="70" w:type="dxa"/>
              <w:bottom w:w="70" w:type="dxa"/>
              <w:left w:w="100" w:type="dxa"/>
              <w:right w:w="100" w:type="dxa"/>
            </w:tcMar>
          </w:tcPr>
          <w:p>
            <w:pPr>
              <w:spacing w:after="0"/>
              <w:jc w:val="left"/>
            </w:pPr>
            <w:r>
              <w:rPr>
                <w:rFonts w:ascii="Calibri" w:hAnsi="Calibri"/>
                <w:b w:val="0"/>
                <w:color w:val="212529"/>
                <w:sz w:val="17"/>
              </w:rPr>
              <w:t>Unincorporated self-employment reduces odds of &gt;50K by 63.7% relative to Federal-gov.</w:t>
            </w:r>
          </w:p>
        </w:tc>
      </w:tr>
      <w:tr>
        <w:tc>
          <w:tcPr>
            <w:tcW w:type="dxa" w:w="2592"/>
            <w:shd w:fill="F8F9FA"/>
            <w:tcMar>
              <w:top w:w="70" w:type="dxa"/>
              <w:bottom w:w="70" w:type="dxa"/>
              <w:left w:w="100" w:type="dxa"/>
              <w:right w:w="100" w:type="dxa"/>
            </w:tcMar>
          </w:tcPr>
          <w:p>
            <w:pPr>
              <w:spacing w:after="0"/>
              <w:jc w:val="left"/>
            </w:pPr>
            <w:r>
              <w:rPr>
                <w:rFonts w:ascii="Calibri" w:hAnsi="Calibri"/>
                <w:b/>
                <w:color w:val="212529"/>
                <w:sz w:val="17"/>
              </w:rPr>
              <w:t>marital_statusNever-married</w:t>
            </w:r>
          </w:p>
        </w:tc>
        <w:tc>
          <w:tcPr>
            <w:tcW w:type="dxa" w:w="1296"/>
            <w:shd w:fill="F8F9FA"/>
            <w:tcMar>
              <w:top w:w="70" w:type="dxa"/>
              <w:bottom w:w="70" w:type="dxa"/>
              <w:left w:w="100" w:type="dxa"/>
              <w:right w:w="100" w:type="dxa"/>
            </w:tcMar>
          </w:tcPr>
          <w:p>
            <w:pPr>
              <w:spacing w:after="0"/>
              <w:jc w:val="left"/>
            </w:pPr>
            <w:r>
              <w:rPr>
                <w:rFonts w:ascii="Calibri" w:hAnsi="Calibri"/>
                <w:b/>
                <w:color w:val="212529"/>
                <w:sz w:val="17"/>
              </w:rPr>
              <w:t>0.6468</w:t>
            </w:r>
          </w:p>
        </w:tc>
        <w:tc>
          <w:tcPr>
            <w:tcW w:type="dxa" w:w="1728"/>
            <w:shd w:fill="F8F9FA"/>
            <w:tcMar>
              <w:top w:w="70" w:type="dxa"/>
              <w:bottom w:w="70" w:type="dxa"/>
              <w:left w:w="100" w:type="dxa"/>
              <w:right w:w="100" w:type="dxa"/>
            </w:tcMar>
          </w:tcPr>
          <w:p>
            <w:pPr>
              <w:spacing w:after="0"/>
              <w:jc w:val="left"/>
            </w:pPr>
            <w:r>
              <w:rPr>
                <w:rFonts w:ascii="Calibri" w:hAnsi="Calibri"/>
                <w:b w:val="0"/>
                <w:color w:val="212529"/>
                <w:sz w:val="17"/>
              </w:rPr>
              <w:t>[0.5347, 0.7823]</w:t>
            </w:r>
          </w:p>
        </w:tc>
        <w:tc>
          <w:tcPr>
            <w:tcW w:type="dxa" w:w="1152"/>
            <w:shd w:fill="F8F9FA"/>
            <w:tcMar>
              <w:top w:w="70" w:type="dxa"/>
              <w:bottom w:w="70" w:type="dxa"/>
              <w:left w:w="100" w:type="dxa"/>
              <w:right w:w="100" w:type="dxa"/>
            </w:tcMar>
          </w:tcPr>
          <w:p>
            <w:pPr>
              <w:spacing w:after="0"/>
              <w:jc w:val="left"/>
            </w:pPr>
            <w:r>
              <w:rPr>
                <w:rFonts w:ascii="Calibri" w:hAnsi="Calibri"/>
                <w:b w:val="0"/>
                <w:color w:val="212529"/>
                <w:sz w:val="17"/>
              </w:rPr>
              <w:t>&lt; 1e-04</w:t>
            </w:r>
          </w:p>
        </w:tc>
        <w:tc>
          <w:tcPr>
            <w:tcW w:type="dxa" w:w="2592"/>
            <w:shd w:fill="F8F9FA"/>
            <w:tcMar>
              <w:top w:w="70" w:type="dxa"/>
              <w:bottom w:w="70" w:type="dxa"/>
              <w:left w:w="100" w:type="dxa"/>
              <w:right w:w="100" w:type="dxa"/>
            </w:tcMar>
          </w:tcPr>
          <w:p>
            <w:pPr>
              <w:spacing w:after="0"/>
              <w:jc w:val="left"/>
            </w:pPr>
            <w:r>
              <w:rPr>
                <w:rFonts w:ascii="Calibri" w:hAnsi="Calibri"/>
                <w:b w:val="0"/>
                <w:color w:val="212529"/>
                <w:sz w:val="17"/>
              </w:rPr>
              <w:t>Never-married status reduces modeled odds by 35.3% relative to Divorced.</w:t>
            </w:r>
          </w:p>
        </w:tc>
      </w:tr>
    </w:tbl>
    <w:p>
      <w:pPr>
        <w:spacing w:before="40" w:after="160"/>
      </w:pPr>
      <w:r>
        <w:rPr>
          <w:i/>
          <w:color w:val="6C757D"/>
          <w:sz w:val="17"/>
        </w:rPr>
        <w:t>Table 8.1: Selected adjusted odds ratios and 95% Wald confidence intervals from the standard logistic regression model.</w:t>
      </w:r>
    </w:p>
    <w:p>
      <w:pPr>
        <w:spacing w:before="160" w:after="60"/>
        <w:jc w:val="center"/>
      </w:pPr>
      <w:r>
        <w:drawing>
          <wp:inline xmlns:a="http://schemas.openxmlformats.org/drawingml/2006/main" xmlns:pic="http://schemas.openxmlformats.org/drawingml/2006/picture">
            <wp:extent cx="5212080" cy="3801752"/>
            <wp:docPr id="10" name="Picture 10"/>
            <wp:cNvGraphicFramePr>
              <a:graphicFrameLocks noChangeAspect="1"/>
            </wp:cNvGraphicFramePr>
            <a:graphic>
              <a:graphicData uri="http://schemas.openxmlformats.org/drawingml/2006/picture">
                <pic:pic>
                  <pic:nvPicPr>
                    <pic:cNvPr id="0" name="week3_odds_ratios_forest.png"/>
                    <pic:cNvPicPr/>
                  </pic:nvPicPr>
                  <pic:blipFill>
                    <a:blip r:embed="rId20"/>
                    <a:stretch>
                      <a:fillRect/>
                    </a:stretch>
                  </pic:blipFill>
                  <pic:spPr>
                    <a:xfrm>
                      <a:off x="0" y="0"/>
                      <a:ext cx="5212080" cy="3801752"/>
                    </a:xfrm>
                    <a:prstGeom prst="rect"/>
                  </pic:spPr>
                </pic:pic>
              </a:graphicData>
            </a:graphic>
          </wp:inline>
        </w:drawing>
      </w:r>
    </w:p>
    <w:p>
      <w:pPr>
        <w:spacing w:after="160"/>
        <w:jc w:val="center"/>
      </w:pPr>
      <w:r>
        <w:rPr>
          <w:b/>
          <w:color w:val="1B365D"/>
          <w:sz w:val="19"/>
        </w:rPr>
        <w:t xml:space="preserve">Figure 8.1: </w:t>
      </w:r>
      <w:r>
        <w:rPr>
          <w:b/>
          <w:color w:val="465C7A"/>
          <w:sz w:val="19"/>
        </w:rPr>
        <w:t xml:space="preserve">Odds Ratios Forest Plot for Logistic Regression Predictors. </w:t>
      </w:r>
      <w:r>
        <w:rPr>
          <w:i/>
          <w:color w:val="6C757D"/>
          <w:sz w:val="18"/>
        </w:rPr>
        <w:t>Log-scale forest plot depicting point estimates and 95% confidence intervals, highlighting the dominant odds multipliers for marital status, management, and education.</w:t>
      </w:r>
    </w:p>
    <w:p>
      <w:pPr>
        <w:pStyle w:val="Heading2"/>
        <w:keepNext/>
        <w:spacing w:before="260" w:after="80"/>
      </w:pPr>
      <w:r>
        <w:rPr>
          <w:rFonts w:ascii="Calibri" w:hAnsi="Calibri"/>
          <w:b/>
          <w:color w:val="465C7A"/>
          <w:sz w:val="26"/>
        </w:rPr>
        <w:t>8.3 Multicollinearity Diagnostics via Generalized VIF</w:t>
      </w:r>
    </w:p>
    <w:p>
      <w:pPr>
        <w:spacing w:after="120" w:line="276" w:lineRule="auto"/>
      </w:pPr>
      <w:r>
        <w:rPr>
          <w:rFonts w:ascii="Calibri" w:hAnsi="Calibri"/>
          <w:color w:val="212529"/>
          <w:sz w:val="21"/>
        </w:rPr>
        <w:t>To ensure that regression coefficients were not distorted by collinearity, Generalized Variance Inflation Factors (GVIF) were computed using car::vif() in outputs/week3_model/vif_results.csv. For multi-degree-of-freedom categorical variables, the standardized metric GVIF^(1/(2*Df)) was evaluated. All standardized values fell well below the conservative rule-of-thumb threshold of 2.0 (equivalent to VIF = 4): sex (1.73), relationship (1.62), marital_status (1.39), education_num (1.18), age (1.10), and hours_per_week (1.07). This confirms that the model is free from harmful multicollinearity.</w:t>
      </w:r>
    </w:p>
    <w:p>
      <w:pPr>
        <w:pStyle w:val="Heading1"/>
        <w:keepNext/>
        <w:spacing w:before="360" w:after="120"/>
      </w:pPr>
      <w:r>
        <w:rPr>
          <w:rFonts w:ascii="Calibri" w:hAnsi="Calibri"/>
          <w:b/>
          <w:color w:val="1B365D"/>
          <w:sz w:val="32"/>
        </w:rPr>
        <w:t>Section 9 — Model Evaluation and Diagnostics</w:t>
      </w:r>
    </w:p>
    <w:p>
      <w:pPr>
        <w:spacing w:after="120" w:line="276" w:lineRule="auto"/>
      </w:pPr>
      <w:r>
        <w:rPr>
          <w:rFonts w:ascii="Calibri" w:hAnsi="Calibri"/>
          <w:color w:val="212529"/>
          <w:sz w:val="21"/>
        </w:rPr>
        <w:t>Model performance was evaluated on the independent held-out test partition (N = 6,508) across nine discrimination and calibration metrics. Table 9.1 presents the consolidated performance comparison between the Zero-Rule Baseline, Standard Logistic Regression, and Elastic Net:</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1728"/>
            <w:shd w:fill="1B365D"/>
            <w:tcMar>
              <w:top w:w="100" w:type="dxa"/>
              <w:bottom w:w="100" w:type="dxa"/>
              <w:left w:w="100" w:type="dxa"/>
              <w:right w:w="100" w:type="dxa"/>
            </w:tcMar>
          </w:tcPr>
          <w:p>
            <w:pPr>
              <w:spacing w:after="0"/>
              <w:jc w:val="left"/>
            </w:pPr>
            <w:r>
              <w:rPr>
                <w:rFonts w:ascii="Calibri" w:hAnsi="Calibri"/>
                <w:b/>
                <w:color w:val="FFFFFF"/>
                <w:sz w:val="18"/>
              </w:rPr>
              <w:t>Model</w:t>
            </w:r>
          </w:p>
        </w:tc>
        <w:tc>
          <w:tcPr>
            <w:tcW w:type="dxa" w:w="432"/>
            <w:shd w:fill="1B365D"/>
            <w:tcMar>
              <w:top w:w="100" w:type="dxa"/>
              <w:bottom w:w="100" w:type="dxa"/>
              <w:left w:w="100" w:type="dxa"/>
              <w:right w:w="100" w:type="dxa"/>
            </w:tcMar>
          </w:tcPr>
          <w:p>
            <w:pPr>
              <w:spacing w:after="0"/>
              <w:jc w:val="left"/>
            </w:pPr>
            <w:r>
              <w:rPr>
                <w:rFonts w:ascii="Calibri" w:hAnsi="Calibri"/>
                <w:b/>
                <w:color w:val="FFFFFF"/>
                <w:sz w:val="18"/>
              </w:rPr>
              <w:t>Cut</w:t>
            </w:r>
          </w:p>
        </w:tc>
        <w:tc>
          <w:tcPr>
            <w:tcW w:type="dxa" w:w="504"/>
            <w:shd w:fill="1B365D"/>
            <w:tcMar>
              <w:top w:w="100" w:type="dxa"/>
              <w:bottom w:w="100" w:type="dxa"/>
              <w:left w:w="100" w:type="dxa"/>
              <w:right w:w="100" w:type="dxa"/>
            </w:tcMar>
          </w:tcPr>
          <w:p>
            <w:pPr>
              <w:spacing w:after="0"/>
              <w:jc w:val="left"/>
            </w:pPr>
            <w:r>
              <w:rPr>
                <w:rFonts w:ascii="Calibri" w:hAnsi="Calibri"/>
                <w:b/>
                <w:color w:val="FFFFFF"/>
                <w:sz w:val="18"/>
              </w:rPr>
              <w:t>TP</w:t>
            </w:r>
          </w:p>
        </w:tc>
        <w:tc>
          <w:tcPr>
            <w:tcW w:type="dxa" w:w="504"/>
            <w:shd w:fill="1B365D"/>
            <w:tcMar>
              <w:top w:w="100" w:type="dxa"/>
              <w:bottom w:w="100" w:type="dxa"/>
              <w:left w:w="100" w:type="dxa"/>
              <w:right w:w="100" w:type="dxa"/>
            </w:tcMar>
          </w:tcPr>
          <w:p>
            <w:pPr>
              <w:spacing w:after="0"/>
              <w:jc w:val="left"/>
            </w:pPr>
            <w:r>
              <w:rPr>
                <w:rFonts w:ascii="Calibri" w:hAnsi="Calibri"/>
                <w:b/>
                <w:color w:val="FFFFFF"/>
                <w:sz w:val="18"/>
              </w:rPr>
              <w:t>FP</w:t>
            </w:r>
          </w:p>
        </w:tc>
        <w:tc>
          <w:tcPr>
            <w:tcW w:type="dxa" w:w="576"/>
            <w:shd w:fill="1B365D"/>
            <w:tcMar>
              <w:top w:w="100" w:type="dxa"/>
              <w:bottom w:w="100" w:type="dxa"/>
              <w:left w:w="100" w:type="dxa"/>
              <w:right w:w="100" w:type="dxa"/>
            </w:tcMar>
          </w:tcPr>
          <w:p>
            <w:pPr>
              <w:spacing w:after="0"/>
              <w:jc w:val="left"/>
            </w:pPr>
            <w:r>
              <w:rPr>
                <w:rFonts w:ascii="Calibri" w:hAnsi="Calibri"/>
                <w:b/>
                <w:color w:val="FFFFFF"/>
                <w:sz w:val="18"/>
              </w:rPr>
              <w:t>TN</w:t>
            </w:r>
          </w:p>
        </w:tc>
        <w:tc>
          <w:tcPr>
            <w:tcW w:type="dxa" w:w="504"/>
            <w:shd w:fill="1B365D"/>
            <w:tcMar>
              <w:top w:w="100" w:type="dxa"/>
              <w:bottom w:w="100" w:type="dxa"/>
              <w:left w:w="100" w:type="dxa"/>
              <w:right w:w="100" w:type="dxa"/>
            </w:tcMar>
          </w:tcPr>
          <w:p>
            <w:pPr>
              <w:spacing w:after="0"/>
              <w:jc w:val="left"/>
            </w:pPr>
            <w:r>
              <w:rPr>
                <w:rFonts w:ascii="Calibri" w:hAnsi="Calibri"/>
                <w:b/>
                <w:color w:val="FFFFFF"/>
                <w:sz w:val="18"/>
              </w:rPr>
              <w:t>FN</w:t>
            </w:r>
          </w:p>
        </w:tc>
        <w:tc>
          <w:tcPr>
            <w:tcW w:type="dxa" w:w="648"/>
            <w:shd w:fill="1B365D"/>
            <w:tcMar>
              <w:top w:w="100" w:type="dxa"/>
              <w:bottom w:w="100" w:type="dxa"/>
              <w:left w:w="100" w:type="dxa"/>
              <w:right w:w="100" w:type="dxa"/>
            </w:tcMar>
          </w:tcPr>
          <w:p>
            <w:pPr>
              <w:spacing w:after="0"/>
              <w:jc w:val="left"/>
            </w:pPr>
            <w:r>
              <w:rPr>
                <w:rFonts w:ascii="Calibri" w:hAnsi="Calibri"/>
                <w:b/>
                <w:color w:val="FFFFFF"/>
                <w:sz w:val="18"/>
              </w:rPr>
              <w:t>Acc</w:t>
            </w:r>
          </w:p>
        </w:tc>
        <w:tc>
          <w:tcPr>
            <w:tcW w:type="dxa" w:w="648"/>
            <w:shd w:fill="1B365D"/>
            <w:tcMar>
              <w:top w:w="100" w:type="dxa"/>
              <w:bottom w:w="100" w:type="dxa"/>
              <w:left w:w="100" w:type="dxa"/>
              <w:right w:w="100" w:type="dxa"/>
            </w:tcMar>
          </w:tcPr>
          <w:p>
            <w:pPr>
              <w:spacing w:after="0"/>
              <w:jc w:val="left"/>
            </w:pPr>
            <w:r>
              <w:rPr>
                <w:rFonts w:ascii="Calibri" w:hAnsi="Calibri"/>
                <w:b/>
                <w:color w:val="FFFFFF"/>
                <w:sz w:val="18"/>
              </w:rPr>
              <w:t>BalAcc</w:t>
            </w:r>
          </w:p>
        </w:tc>
        <w:tc>
          <w:tcPr>
            <w:tcW w:type="dxa" w:w="648"/>
            <w:shd w:fill="1B365D"/>
            <w:tcMar>
              <w:top w:w="100" w:type="dxa"/>
              <w:bottom w:w="100" w:type="dxa"/>
              <w:left w:w="100" w:type="dxa"/>
              <w:right w:w="100" w:type="dxa"/>
            </w:tcMar>
          </w:tcPr>
          <w:p>
            <w:pPr>
              <w:spacing w:after="0"/>
              <w:jc w:val="left"/>
            </w:pPr>
            <w:r>
              <w:rPr>
                <w:rFonts w:ascii="Calibri" w:hAnsi="Calibri"/>
                <w:b/>
                <w:color w:val="FFFFFF"/>
                <w:sz w:val="18"/>
              </w:rPr>
              <w:t>Prec</w:t>
            </w:r>
          </w:p>
        </w:tc>
        <w:tc>
          <w:tcPr>
            <w:tcW w:type="dxa" w:w="648"/>
            <w:shd w:fill="1B365D"/>
            <w:tcMar>
              <w:top w:w="100" w:type="dxa"/>
              <w:bottom w:w="100" w:type="dxa"/>
              <w:left w:w="100" w:type="dxa"/>
              <w:right w:w="100" w:type="dxa"/>
            </w:tcMar>
          </w:tcPr>
          <w:p>
            <w:pPr>
              <w:spacing w:after="0"/>
              <w:jc w:val="left"/>
            </w:pPr>
            <w:r>
              <w:rPr>
                <w:rFonts w:ascii="Calibri" w:hAnsi="Calibri"/>
                <w:b/>
                <w:color w:val="FFFFFF"/>
                <w:sz w:val="18"/>
              </w:rPr>
              <w:t>Recall</w:t>
            </w:r>
          </w:p>
        </w:tc>
        <w:tc>
          <w:tcPr>
            <w:tcW w:type="dxa" w:w="648"/>
            <w:shd w:fill="1B365D"/>
            <w:tcMar>
              <w:top w:w="100" w:type="dxa"/>
              <w:bottom w:w="100" w:type="dxa"/>
              <w:left w:w="100" w:type="dxa"/>
              <w:right w:w="100" w:type="dxa"/>
            </w:tcMar>
          </w:tcPr>
          <w:p>
            <w:pPr>
              <w:spacing w:after="0"/>
              <w:jc w:val="left"/>
            </w:pPr>
            <w:r>
              <w:rPr>
                <w:rFonts w:ascii="Calibri" w:hAnsi="Calibri"/>
                <w:b/>
                <w:color w:val="FFFFFF"/>
                <w:sz w:val="18"/>
              </w:rPr>
              <w:t>Spec</w:t>
            </w:r>
          </w:p>
        </w:tc>
        <w:tc>
          <w:tcPr>
            <w:tcW w:type="dxa" w:w="648"/>
            <w:shd w:fill="1B365D"/>
            <w:tcMar>
              <w:top w:w="100" w:type="dxa"/>
              <w:bottom w:w="100" w:type="dxa"/>
              <w:left w:w="100" w:type="dxa"/>
              <w:right w:w="100" w:type="dxa"/>
            </w:tcMar>
          </w:tcPr>
          <w:p>
            <w:pPr>
              <w:spacing w:after="0"/>
              <w:jc w:val="left"/>
            </w:pPr>
            <w:r>
              <w:rPr>
                <w:rFonts w:ascii="Calibri" w:hAnsi="Calibri"/>
                <w:b/>
                <w:color w:val="FFFFFF"/>
                <w:sz w:val="18"/>
              </w:rPr>
              <w:t>NPV</w:t>
            </w:r>
          </w:p>
        </w:tc>
        <w:tc>
          <w:tcPr>
            <w:tcW w:type="dxa" w:w="576"/>
            <w:shd w:fill="1B365D"/>
            <w:tcMar>
              <w:top w:w="100" w:type="dxa"/>
              <w:bottom w:w="100" w:type="dxa"/>
              <w:left w:w="100" w:type="dxa"/>
              <w:right w:w="100" w:type="dxa"/>
            </w:tcMar>
          </w:tcPr>
          <w:p>
            <w:pPr>
              <w:spacing w:after="0"/>
              <w:jc w:val="left"/>
            </w:pPr>
            <w:r>
              <w:rPr>
                <w:rFonts w:ascii="Calibri" w:hAnsi="Calibri"/>
                <w:b/>
                <w:color w:val="FFFFFF"/>
                <w:sz w:val="18"/>
              </w:rPr>
              <w:t>F1</w:t>
            </w:r>
          </w:p>
        </w:tc>
        <w:tc>
          <w:tcPr>
            <w:tcW w:type="dxa" w:w="648"/>
            <w:shd w:fill="1B365D"/>
            <w:tcMar>
              <w:top w:w="100" w:type="dxa"/>
              <w:bottom w:w="100" w:type="dxa"/>
              <w:left w:w="100" w:type="dxa"/>
              <w:right w:w="100" w:type="dxa"/>
            </w:tcMar>
          </w:tcPr>
          <w:p>
            <w:pPr>
              <w:spacing w:after="0"/>
              <w:jc w:val="left"/>
            </w:pPr>
            <w:r>
              <w:rPr>
                <w:rFonts w:ascii="Calibri" w:hAnsi="Calibri"/>
                <w:b/>
                <w:color w:val="FFFFFF"/>
                <w:sz w:val="18"/>
              </w:rPr>
              <w:t>AUC</w:t>
            </w:r>
          </w:p>
        </w:tc>
        <w:tc>
          <w:tcPr>
            <w:tcW w:type="dxa" w:w="648"/>
            <w:shd w:fill="1B365D"/>
            <w:tcMar>
              <w:top w:w="100" w:type="dxa"/>
              <w:bottom w:w="100" w:type="dxa"/>
              <w:left w:w="100" w:type="dxa"/>
              <w:right w:w="100" w:type="dxa"/>
            </w:tcMar>
          </w:tcPr>
          <w:p>
            <w:pPr>
              <w:spacing w:after="0"/>
              <w:jc w:val="left"/>
            </w:pPr>
            <w:r>
              <w:rPr>
                <w:rFonts w:ascii="Calibri" w:hAnsi="Calibri"/>
                <w:b/>
                <w:color w:val="FFFFFF"/>
                <w:sz w:val="18"/>
              </w:rPr>
              <w:t>PR-AUC</w:t>
            </w:r>
          </w:p>
        </w:tc>
      </w:tr>
      <w:tr>
        <w:tc>
          <w:tcPr>
            <w:tcW w:type="dxa" w:w="1728"/>
            <w:shd w:fill="FFFFFF"/>
            <w:tcMar>
              <w:top w:w="70" w:type="dxa"/>
              <w:bottom w:w="70" w:type="dxa"/>
              <w:left w:w="100" w:type="dxa"/>
              <w:right w:w="100" w:type="dxa"/>
            </w:tcMar>
          </w:tcPr>
          <w:p>
            <w:pPr>
              <w:spacing w:after="0"/>
              <w:jc w:val="left"/>
            </w:pPr>
            <w:r>
              <w:rPr>
                <w:rFonts w:ascii="Calibri" w:hAnsi="Calibri"/>
                <w:b/>
                <w:color w:val="212529"/>
                <w:sz w:val="17"/>
              </w:rPr>
              <w:t>Baseline (Zero-Rule)</w:t>
            </w:r>
          </w:p>
        </w:tc>
        <w:tc>
          <w:tcPr>
            <w:tcW w:type="dxa" w:w="432"/>
            <w:shd w:fill="FFFFFF"/>
            <w:tcMar>
              <w:top w:w="70" w:type="dxa"/>
              <w:bottom w:w="70" w:type="dxa"/>
              <w:left w:w="100" w:type="dxa"/>
              <w:right w:w="100" w:type="dxa"/>
            </w:tcMar>
          </w:tcPr>
          <w:p>
            <w:pPr>
              <w:spacing w:after="0"/>
              <w:jc w:val="left"/>
            </w:pPr>
            <w:r>
              <w:rPr>
                <w:rFonts w:ascii="Calibri" w:hAnsi="Calibri"/>
                <w:b w:val="0"/>
                <w:color w:val="212529"/>
                <w:sz w:val="17"/>
              </w:rPr>
              <w:t>0.50</w:t>
            </w:r>
          </w:p>
        </w:tc>
        <w:tc>
          <w:tcPr>
            <w:tcW w:type="dxa" w:w="504"/>
            <w:shd w:fill="FFFFFF"/>
            <w:tcMar>
              <w:top w:w="70" w:type="dxa"/>
              <w:bottom w:w="70" w:type="dxa"/>
              <w:left w:w="100" w:type="dxa"/>
              <w:right w:w="100" w:type="dxa"/>
            </w:tcMar>
          </w:tcPr>
          <w:p>
            <w:pPr>
              <w:spacing w:after="0"/>
              <w:jc w:val="left"/>
            </w:pPr>
            <w:r>
              <w:rPr>
                <w:rFonts w:ascii="Calibri" w:hAnsi="Calibri"/>
                <w:b w:val="0"/>
                <w:color w:val="212529"/>
                <w:sz w:val="17"/>
              </w:rPr>
              <w:t>0</w:t>
            </w:r>
          </w:p>
        </w:tc>
        <w:tc>
          <w:tcPr>
            <w:tcW w:type="dxa" w:w="504"/>
            <w:shd w:fill="FFFFFF"/>
            <w:tcMar>
              <w:top w:w="70" w:type="dxa"/>
              <w:bottom w:w="70" w:type="dxa"/>
              <w:left w:w="100" w:type="dxa"/>
              <w:right w:w="100" w:type="dxa"/>
            </w:tcMar>
          </w:tcPr>
          <w:p>
            <w:pPr>
              <w:spacing w:after="0"/>
              <w:jc w:val="left"/>
            </w:pPr>
            <w:r>
              <w:rPr>
                <w:rFonts w:ascii="Calibri" w:hAnsi="Calibri"/>
                <w:b w:val="0"/>
                <w:color w:val="212529"/>
                <w:sz w:val="17"/>
              </w:rPr>
              <w:t>0</w:t>
            </w:r>
          </w:p>
        </w:tc>
        <w:tc>
          <w:tcPr>
            <w:tcW w:type="dxa" w:w="576"/>
            <w:shd w:fill="FFFFFF"/>
            <w:tcMar>
              <w:top w:w="70" w:type="dxa"/>
              <w:bottom w:w="70" w:type="dxa"/>
              <w:left w:w="100" w:type="dxa"/>
              <w:right w:w="100" w:type="dxa"/>
            </w:tcMar>
          </w:tcPr>
          <w:p>
            <w:pPr>
              <w:spacing w:after="0"/>
              <w:jc w:val="left"/>
            </w:pPr>
            <w:r>
              <w:rPr>
                <w:rFonts w:ascii="Calibri" w:hAnsi="Calibri"/>
                <w:b w:val="0"/>
                <w:color w:val="212529"/>
                <w:sz w:val="17"/>
              </w:rPr>
              <w:t>4,940</w:t>
            </w:r>
          </w:p>
        </w:tc>
        <w:tc>
          <w:tcPr>
            <w:tcW w:type="dxa" w:w="504"/>
            <w:shd w:fill="FFFFFF"/>
            <w:tcMar>
              <w:top w:w="70" w:type="dxa"/>
              <w:bottom w:w="70" w:type="dxa"/>
              <w:left w:w="100" w:type="dxa"/>
              <w:right w:w="100" w:type="dxa"/>
            </w:tcMar>
          </w:tcPr>
          <w:p>
            <w:pPr>
              <w:spacing w:after="0"/>
              <w:jc w:val="left"/>
            </w:pPr>
            <w:r>
              <w:rPr>
                <w:rFonts w:ascii="Calibri" w:hAnsi="Calibri"/>
                <w:b w:val="0"/>
                <w:color w:val="212529"/>
                <w:sz w:val="17"/>
              </w:rPr>
              <w:t>1,568</w:t>
            </w:r>
          </w:p>
        </w:tc>
        <w:tc>
          <w:tcPr>
            <w:tcW w:type="dxa" w:w="648"/>
            <w:shd w:fill="FFFFFF"/>
            <w:tcMar>
              <w:top w:w="70" w:type="dxa"/>
              <w:bottom w:w="70" w:type="dxa"/>
              <w:left w:w="100" w:type="dxa"/>
              <w:right w:w="100" w:type="dxa"/>
            </w:tcMar>
          </w:tcPr>
          <w:p>
            <w:pPr>
              <w:spacing w:after="0"/>
              <w:jc w:val="left"/>
            </w:pPr>
            <w:r>
              <w:rPr>
                <w:rFonts w:ascii="Calibri" w:hAnsi="Calibri"/>
                <w:b/>
                <w:color w:val="212529"/>
                <w:sz w:val="17"/>
              </w:rPr>
              <w:t>75.91%</w:t>
            </w:r>
          </w:p>
        </w:tc>
        <w:tc>
          <w:tcPr>
            <w:tcW w:type="dxa" w:w="648"/>
            <w:shd w:fill="FFFFFF"/>
            <w:tcMar>
              <w:top w:w="70" w:type="dxa"/>
              <w:bottom w:w="70" w:type="dxa"/>
              <w:left w:w="100" w:type="dxa"/>
              <w:right w:w="100" w:type="dxa"/>
            </w:tcMar>
          </w:tcPr>
          <w:p>
            <w:pPr>
              <w:spacing w:after="0"/>
              <w:jc w:val="left"/>
            </w:pPr>
            <w:r>
              <w:rPr>
                <w:rFonts w:ascii="Calibri" w:hAnsi="Calibri"/>
                <w:b/>
                <w:color w:val="212529"/>
                <w:sz w:val="17"/>
              </w:rPr>
              <w:t>50.00%</w:t>
            </w:r>
          </w:p>
        </w:tc>
        <w:tc>
          <w:tcPr>
            <w:tcW w:type="dxa" w:w="648"/>
            <w:shd w:fill="FFFFFF"/>
            <w:tcMar>
              <w:top w:w="70" w:type="dxa"/>
              <w:bottom w:w="70" w:type="dxa"/>
              <w:left w:w="100" w:type="dxa"/>
              <w:right w:w="100" w:type="dxa"/>
            </w:tcMar>
          </w:tcPr>
          <w:p>
            <w:pPr>
              <w:spacing w:after="0"/>
              <w:jc w:val="left"/>
            </w:pPr>
            <w:r>
              <w:rPr>
                <w:rFonts w:ascii="Calibri" w:hAnsi="Calibri"/>
                <w:b w:val="0"/>
                <w:color w:val="212529"/>
                <w:sz w:val="17"/>
              </w:rPr>
              <w:t>0.00%</w:t>
            </w:r>
          </w:p>
        </w:tc>
        <w:tc>
          <w:tcPr>
            <w:tcW w:type="dxa" w:w="648"/>
            <w:shd w:fill="FFFFFF"/>
            <w:tcMar>
              <w:top w:w="70" w:type="dxa"/>
              <w:bottom w:w="70" w:type="dxa"/>
              <w:left w:w="100" w:type="dxa"/>
              <w:right w:w="100" w:type="dxa"/>
            </w:tcMar>
          </w:tcPr>
          <w:p>
            <w:pPr>
              <w:spacing w:after="0"/>
              <w:jc w:val="left"/>
            </w:pPr>
            <w:r>
              <w:rPr>
                <w:rFonts w:ascii="Calibri" w:hAnsi="Calibri"/>
                <w:b w:val="0"/>
                <w:color w:val="212529"/>
                <w:sz w:val="17"/>
              </w:rPr>
              <w:t>0.00%</w:t>
            </w:r>
          </w:p>
        </w:tc>
        <w:tc>
          <w:tcPr>
            <w:tcW w:type="dxa" w:w="648"/>
            <w:shd w:fill="FFFFFF"/>
            <w:tcMar>
              <w:top w:w="70" w:type="dxa"/>
              <w:bottom w:w="70" w:type="dxa"/>
              <w:left w:w="100" w:type="dxa"/>
              <w:right w:w="100" w:type="dxa"/>
            </w:tcMar>
          </w:tcPr>
          <w:p>
            <w:pPr>
              <w:spacing w:after="0"/>
              <w:jc w:val="left"/>
            </w:pPr>
            <w:r>
              <w:rPr>
                <w:rFonts w:ascii="Calibri" w:hAnsi="Calibri"/>
                <w:b w:val="0"/>
                <w:color w:val="212529"/>
                <w:sz w:val="17"/>
              </w:rPr>
              <w:t>100.00%</w:t>
            </w:r>
          </w:p>
        </w:tc>
        <w:tc>
          <w:tcPr>
            <w:tcW w:type="dxa" w:w="648"/>
            <w:shd w:fill="FFFFFF"/>
            <w:tcMar>
              <w:top w:w="70" w:type="dxa"/>
              <w:bottom w:w="70" w:type="dxa"/>
              <w:left w:w="100" w:type="dxa"/>
              <w:right w:w="100" w:type="dxa"/>
            </w:tcMar>
          </w:tcPr>
          <w:p>
            <w:pPr>
              <w:spacing w:after="0"/>
              <w:jc w:val="left"/>
            </w:pPr>
            <w:r>
              <w:rPr>
                <w:rFonts w:ascii="Calibri" w:hAnsi="Calibri"/>
                <w:b w:val="0"/>
                <w:color w:val="212529"/>
                <w:sz w:val="17"/>
              </w:rPr>
              <w:t>75.91%</w:t>
            </w:r>
          </w:p>
        </w:tc>
        <w:tc>
          <w:tcPr>
            <w:tcW w:type="dxa" w:w="576"/>
            <w:shd w:fill="FFFFFF"/>
            <w:tcMar>
              <w:top w:w="70" w:type="dxa"/>
              <w:bottom w:w="70" w:type="dxa"/>
              <w:left w:w="100" w:type="dxa"/>
              <w:right w:w="100" w:type="dxa"/>
            </w:tcMar>
          </w:tcPr>
          <w:p>
            <w:pPr>
              <w:spacing w:after="0"/>
              <w:jc w:val="left"/>
            </w:pPr>
            <w:r>
              <w:rPr>
                <w:rFonts w:ascii="Calibri" w:hAnsi="Calibri"/>
                <w:b w:val="0"/>
                <w:color w:val="212529"/>
                <w:sz w:val="17"/>
              </w:rPr>
              <w:t>0.0000</w:t>
            </w:r>
          </w:p>
        </w:tc>
        <w:tc>
          <w:tcPr>
            <w:tcW w:type="dxa" w:w="648"/>
            <w:shd w:fill="FFFFFF"/>
            <w:tcMar>
              <w:top w:w="70" w:type="dxa"/>
              <w:bottom w:w="70" w:type="dxa"/>
              <w:left w:w="100" w:type="dxa"/>
              <w:right w:w="100" w:type="dxa"/>
            </w:tcMar>
          </w:tcPr>
          <w:p>
            <w:pPr>
              <w:spacing w:after="0"/>
              <w:jc w:val="left"/>
            </w:pPr>
            <w:r>
              <w:rPr>
                <w:rFonts w:ascii="Calibri" w:hAnsi="Calibri"/>
                <w:b/>
                <w:color w:val="212529"/>
                <w:sz w:val="17"/>
              </w:rPr>
              <w:t>0.5000</w:t>
            </w:r>
          </w:p>
        </w:tc>
        <w:tc>
          <w:tcPr>
            <w:tcW w:type="dxa" w:w="648"/>
            <w:shd w:fill="FFFFFF"/>
            <w:tcMar>
              <w:top w:w="70" w:type="dxa"/>
              <w:bottom w:w="70" w:type="dxa"/>
              <w:left w:w="100" w:type="dxa"/>
              <w:right w:w="100" w:type="dxa"/>
            </w:tcMar>
          </w:tcPr>
          <w:p>
            <w:pPr>
              <w:spacing w:after="0"/>
              <w:jc w:val="left"/>
            </w:pPr>
            <w:r>
              <w:rPr>
                <w:rFonts w:ascii="Calibri" w:hAnsi="Calibri"/>
                <w:b w:val="0"/>
                <w:color w:val="212529"/>
                <w:sz w:val="17"/>
              </w:rPr>
              <w:t>0.2409</w:t>
            </w:r>
          </w:p>
        </w:tc>
      </w:tr>
      <w:tr>
        <w:tc>
          <w:tcPr>
            <w:tcW w:type="dxa" w:w="1728"/>
            <w:shd w:fill="F8F9FA"/>
            <w:tcMar>
              <w:top w:w="70" w:type="dxa"/>
              <w:bottom w:w="70" w:type="dxa"/>
              <w:left w:w="100" w:type="dxa"/>
              <w:right w:w="100" w:type="dxa"/>
            </w:tcMar>
          </w:tcPr>
          <w:p>
            <w:pPr>
              <w:spacing w:after="0"/>
              <w:jc w:val="left"/>
            </w:pPr>
            <w:r>
              <w:rPr>
                <w:rFonts w:ascii="Calibri" w:hAnsi="Calibri"/>
                <w:b/>
                <w:color w:val="212529"/>
                <w:sz w:val="17"/>
              </w:rPr>
              <w:t>Logistic Regression (GLM)</w:t>
            </w:r>
          </w:p>
        </w:tc>
        <w:tc>
          <w:tcPr>
            <w:tcW w:type="dxa" w:w="432"/>
            <w:shd w:fill="F8F9FA"/>
            <w:tcMar>
              <w:top w:w="70" w:type="dxa"/>
              <w:bottom w:w="70" w:type="dxa"/>
              <w:left w:w="100" w:type="dxa"/>
              <w:right w:w="100" w:type="dxa"/>
            </w:tcMar>
          </w:tcPr>
          <w:p>
            <w:pPr>
              <w:spacing w:after="0"/>
              <w:jc w:val="left"/>
            </w:pPr>
            <w:r>
              <w:rPr>
                <w:rFonts w:ascii="Calibri" w:hAnsi="Calibri"/>
                <w:b w:val="0"/>
                <w:color w:val="212529"/>
                <w:sz w:val="17"/>
              </w:rPr>
              <w:t>0.50</w:t>
            </w:r>
          </w:p>
        </w:tc>
        <w:tc>
          <w:tcPr>
            <w:tcW w:type="dxa" w:w="504"/>
            <w:shd w:fill="F8F9FA"/>
            <w:tcMar>
              <w:top w:w="70" w:type="dxa"/>
              <w:bottom w:w="70" w:type="dxa"/>
              <w:left w:w="100" w:type="dxa"/>
              <w:right w:w="100" w:type="dxa"/>
            </w:tcMar>
          </w:tcPr>
          <w:p>
            <w:pPr>
              <w:spacing w:after="0"/>
              <w:jc w:val="left"/>
            </w:pPr>
            <w:r>
              <w:rPr>
                <w:rFonts w:ascii="Calibri" w:hAnsi="Calibri"/>
                <w:b w:val="0"/>
                <w:color w:val="212529"/>
                <w:sz w:val="17"/>
              </w:rPr>
              <w:t>943</w:t>
            </w:r>
          </w:p>
        </w:tc>
        <w:tc>
          <w:tcPr>
            <w:tcW w:type="dxa" w:w="504"/>
            <w:shd w:fill="F8F9FA"/>
            <w:tcMar>
              <w:top w:w="70" w:type="dxa"/>
              <w:bottom w:w="70" w:type="dxa"/>
              <w:left w:w="100" w:type="dxa"/>
              <w:right w:w="100" w:type="dxa"/>
            </w:tcMar>
          </w:tcPr>
          <w:p>
            <w:pPr>
              <w:spacing w:after="0"/>
              <w:jc w:val="left"/>
            </w:pPr>
            <w:r>
              <w:rPr>
                <w:rFonts w:ascii="Calibri" w:hAnsi="Calibri"/>
                <w:b w:val="0"/>
                <w:color w:val="212529"/>
                <w:sz w:val="17"/>
              </w:rPr>
              <w:t>367</w:t>
            </w:r>
          </w:p>
        </w:tc>
        <w:tc>
          <w:tcPr>
            <w:tcW w:type="dxa" w:w="576"/>
            <w:shd w:fill="F8F9FA"/>
            <w:tcMar>
              <w:top w:w="70" w:type="dxa"/>
              <w:bottom w:w="70" w:type="dxa"/>
              <w:left w:w="100" w:type="dxa"/>
              <w:right w:w="100" w:type="dxa"/>
            </w:tcMar>
          </w:tcPr>
          <w:p>
            <w:pPr>
              <w:spacing w:after="0"/>
              <w:jc w:val="left"/>
            </w:pPr>
            <w:r>
              <w:rPr>
                <w:rFonts w:ascii="Calibri" w:hAnsi="Calibri"/>
                <w:b w:val="0"/>
                <w:color w:val="212529"/>
                <w:sz w:val="17"/>
              </w:rPr>
              <w:t>4,573</w:t>
            </w:r>
          </w:p>
        </w:tc>
        <w:tc>
          <w:tcPr>
            <w:tcW w:type="dxa" w:w="504"/>
            <w:shd w:fill="F8F9FA"/>
            <w:tcMar>
              <w:top w:w="70" w:type="dxa"/>
              <w:bottom w:w="70" w:type="dxa"/>
              <w:left w:w="100" w:type="dxa"/>
              <w:right w:w="100" w:type="dxa"/>
            </w:tcMar>
          </w:tcPr>
          <w:p>
            <w:pPr>
              <w:spacing w:after="0"/>
              <w:jc w:val="left"/>
            </w:pPr>
            <w:r>
              <w:rPr>
                <w:rFonts w:ascii="Calibri" w:hAnsi="Calibri"/>
                <w:b w:val="0"/>
                <w:color w:val="212529"/>
                <w:sz w:val="17"/>
              </w:rPr>
              <w:t>625</w:t>
            </w:r>
          </w:p>
        </w:tc>
        <w:tc>
          <w:tcPr>
            <w:tcW w:type="dxa" w:w="648"/>
            <w:shd w:fill="F8F9FA"/>
            <w:tcMar>
              <w:top w:w="70" w:type="dxa"/>
              <w:bottom w:w="70" w:type="dxa"/>
              <w:left w:w="100" w:type="dxa"/>
              <w:right w:w="100" w:type="dxa"/>
            </w:tcMar>
          </w:tcPr>
          <w:p>
            <w:pPr>
              <w:spacing w:after="0"/>
              <w:jc w:val="left"/>
            </w:pPr>
            <w:r>
              <w:rPr>
                <w:rFonts w:ascii="Calibri" w:hAnsi="Calibri"/>
                <w:b/>
                <w:color w:val="212529"/>
                <w:sz w:val="17"/>
              </w:rPr>
              <w:t>84.76%</w:t>
            </w:r>
          </w:p>
        </w:tc>
        <w:tc>
          <w:tcPr>
            <w:tcW w:type="dxa" w:w="648"/>
            <w:shd w:fill="F8F9FA"/>
            <w:tcMar>
              <w:top w:w="70" w:type="dxa"/>
              <w:bottom w:w="70" w:type="dxa"/>
              <w:left w:w="100" w:type="dxa"/>
              <w:right w:w="100" w:type="dxa"/>
            </w:tcMar>
          </w:tcPr>
          <w:p>
            <w:pPr>
              <w:spacing w:after="0"/>
              <w:jc w:val="left"/>
            </w:pPr>
            <w:r>
              <w:rPr>
                <w:rFonts w:ascii="Calibri" w:hAnsi="Calibri"/>
                <w:b/>
                <w:color w:val="212529"/>
                <w:sz w:val="17"/>
              </w:rPr>
              <w:t>76.36%</w:t>
            </w:r>
          </w:p>
        </w:tc>
        <w:tc>
          <w:tcPr>
            <w:tcW w:type="dxa" w:w="648"/>
            <w:shd w:fill="F8F9FA"/>
            <w:tcMar>
              <w:top w:w="70" w:type="dxa"/>
              <w:bottom w:w="70" w:type="dxa"/>
              <w:left w:w="100" w:type="dxa"/>
              <w:right w:w="100" w:type="dxa"/>
            </w:tcMar>
          </w:tcPr>
          <w:p>
            <w:pPr>
              <w:spacing w:after="0"/>
              <w:jc w:val="left"/>
            </w:pPr>
            <w:r>
              <w:rPr>
                <w:rFonts w:ascii="Calibri" w:hAnsi="Calibri"/>
                <w:b w:val="0"/>
                <w:color w:val="212529"/>
                <w:sz w:val="17"/>
              </w:rPr>
              <w:t>71.98%</w:t>
            </w:r>
          </w:p>
        </w:tc>
        <w:tc>
          <w:tcPr>
            <w:tcW w:type="dxa" w:w="648"/>
            <w:shd w:fill="F8F9FA"/>
            <w:tcMar>
              <w:top w:w="70" w:type="dxa"/>
              <w:bottom w:w="70" w:type="dxa"/>
              <w:left w:w="100" w:type="dxa"/>
              <w:right w:w="100" w:type="dxa"/>
            </w:tcMar>
          </w:tcPr>
          <w:p>
            <w:pPr>
              <w:spacing w:after="0"/>
              <w:jc w:val="left"/>
            </w:pPr>
            <w:r>
              <w:rPr>
                <w:rFonts w:ascii="Calibri" w:hAnsi="Calibri"/>
                <w:b w:val="0"/>
                <w:color w:val="212529"/>
                <w:sz w:val="17"/>
              </w:rPr>
              <w:t>60.14%</w:t>
            </w:r>
          </w:p>
        </w:tc>
        <w:tc>
          <w:tcPr>
            <w:tcW w:type="dxa" w:w="648"/>
            <w:shd w:fill="F8F9FA"/>
            <w:tcMar>
              <w:top w:w="70" w:type="dxa"/>
              <w:bottom w:w="70" w:type="dxa"/>
              <w:left w:w="100" w:type="dxa"/>
              <w:right w:w="100" w:type="dxa"/>
            </w:tcMar>
          </w:tcPr>
          <w:p>
            <w:pPr>
              <w:spacing w:after="0"/>
              <w:jc w:val="left"/>
            </w:pPr>
            <w:r>
              <w:rPr>
                <w:rFonts w:ascii="Calibri" w:hAnsi="Calibri"/>
                <w:b w:val="0"/>
                <w:color w:val="212529"/>
                <w:sz w:val="17"/>
              </w:rPr>
              <w:t>92.57%</w:t>
            </w:r>
          </w:p>
        </w:tc>
        <w:tc>
          <w:tcPr>
            <w:tcW w:type="dxa" w:w="648"/>
            <w:shd w:fill="F8F9FA"/>
            <w:tcMar>
              <w:top w:w="70" w:type="dxa"/>
              <w:bottom w:w="70" w:type="dxa"/>
              <w:left w:w="100" w:type="dxa"/>
              <w:right w:w="100" w:type="dxa"/>
            </w:tcMar>
          </w:tcPr>
          <w:p>
            <w:pPr>
              <w:spacing w:after="0"/>
              <w:jc w:val="left"/>
            </w:pPr>
            <w:r>
              <w:rPr>
                <w:rFonts w:ascii="Calibri" w:hAnsi="Calibri"/>
                <w:b w:val="0"/>
                <w:color w:val="212529"/>
                <w:sz w:val="17"/>
              </w:rPr>
              <w:t>87.98%</w:t>
            </w:r>
          </w:p>
        </w:tc>
        <w:tc>
          <w:tcPr>
            <w:tcW w:type="dxa" w:w="576"/>
            <w:shd w:fill="F8F9FA"/>
            <w:tcMar>
              <w:top w:w="70" w:type="dxa"/>
              <w:bottom w:w="70" w:type="dxa"/>
              <w:left w:w="100" w:type="dxa"/>
              <w:right w:w="100" w:type="dxa"/>
            </w:tcMar>
          </w:tcPr>
          <w:p>
            <w:pPr>
              <w:spacing w:after="0"/>
              <w:jc w:val="left"/>
            </w:pPr>
            <w:r>
              <w:rPr>
                <w:rFonts w:ascii="Calibri" w:hAnsi="Calibri"/>
                <w:b w:val="0"/>
                <w:color w:val="212529"/>
                <w:sz w:val="17"/>
              </w:rPr>
              <w:t>0.6553</w:t>
            </w:r>
          </w:p>
        </w:tc>
        <w:tc>
          <w:tcPr>
            <w:tcW w:type="dxa" w:w="648"/>
            <w:shd w:fill="F8F9FA"/>
            <w:tcMar>
              <w:top w:w="70" w:type="dxa"/>
              <w:bottom w:w="70" w:type="dxa"/>
              <w:left w:w="100" w:type="dxa"/>
              <w:right w:w="100" w:type="dxa"/>
            </w:tcMar>
          </w:tcPr>
          <w:p>
            <w:pPr>
              <w:spacing w:after="0"/>
              <w:jc w:val="left"/>
            </w:pPr>
            <w:r>
              <w:rPr>
                <w:rFonts w:ascii="Calibri" w:hAnsi="Calibri"/>
                <w:b/>
                <w:color w:val="212529"/>
                <w:sz w:val="17"/>
              </w:rPr>
              <w:t>0.9047</w:t>
            </w:r>
          </w:p>
        </w:tc>
        <w:tc>
          <w:tcPr>
            <w:tcW w:type="dxa" w:w="648"/>
            <w:shd w:fill="F8F9FA"/>
            <w:tcMar>
              <w:top w:w="70" w:type="dxa"/>
              <w:bottom w:w="70" w:type="dxa"/>
              <w:left w:w="100" w:type="dxa"/>
              <w:right w:w="100" w:type="dxa"/>
            </w:tcMar>
          </w:tcPr>
          <w:p>
            <w:pPr>
              <w:spacing w:after="0"/>
              <w:jc w:val="left"/>
            </w:pPr>
            <w:r>
              <w:rPr>
                <w:rFonts w:ascii="Calibri" w:hAnsi="Calibri"/>
                <w:b w:val="0"/>
                <w:color w:val="212529"/>
                <w:sz w:val="17"/>
              </w:rPr>
              <w:t>0.7271</w:t>
            </w:r>
          </w:p>
        </w:tc>
      </w:tr>
      <w:tr>
        <w:tc>
          <w:tcPr>
            <w:tcW w:type="dxa" w:w="1728"/>
            <w:shd w:fill="FFFFFF"/>
            <w:tcMar>
              <w:top w:w="70" w:type="dxa"/>
              <w:bottom w:w="70" w:type="dxa"/>
              <w:left w:w="100" w:type="dxa"/>
              <w:right w:w="100" w:type="dxa"/>
            </w:tcMar>
          </w:tcPr>
          <w:p>
            <w:pPr>
              <w:spacing w:after="0"/>
              <w:jc w:val="left"/>
            </w:pPr>
            <w:r>
              <w:rPr>
                <w:rFonts w:ascii="Calibri" w:hAnsi="Calibri"/>
                <w:b/>
                <w:color w:val="212529"/>
                <w:sz w:val="17"/>
              </w:rPr>
              <w:t>Elastic Net (Regularized)</w:t>
            </w:r>
          </w:p>
        </w:tc>
        <w:tc>
          <w:tcPr>
            <w:tcW w:type="dxa" w:w="432"/>
            <w:shd w:fill="FFFFFF"/>
            <w:tcMar>
              <w:top w:w="70" w:type="dxa"/>
              <w:bottom w:w="70" w:type="dxa"/>
              <w:left w:w="100" w:type="dxa"/>
              <w:right w:w="100" w:type="dxa"/>
            </w:tcMar>
          </w:tcPr>
          <w:p>
            <w:pPr>
              <w:spacing w:after="0"/>
              <w:jc w:val="left"/>
            </w:pPr>
            <w:r>
              <w:rPr>
                <w:rFonts w:ascii="Calibri" w:hAnsi="Calibri"/>
                <w:b w:val="0"/>
                <w:color w:val="212529"/>
                <w:sz w:val="17"/>
              </w:rPr>
              <w:t>0.50</w:t>
            </w:r>
          </w:p>
        </w:tc>
        <w:tc>
          <w:tcPr>
            <w:tcW w:type="dxa" w:w="504"/>
            <w:shd w:fill="FFFFFF"/>
            <w:tcMar>
              <w:top w:w="70" w:type="dxa"/>
              <w:bottom w:w="70" w:type="dxa"/>
              <w:left w:w="100" w:type="dxa"/>
              <w:right w:w="100" w:type="dxa"/>
            </w:tcMar>
          </w:tcPr>
          <w:p>
            <w:pPr>
              <w:spacing w:after="0"/>
              <w:jc w:val="left"/>
            </w:pPr>
            <w:r>
              <w:rPr>
                <w:rFonts w:ascii="Calibri" w:hAnsi="Calibri"/>
                <w:b w:val="0"/>
                <w:color w:val="212529"/>
                <w:sz w:val="17"/>
              </w:rPr>
              <w:t>863</w:t>
            </w:r>
          </w:p>
        </w:tc>
        <w:tc>
          <w:tcPr>
            <w:tcW w:type="dxa" w:w="504"/>
            <w:shd w:fill="FFFFFF"/>
            <w:tcMar>
              <w:top w:w="70" w:type="dxa"/>
              <w:bottom w:w="70" w:type="dxa"/>
              <w:left w:w="100" w:type="dxa"/>
              <w:right w:w="100" w:type="dxa"/>
            </w:tcMar>
          </w:tcPr>
          <w:p>
            <w:pPr>
              <w:spacing w:after="0"/>
              <w:jc w:val="left"/>
            </w:pPr>
            <w:r>
              <w:rPr>
                <w:rFonts w:ascii="Calibri" w:hAnsi="Calibri"/>
                <w:b w:val="0"/>
                <w:color w:val="212529"/>
                <w:sz w:val="17"/>
              </w:rPr>
              <w:t>330</w:t>
            </w:r>
          </w:p>
        </w:tc>
        <w:tc>
          <w:tcPr>
            <w:tcW w:type="dxa" w:w="576"/>
            <w:shd w:fill="FFFFFF"/>
            <w:tcMar>
              <w:top w:w="70" w:type="dxa"/>
              <w:bottom w:w="70" w:type="dxa"/>
              <w:left w:w="100" w:type="dxa"/>
              <w:right w:w="100" w:type="dxa"/>
            </w:tcMar>
          </w:tcPr>
          <w:p>
            <w:pPr>
              <w:spacing w:after="0"/>
              <w:jc w:val="left"/>
            </w:pPr>
            <w:r>
              <w:rPr>
                <w:rFonts w:ascii="Calibri" w:hAnsi="Calibri"/>
                <w:b w:val="0"/>
                <w:color w:val="212529"/>
                <w:sz w:val="17"/>
              </w:rPr>
              <w:t>4,610</w:t>
            </w:r>
          </w:p>
        </w:tc>
        <w:tc>
          <w:tcPr>
            <w:tcW w:type="dxa" w:w="504"/>
            <w:shd w:fill="FFFFFF"/>
            <w:tcMar>
              <w:top w:w="70" w:type="dxa"/>
              <w:bottom w:w="70" w:type="dxa"/>
              <w:left w:w="100" w:type="dxa"/>
              <w:right w:w="100" w:type="dxa"/>
            </w:tcMar>
          </w:tcPr>
          <w:p>
            <w:pPr>
              <w:spacing w:after="0"/>
              <w:jc w:val="left"/>
            </w:pPr>
            <w:r>
              <w:rPr>
                <w:rFonts w:ascii="Calibri" w:hAnsi="Calibri"/>
                <w:b w:val="0"/>
                <w:color w:val="212529"/>
                <w:sz w:val="17"/>
              </w:rPr>
              <w:t>705</w:t>
            </w:r>
          </w:p>
        </w:tc>
        <w:tc>
          <w:tcPr>
            <w:tcW w:type="dxa" w:w="648"/>
            <w:shd w:fill="FFFFFF"/>
            <w:tcMar>
              <w:top w:w="70" w:type="dxa"/>
              <w:bottom w:w="70" w:type="dxa"/>
              <w:left w:w="100" w:type="dxa"/>
              <w:right w:w="100" w:type="dxa"/>
            </w:tcMar>
          </w:tcPr>
          <w:p>
            <w:pPr>
              <w:spacing w:after="0"/>
              <w:jc w:val="left"/>
            </w:pPr>
            <w:r>
              <w:rPr>
                <w:rFonts w:ascii="Calibri" w:hAnsi="Calibri"/>
                <w:b/>
                <w:color w:val="212529"/>
                <w:sz w:val="17"/>
              </w:rPr>
              <w:t>84.10%</w:t>
            </w:r>
          </w:p>
        </w:tc>
        <w:tc>
          <w:tcPr>
            <w:tcW w:type="dxa" w:w="648"/>
            <w:shd w:fill="FFFFFF"/>
            <w:tcMar>
              <w:top w:w="70" w:type="dxa"/>
              <w:bottom w:w="70" w:type="dxa"/>
              <w:left w:w="100" w:type="dxa"/>
              <w:right w:w="100" w:type="dxa"/>
            </w:tcMar>
          </w:tcPr>
          <w:p>
            <w:pPr>
              <w:spacing w:after="0"/>
              <w:jc w:val="left"/>
            </w:pPr>
            <w:r>
              <w:rPr>
                <w:rFonts w:ascii="Calibri" w:hAnsi="Calibri"/>
                <w:b/>
                <w:color w:val="212529"/>
                <w:sz w:val="17"/>
              </w:rPr>
              <w:t>74.18%</w:t>
            </w:r>
          </w:p>
        </w:tc>
        <w:tc>
          <w:tcPr>
            <w:tcW w:type="dxa" w:w="648"/>
            <w:shd w:fill="FFFFFF"/>
            <w:tcMar>
              <w:top w:w="70" w:type="dxa"/>
              <w:bottom w:w="70" w:type="dxa"/>
              <w:left w:w="100" w:type="dxa"/>
              <w:right w:w="100" w:type="dxa"/>
            </w:tcMar>
          </w:tcPr>
          <w:p>
            <w:pPr>
              <w:spacing w:after="0"/>
              <w:jc w:val="left"/>
            </w:pPr>
            <w:r>
              <w:rPr>
                <w:rFonts w:ascii="Calibri" w:hAnsi="Calibri"/>
                <w:b w:val="0"/>
                <w:color w:val="212529"/>
                <w:sz w:val="17"/>
              </w:rPr>
              <w:t>72.34%</w:t>
            </w:r>
          </w:p>
        </w:tc>
        <w:tc>
          <w:tcPr>
            <w:tcW w:type="dxa" w:w="648"/>
            <w:shd w:fill="FFFFFF"/>
            <w:tcMar>
              <w:top w:w="70" w:type="dxa"/>
              <w:bottom w:w="70" w:type="dxa"/>
              <w:left w:w="100" w:type="dxa"/>
              <w:right w:w="100" w:type="dxa"/>
            </w:tcMar>
          </w:tcPr>
          <w:p>
            <w:pPr>
              <w:spacing w:after="0"/>
              <w:jc w:val="left"/>
            </w:pPr>
            <w:r>
              <w:rPr>
                <w:rFonts w:ascii="Calibri" w:hAnsi="Calibri"/>
                <w:b w:val="0"/>
                <w:color w:val="212529"/>
                <w:sz w:val="17"/>
              </w:rPr>
              <w:t>55.04%</w:t>
            </w:r>
          </w:p>
        </w:tc>
        <w:tc>
          <w:tcPr>
            <w:tcW w:type="dxa" w:w="648"/>
            <w:shd w:fill="FFFFFF"/>
            <w:tcMar>
              <w:top w:w="70" w:type="dxa"/>
              <w:bottom w:w="70" w:type="dxa"/>
              <w:left w:w="100" w:type="dxa"/>
              <w:right w:w="100" w:type="dxa"/>
            </w:tcMar>
          </w:tcPr>
          <w:p>
            <w:pPr>
              <w:spacing w:after="0"/>
              <w:jc w:val="left"/>
            </w:pPr>
            <w:r>
              <w:rPr>
                <w:rFonts w:ascii="Calibri" w:hAnsi="Calibri"/>
                <w:b w:val="0"/>
                <w:color w:val="212529"/>
                <w:sz w:val="17"/>
              </w:rPr>
              <w:t>93.32%</w:t>
            </w:r>
          </w:p>
        </w:tc>
        <w:tc>
          <w:tcPr>
            <w:tcW w:type="dxa" w:w="648"/>
            <w:shd w:fill="FFFFFF"/>
            <w:tcMar>
              <w:top w:w="70" w:type="dxa"/>
              <w:bottom w:w="70" w:type="dxa"/>
              <w:left w:w="100" w:type="dxa"/>
              <w:right w:w="100" w:type="dxa"/>
            </w:tcMar>
          </w:tcPr>
          <w:p>
            <w:pPr>
              <w:spacing w:after="0"/>
              <w:jc w:val="left"/>
            </w:pPr>
            <w:r>
              <w:rPr>
                <w:rFonts w:ascii="Calibri" w:hAnsi="Calibri"/>
                <w:b w:val="0"/>
                <w:color w:val="212529"/>
                <w:sz w:val="17"/>
              </w:rPr>
              <w:t>86.74%</w:t>
            </w:r>
          </w:p>
        </w:tc>
        <w:tc>
          <w:tcPr>
            <w:tcW w:type="dxa" w:w="576"/>
            <w:shd w:fill="FFFFFF"/>
            <w:tcMar>
              <w:top w:w="70" w:type="dxa"/>
              <w:bottom w:w="70" w:type="dxa"/>
              <w:left w:w="100" w:type="dxa"/>
              <w:right w:w="100" w:type="dxa"/>
            </w:tcMar>
          </w:tcPr>
          <w:p>
            <w:pPr>
              <w:spacing w:after="0"/>
              <w:jc w:val="left"/>
            </w:pPr>
            <w:r>
              <w:rPr>
                <w:rFonts w:ascii="Calibri" w:hAnsi="Calibri"/>
                <w:b w:val="0"/>
                <w:color w:val="212529"/>
                <w:sz w:val="17"/>
              </w:rPr>
              <w:t>0.6251</w:t>
            </w:r>
          </w:p>
        </w:tc>
        <w:tc>
          <w:tcPr>
            <w:tcW w:type="dxa" w:w="648"/>
            <w:shd w:fill="FFFFFF"/>
            <w:tcMar>
              <w:top w:w="70" w:type="dxa"/>
              <w:bottom w:w="70" w:type="dxa"/>
              <w:left w:w="100" w:type="dxa"/>
              <w:right w:w="100" w:type="dxa"/>
            </w:tcMar>
          </w:tcPr>
          <w:p>
            <w:pPr>
              <w:spacing w:after="0"/>
              <w:jc w:val="left"/>
            </w:pPr>
            <w:r>
              <w:rPr>
                <w:rFonts w:ascii="Calibri" w:hAnsi="Calibri"/>
                <w:b/>
                <w:color w:val="212529"/>
                <w:sz w:val="17"/>
              </w:rPr>
              <w:t>0.9004</w:t>
            </w:r>
          </w:p>
        </w:tc>
        <w:tc>
          <w:tcPr>
            <w:tcW w:type="dxa" w:w="648"/>
            <w:shd w:fill="FFFFFF"/>
            <w:tcMar>
              <w:top w:w="70" w:type="dxa"/>
              <w:bottom w:w="70" w:type="dxa"/>
              <w:left w:w="100" w:type="dxa"/>
              <w:right w:w="100" w:type="dxa"/>
            </w:tcMar>
          </w:tcPr>
          <w:p>
            <w:pPr>
              <w:spacing w:after="0"/>
              <w:jc w:val="left"/>
            </w:pPr>
            <w:r>
              <w:rPr>
                <w:rFonts w:ascii="Calibri" w:hAnsi="Calibri"/>
                <w:b w:val="0"/>
                <w:color w:val="212529"/>
                <w:sz w:val="17"/>
              </w:rPr>
              <w:t>0.7214</w:t>
            </w:r>
          </w:p>
        </w:tc>
      </w:tr>
    </w:tbl>
    <w:p>
      <w:pPr>
        <w:spacing w:before="40" w:after="160"/>
      </w:pPr>
      <w:r>
        <w:rPr>
          <w:i/>
          <w:color w:val="6C757D"/>
          <w:sz w:val="17"/>
        </w:rPr>
        <w:t>Table 9.1: Comprehensive out-of-sample test set evaluation metrics across models (outputs/week3_model/evaluation_metrics.csv).</w:t>
      </w:r>
    </w:p>
    <w:p>
      <w:pPr>
        <w:pStyle w:val="Heading2"/>
        <w:keepNext/>
        <w:spacing w:before="260" w:after="80"/>
      </w:pPr>
      <w:r>
        <w:rPr>
          <w:rFonts w:ascii="Calibri" w:hAnsi="Calibri"/>
          <w:b/>
          <w:color w:val="465C7A"/>
          <w:sz w:val="26"/>
        </w:rPr>
        <w:t>9.1 Confusion Matrix Decomposition and Asymmetric Error Trade-offs</w:t>
      </w:r>
    </w:p>
    <w:p>
      <w:pPr>
        <w:spacing w:after="120" w:line="276" w:lineRule="auto"/>
      </w:pPr>
      <w:r>
        <w:rPr>
          <w:rFonts w:ascii="Calibri" w:hAnsi="Calibri"/>
          <w:color w:val="212529"/>
          <w:sz w:val="21"/>
        </w:rPr>
        <w:t>At the standard 0.50 classification threshold, Standard Logistic Regression achieved 943 True Positives, 4,573 True Negatives, 367 False Positives, and 625 False Negatives. This reflects an asymmetric trade-off: the model is highly conservative in predicting high earners, achieving 92.57% specificity and 71.98% precision, but failing to identify 39.86% of actual high earners (recall = 60.14%). In decision contexts where false negatives carry higher costs (e.g., identifying affluent consumers for premium services), lowering the threshold to 0.35 would increase recall at the expense of precision.</w:t>
      </w:r>
    </w:p>
    <w:p>
      <w:pPr>
        <w:spacing w:before="160" w:after="60"/>
        <w:jc w:val="center"/>
      </w:pPr>
      <w:r>
        <w:drawing>
          <wp:inline xmlns:a="http://schemas.openxmlformats.org/drawingml/2006/main" xmlns:pic="http://schemas.openxmlformats.org/drawingml/2006/picture">
            <wp:extent cx="5212080" cy="4169664"/>
            <wp:docPr id="11" name="Picture 11"/>
            <wp:cNvGraphicFramePr>
              <a:graphicFrameLocks noChangeAspect="1"/>
            </wp:cNvGraphicFramePr>
            <a:graphic>
              <a:graphicData uri="http://schemas.openxmlformats.org/drawingml/2006/picture">
                <pic:pic>
                  <pic:nvPicPr>
                    <pic:cNvPr id="0" name="week3_confusion_matrix_logistic.png"/>
                    <pic:cNvPicPr/>
                  </pic:nvPicPr>
                  <pic:blipFill>
                    <a:blip r:embed="rId21"/>
                    <a:stretch>
                      <a:fillRect/>
                    </a:stretch>
                  </pic:blipFill>
                  <pic:spPr>
                    <a:xfrm>
                      <a:off x="0" y="0"/>
                      <a:ext cx="5212080" cy="4169664"/>
                    </a:xfrm>
                    <a:prstGeom prst="rect"/>
                  </pic:spPr>
                </pic:pic>
              </a:graphicData>
            </a:graphic>
          </wp:inline>
        </w:drawing>
      </w:r>
    </w:p>
    <w:p>
      <w:pPr>
        <w:spacing w:after="160"/>
        <w:jc w:val="center"/>
      </w:pPr>
      <w:r>
        <w:rPr>
          <w:b/>
          <w:color w:val="1B365D"/>
          <w:sz w:val="19"/>
        </w:rPr>
        <w:t xml:space="preserve">Figure 9.1: </w:t>
      </w:r>
      <w:r>
        <w:rPr>
          <w:b/>
          <w:color w:val="465C7A"/>
          <w:sz w:val="19"/>
        </w:rPr>
        <w:t xml:space="preserve">Confusion Matrix Heatmap for Standard Logistic Regression. </w:t>
      </w:r>
      <w:r>
        <w:rPr>
          <w:i/>
          <w:color w:val="6C757D"/>
          <w:sz w:val="18"/>
        </w:rPr>
        <w:t>Confusion matrix on the held-out test set (N = 6,508) illustrating the counts and percentages for TN (70.27%), TP (14.49%), FN (9.60%), and FP (5.64%).</w:t>
      </w:r>
    </w:p>
    <w:p>
      <w:pPr>
        <w:pStyle w:val="Heading2"/>
        <w:keepNext/>
        <w:spacing w:before="260" w:after="80"/>
      </w:pPr>
      <w:r>
        <w:rPr>
          <w:rFonts w:ascii="Calibri" w:hAnsi="Calibri"/>
          <w:b/>
          <w:color w:val="465C7A"/>
          <w:sz w:val="26"/>
        </w:rPr>
        <w:t>9.2 Discrimination Curves: ROC and Precision-Recall</w:t>
      </w:r>
    </w:p>
    <w:p>
      <w:pPr>
        <w:spacing w:after="120" w:line="276" w:lineRule="auto"/>
      </w:pPr>
      <w:r>
        <w:rPr>
          <w:rFonts w:ascii="Calibri" w:hAnsi="Calibri"/>
          <w:color w:val="212529"/>
          <w:sz w:val="21"/>
        </w:rPr>
        <w:t>Figures 9.2 and 9.3 display the Receiver Operating Characteristic (ROC) and Precision-Recall (PR) curves. Standard Logistic Regression achieved an exceptional ROC-AUC of 0.9047, while Elastic Net achieved 0.9004. Because ROC curves can present an overly optimistic assessment under severe class imbalance, the PR curve provides crucial confirmation: Standard Logistic Regression achieved a PR-AUC of 0.7271, compared to the horizontal baseline rate of 0.2409, demonstrating strong discriminative power.</w:t>
      </w:r>
    </w:p>
    <w:p>
      <w:pPr>
        <w:spacing w:before="160" w:after="60"/>
        <w:jc w:val="center"/>
      </w:pPr>
      <w:r>
        <w:drawing>
          <wp:inline xmlns:a="http://schemas.openxmlformats.org/drawingml/2006/main" xmlns:pic="http://schemas.openxmlformats.org/drawingml/2006/picture">
            <wp:extent cx="5212080" cy="4139005"/>
            <wp:docPr id="12" name="Picture 12"/>
            <wp:cNvGraphicFramePr>
              <a:graphicFrameLocks noChangeAspect="1"/>
            </wp:cNvGraphicFramePr>
            <a:graphic>
              <a:graphicData uri="http://schemas.openxmlformats.org/drawingml/2006/picture">
                <pic:pic>
                  <pic:nvPicPr>
                    <pic:cNvPr id="0" name="week3_roc_curves.png"/>
                    <pic:cNvPicPr/>
                  </pic:nvPicPr>
                  <pic:blipFill>
                    <a:blip r:embed="rId22"/>
                    <a:stretch>
                      <a:fillRect/>
                    </a:stretch>
                  </pic:blipFill>
                  <pic:spPr>
                    <a:xfrm>
                      <a:off x="0" y="0"/>
                      <a:ext cx="5212080" cy="4139005"/>
                    </a:xfrm>
                    <a:prstGeom prst="rect"/>
                  </pic:spPr>
                </pic:pic>
              </a:graphicData>
            </a:graphic>
          </wp:inline>
        </w:drawing>
      </w:r>
    </w:p>
    <w:p>
      <w:pPr>
        <w:spacing w:after="160"/>
        <w:jc w:val="center"/>
      </w:pPr>
      <w:r>
        <w:rPr>
          <w:b/>
          <w:color w:val="1B365D"/>
          <w:sz w:val="19"/>
        </w:rPr>
        <w:t xml:space="preserve">Figure 9.2: </w:t>
      </w:r>
      <w:r>
        <w:rPr>
          <w:b/>
          <w:color w:val="465C7A"/>
          <w:sz w:val="19"/>
        </w:rPr>
        <w:t xml:space="preserve">Receiver Operating Characteristic (ROC) Comparison Curves. </w:t>
      </w:r>
      <w:r>
        <w:rPr>
          <w:i/>
          <w:color w:val="6C757D"/>
          <w:sz w:val="18"/>
        </w:rPr>
        <w:t>ROC curves demonstrating superior discriminative performance for Logistic Regression (AUC = 0.9047) and Elastic Net (AUC = 0.9004) over Baseline (0.5000).</w:t>
      </w:r>
    </w:p>
    <w:p>
      <w:pPr>
        <w:spacing w:before="160" w:after="60"/>
        <w:jc w:val="center"/>
      </w:pPr>
      <w:r>
        <w:drawing>
          <wp:inline xmlns:a="http://schemas.openxmlformats.org/drawingml/2006/main" xmlns:pic="http://schemas.openxmlformats.org/drawingml/2006/picture">
            <wp:extent cx="5212080" cy="4139005"/>
            <wp:docPr id="13" name="Picture 13"/>
            <wp:cNvGraphicFramePr>
              <a:graphicFrameLocks noChangeAspect="1"/>
            </wp:cNvGraphicFramePr>
            <a:graphic>
              <a:graphicData uri="http://schemas.openxmlformats.org/drawingml/2006/picture">
                <pic:pic>
                  <pic:nvPicPr>
                    <pic:cNvPr id="0" name="week3_pr_curves.png"/>
                    <pic:cNvPicPr/>
                  </pic:nvPicPr>
                  <pic:blipFill>
                    <a:blip r:embed="rId23"/>
                    <a:stretch>
                      <a:fillRect/>
                    </a:stretch>
                  </pic:blipFill>
                  <pic:spPr>
                    <a:xfrm>
                      <a:off x="0" y="0"/>
                      <a:ext cx="5212080" cy="4139005"/>
                    </a:xfrm>
                    <a:prstGeom prst="rect"/>
                  </pic:spPr>
                </pic:pic>
              </a:graphicData>
            </a:graphic>
          </wp:inline>
        </w:drawing>
      </w:r>
    </w:p>
    <w:p>
      <w:pPr>
        <w:spacing w:after="160"/>
        <w:jc w:val="center"/>
      </w:pPr>
      <w:r>
        <w:rPr>
          <w:b/>
          <w:color w:val="1B365D"/>
          <w:sz w:val="19"/>
        </w:rPr>
        <w:t xml:space="preserve">Figure 9.3: </w:t>
      </w:r>
      <w:r>
        <w:rPr>
          <w:b/>
          <w:color w:val="465C7A"/>
          <w:sz w:val="19"/>
        </w:rPr>
        <w:t xml:space="preserve">Precision-Recall (PR) Curves Under Class Imbalance. </w:t>
      </w:r>
      <w:r>
        <w:rPr>
          <w:i/>
          <w:color w:val="6C757D"/>
          <w:sz w:val="18"/>
        </w:rPr>
        <w:t>PR curves showing strong positive-class performance (PR-AUC = 0.7271) relative to the 24.09% random chance baseline.</w:t>
      </w:r>
    </w:p>
    <w:p>
      <w:pPr>
        <w:pStyle w:val="Heading2"/>
        <w:keepNext/>
        <w:spacing w:before="260" w:after="80"/>
      </w:pPr>
      <w:r>
        <w:rPr>
          <w:rFonts w:ascii="Calibri" w:hAnsi="Calibri"/>
          <w:b/>
          <w:color w:val="465C7A"/>
          <w:sz w:val="26"/>
        </w:rPr>
        <w:t>9.3 Probability Calibration and Regression Influence Diagnostics</w:t>
      </w:r>
    </w:p>
    <w:p>
      <w:pPr>
        <w:spacing w:after="120" w:line="276" w:lineRule="auto"/>
      </w:pPr>
      <w:r>
        <w:rPr>
          <w:rFonts w:ascii="Calibri" w:hAnsi="Calibri"/>
          <w:color w:val="212529"/>
          <w:sz w:val="21"/>
        </w:rPr>
        <w:t>Model calibration was evaluated in Figure 9.4 and outputs/week3_model/calibration_deciles.csv. Predicted probabilities were binned into deciles and compared against empirical high-income proportions. The calibration curve tracks the ideal 45-degree diagonal closely: individuals in Decile 1 (predicted mean probability = 1.0%) exhibit an empirical rate of 1.4%, while individuals in Decile 10 (mean probability = 85.3%) exhibit an empirical rate of 84.1%. This confirms that the model's predicted probabilities can be directly interpreted as well-calibrated posterior risks.</w:t>
      </w:r>
    </w:p>
    <w:p>
      <w:pPr>
        <w:spacing w:before="160" w:after="60"/>
        <w:jc w:val="center"/>
      </w:pPr>
      <w:r>
        <w:drawing>
          <wp:inline xmlns:a="http://schemas.openxmlformats.org/drawingml/2006/main" xmlns:pic="http://schemas.openxmlformats.org/drawingml/2006/picture">
            <wp:extent cx="5212080" cy="4139005"/>
            <wp:docPr id="14" name="Picture 14"/>
            <wp:cNvGraphicFramePr>
              <a:graphicFrameLocks noChangeAspect="1"/>
            </wp:cNvGraphicFramePr>
            <a:graphic>
              <a:graphicData uri="http://schemas.openxmlformats.org/drawingml/2006/picture">
                <pic:pic>
                  <pic:nvPicPr>
                    <pic:cNvPr id="0" name="week3_calibration_plot.png"/>
                    <pic:cNvPicPr/>
                  </pic:nvPicPr>
                  <pic:blipFill>
                    <a:blip r:embed="rId24"/>
                    <a:stretch>
                      <a:fillRect/>
                    </a:stretch>
                  </pic:blipFill>
                  <pic:spPr>
                    <a:xfrm>
                      <a:off x="0" y="0"/>
                      <a:ext cx="5212080" cy="4139005"/>
                    </a:xfrm>
                    <a:prstGeom prst="rect"/>
                  </pic:spPr>
                </pic:pic>
              </a:graphicData>
            </a:graphic>
          </wp:inline>
        </w:drawing>
      </w:r>
    </w:p>
    <w:p>
      <w:pPr>
        <w:spacing w:after="160"/>
        <w:jc w:val="center"/>
      </w:pPr>
      <w:r>
        <w:rPr>
          <w:b/>
          <w:color w:val="1B365D"/>
          <w:sz w:val="19"/>
        </w:rPr>
        <w:t xml:space="preserve">Figure 9.4: </w:t>
      </w:r>
      <w:r>
        <w:rPr>
          <w:b/>
          <w:color w:val="465C7A"/>
          <w:sz w:val="19"/>
        </w:rPr>
        <w:t xml:space="preserve">Decile Probability Calibration Curve. </w:t>
      </w:r>
      <w:r>
        <w:rPr>
          <w:i/>
          <w:color w:val="6C757D"/>
          <w:sz w:val="18"/>
        </w:rPr>
        <w:t>Empirical reliability diagram confirming that predicted probabilities align closely with observed proportions across all ten deciles.</w:t>
      </w:r>
    </w:p>
    <w:p>
      <w:pPr>
        <w:spacing w:after="120" w:line="276" w:lineRule="auto"/>
      </w:pPr>
      <w:r>
        <w:rPr>
          <w:rFonts w:ascii="Calibri" w:hAnsi="Calibri"/>
          <w:color w:val="212529"/>
          <w:sz w:val="21"/>
        </w:rPr>
        <w:t>Influence diagnostics were conducted via Cook's distance in Figure 9.5. The maximum Cook's distance across all 26,029 training observations was 0.0051, well below the standard threshold of 4/N = 0.00015 to 1.0. This confirms that no single high-leverage observation exerted undue influence over the estimated regression coefficients.</w:t>
      </w:r>
    </w:p>
    <w:p>
      <w:pPr>
        <w:spacing w:before="160" w:after="60"/>
        <w:jc w:val="center"/>
      </w:pPr>
      <w:r>
        <w:drawing>
          <wp:inline xmlns:a="http://schemas.openxmlformats.org/drawingml/2006/main" xmlns:pic="http://schemas.openxmlformats.org/drawingml/2006/picture">
            <wp:extent cx="5212080" cy="3521676"/>
            <wp:docPr id="15" name="Picture 15"/>
            <wp:cNvGraphicFramePr>
              <a:graphicFrameLocks noChangeAspect="1"/>
            </wp:cNvGraphicFramePr>
            <a:graphic>
              <a:graphicData uri="http://schemas.openxmlformats.org/drawingml/2006/picture">
                <pic:pic>
                  <pic:nvPicPr>
                    <pic:cNvPr id="0" name="week3_cooks_distance_residuals.png"/>
                    <pic:cNvPicPr/>
                  </pic:nvPicPr>
                  <pic:blipFill>
                    <a:blip r:embed="rId25"/>
                    <a:stretch>
                      <a:fillRect/>
                    </a:stretch>
                  </pic:blipFill>
                  <pic:spPr>
                    <a:xfrm>
                      <a:off x="0" y="0"/>
                      <a:ext cx="5212080" cy="3521676"/>
                    </a:xfrm>
                    <a:prstGeom prst="rect"/>
                  </pic:spPr>
                </pic:pic>
              </a:graphicData>
            </a:graphic>
          </wp:inline>
        </w:drawing>
      </w:r>
    </w:p>
    <w:p>
      <w:pPr>
        <w:spacing w:after="160"/>
        <w:jc w:val="center"/>
      </w:pPr>
      <w:r>
        <w:rPr>
          <w:b/>
          <w:color w:val="1B365D"/>
          <w:sz w:val="19"/>
        </w:rPr>
        <w:t xml:space="preserve">Figure 9.5: </w:t>
      </w:r>
      <w:r>
        <w:rPr>
          <w:b/>
          <w:color w:val="465C7A"/>
          <w:sz w:val="19"/>
        </w:rPr>
        <w:t xml:space="preserve">Influence Diagnostics: Cook's Distance and Pearson Residuals. </w:t>
      </w:r>
      <w:r>
        <w:rPr>
          <w:i/>
          <w:color w:val="6C757D"/>
          <w:sz w:val="18"/>
        </w:rPr>
        <w:t>Index plot confirming that influence is distributed evenly across observations without disruptive leverage points.</w:t>
      </w:r>
    </w:p>
    <w:p>
      <w:pPr>
        <w:pStyle w:val="Heading1"/>
        <w:keepNext/>
        <w:spacing w:before="360" w:after="120"/>
      </w:pPr>
      <w:r>
        <w:rPr>
          <w:rFonts w:ascii="Calibri" w:hAnsi="Calibri"/>
          <w:b/>
          <w:color w:val="1B365D"/>
          <w:sz w:val="32"/>
        </w:rPr>
        <w:t>Section 10 — Integrated Findings Across Weeks 1–3</w:t>
      </w:r>
    </w:p>
    <w:p>
      <w:pPr>
        <w:spacing w:after="120" w:line="276" w:lineRule="auto"/>
      </w:pPr>
      <w:r>
        <w:rPr>
          <w:rFonts w:ascii="Calibri" w:hAnsi="Calibri"/>
          <w:color w:val="212529"/>
          <w:sz w:val="21"/>
        </w:rPr>
        <w:t>A central objective of Week 4 is to demonstrate how the three preceding phases integrate into a unified analytical whole. Rather than treating data cleaning, visualization, hypothesis testing, and predictive modeling as disconnected exercises, the project followed a cumulative progression: data cleaning established hygiene, visualization revealed candidate relationships, hypothesis testing established inferential validity, and predictive modeling synthesized all features into a calibrated decision engine. Table 10.1 maps this progression across all phases:</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2340"/>
        <w:gridCol w:w="2340"/>
        <w:gridCol w:w="2340"/>
        <w:gridCol w:w="2340"/>
      </w:tblGrid>
      <w:tr>
        <w:tc>
          <w:tcPr>
            <w:tcW w:type="dxa" w:w="2160"/>
            <w:shd w:fill="1B365D"/>
            <w:tcMar>
              <w:top w:w="100" w:type="dxa"/>
              <w:bottom w:w="100" w:type="dxa"/>
              <w:left w:w="100" w:type="dxa"/>
              <w:right w:w="100" w:type="dxa"/>
            </w:tcMar>
          </w:tcPr>
          <w:p>
            <w:pPr>
              <w:spacing w:after="0"/>
              <w:jc w:val="left"/>
            </w:pPr>
            <w:r>
              <w:rPr>
                <w:rFonts w:ascii="Calibri" w:hAnsi="Calibri"/>
                <w:b/>
                <w:color w:val="FFFFFF"/>
                <w:sz w:val="18"/>
              </w:rPr>
              <w:t>Project Stage</w:t>
            </w:r>
          </w:p>
        </w:tc>
        <w:tc>
          <w:tcPr>
            <w:tcW w:type="dxa" w:w="2016"/>
            <w:shd w:fill="1B365D"/>
            <w:tcMar>
              <w:top w:w="100" w:type="dxa"/>
              <w:bottom w:w="100" w:type="dxa"/>
              <w:left w:w="100" w:type="dxa"/>
              <w:right w:w="100" w:type="dxa"/>
            </w:tcMar>
          </w:tcPr>
          <w:p>
            <w:pPr>
              <w:spacing w:after="0"/>
              <w:jc w:val="left"/>
            </w:pPr>
            <w:r>
              <w:rPr>
                <w:rFonts w:ascii="Calibri" w:hAnsi="Calibri"/>
                <w:b/>
                <w:color w:val="FFFFFF"/>
                <w:sz w:val="18"/>
              </w:rPr>
              <w:t>Source Scripts</w:t>
            </w:r>
          </w:p>
        </w:tc>
        <w:tc>
          <w:tcPr>
            <w:tcW w:type="dxa" w:w="2160"/>
            <w:shd w:fill="1B365D"/>
            <w:tcMar>
              <w:top w:w="100" w:type="dxa"/>
              <w:bottom w:w="100" w:type="dxa"/>
              <w:left w:w="100" w:type="dxa"/>
              <w:right w:w="100" w:type="dxa"/>
            </w:tcMar>
          </w:tcPr>
          <w:p>
            <w:pPr>
              <w:spacing w:after="0"/>
              <w:jc w:val="left"/>
            </w:pPr>
            <w:r>
              <w:rPr>
                <w:rFonts w:ascii="Calibri" w:hAnsi="Calibri"/>
                <w:b/>
                <w:color w:val="FFFFFF"/>
                <w:sz w:val="18"/>
              </w:rPr>
              <w:t>Verified Output</w:t>
            </w:r>
          </w:p>
        </w:tc>
        <w:tc>
          <w:tcPr>
            <w:tcW w:type="dxa" w:w="3024"/>
            <w:shd w:fill="1B365D"/>
            <w:tcMar>
              <w:top w:w="100" w:type="dxa"/>
              <w:bottom w:w="100" w:type="dxa"/>
              <w:left w:w="100" w:type="dxa"/>
              <w:right w:w="100" w:type="dxa"/>
            </w:tcMar>
          </w:tcPr>
          <w:p>
            <w:pPr>
              <w:spacing w:after="0"/>
              <w:jc w:val="left"/>
            </w:pPr>
            <w:r>
              <w:rPr>
                <w:rFonts w:ascii="Calibri" w:hAnsi="Calibri"/>
                <w:b/>
                <w:color w:val="FFFFFF"/>
                <w:sz w:val="18"/>
              </w:rPr>
              <w:t>Contribution to Final Findings</w:t>
            </w:r>
          </w:p>
        </w:tc>
      </w:tr>
      <w:tr>
        <w:tc>
          <w:tcPr>
            <w:tcW w:type="dxa" w:w="2160"/>
            <w:shd w:fill="FFFFFF"/>
            <w:tcMar>
              <w:top w:w="70" w:type="dxa"/>
              <w:bottom w:w="70" w:type="dxa"/>
              <w:left w:w="100" w:type="dxa"/>
              <w:right w:w="100" w:type="dxa"/>
            </w:tcMar>
          </w:tcPr>
          <w:p>
            <w:pPr>
              <w:spacing w:after="0"/>
              <w:jc w:val="left"/>
            </w:pPr>
            <w:r>
              <w:rPr>
                <w:rFonts w:ascii="Calibri" w:hAnsi="Calibri"/>
                <w:b/>
                <w:color w:val="212529"/>
                <w:sz w:val="17"/>
              </w:rPr>
              <w:t>Week 1: Import &amp; Schema Audit</w:t>
            </w:r>
          </w:p>
        </w:tc>
        <w:tc>
          <w:tcPr>
            <w:tcW w:type="dxa" w:w="2016"/>
            <w:shd w:fill="FFFFFF"/>
            <w:tcMar>
              <w:top w:w="70" w:type="dxa"/>
              <w:bottom w:w="70" w:type="dxa"/>
              <w:left w:w="100" w:type="dxa"/>
              <w:right w:w="100" w:type="dxa"/>
            </w:tcMar>
          </w:tcPr>
          <w:p>
            <w:pPr>
              <w:spacing w:after="0"/>
              <w:jc w:val="left"/>
            </w:pPr>
            <w:r>
              <w:rPr>
                <w:rFonts w:ascii="Calibri" w:hAnsi="Calibri"/>
                <w:b w:val="0"/>
                <w:color w:val="212529"/>
                <w:sz w:val="17"/>
              </w:rPr>
              <w:t>01_import.R, 02_quality_assessment.R</w:t>
            </w:r>
          </w:p>
        </w:tc>
        <w:tc>
          <w:tcPr>
            <w:tcW w:type="dxa" w:w="2160"/>
            <w:shd w:fill="FFFFFF"/>
            <w:tcMar>
              <w:top w:w="70" w:type="dxa"/>
              <w:bottom w:w="70" w:type="dxa"/>
              <w:left w:w="100" w:type="dxa"/>
              <w:right w:w="100" w:type="dxa"/>
            </w:tcMar>
          </w:tcPr>
          <w:p>
            <w:pPr>
              <w:spacing w:after="0"/>
              <w:jc w:val="left"/>
            </w:pPr>
            <w:r>
              <w:rPr>
                <w:rFonts w:ascii="Calibri" w:hAnsi="Calibri"/>
                <w:b/>
                <w:color w:val="212529"/>
                <w:sz w:val="17"/>
              </w:rPr>
              <w:t>01_head_output.txt, 02_quality_table.csv</w:t>
            </w:r>
          </w:p>
        </w:tc>
        <w:tc>
          <w:tcPr>
            <w:tcW w:type="dxa" w:w="3024"/>
            <w:shd w:fill="FFFFFF"/>
            <w:tcMar>
              <w:top w:w="70" w:type="dxa"/>
              <w:bottom w:w="70" w:type="dxa"/>
              <w:left w:w="100" w:type="dxa"/>
              <w:right w:w="100" w:type="dxa"/>
            </w:tcMar>
          </w:tcPr>
          <w:p>
            <w:pPr>
              <w:spacing w:after="0"/>
              <w:jc w:val="left"/>
            </w:pPr>
            <w:r>
              <w:rPr>
                <w:rFonts w:ascii="Calibri" w:hAnsi="Calibri"/>
                <w:b w:val="0"/>
                <w:color w:val="212529"/>
                <w:sz w:val="17"/>
              </w:rPr>
              <w:t>Established data integrity; identified '?' missingness tokens and whitespace padding; verified 32,561 rows across 15 variables.</w:t>
            </w:r>
          </w:p>
        </w:tc>
      </w:tr>
      <w:tr>
        <w:tc>
          <w:tcPr>
            <w:tcW w:type="dxa" w:w="2160"/>
            <w:shd w:fill="F8F9FA"/>
            <w:tcMar>
              <w:top w:w="70" w:type="dxa"/>
              <w:bottom w:w="70" w:type="dxa"/>
              <w:left w:w="100" w:type="dxa"/>
              <w:right w:w="100" w:type="dxa"/>
            </w:tcMar>
          </w:tcPr>
          <w:p>
            <w:pPr>
              <w:spacing w:after="0"/>
              <w:jc w:val="left"/>
            </w:pPr>
            <w:r>
              <w:rPr>
                <w:rFonts w:ascii="Calibri" w:hAnsi="Calibri"/>
                <w:b/>
                <w:color w:val="212529"/>
                <w:sz w:val="17"/>
              </w:rPr>
              <w:t>Week 1: Cleaning &amp; Deduplication</w:t>
            </w:r>
          </w:p>
        </w:tc>
        <w:tc>
          <w:tcPr>
            <w:tcW w:type="dxa" w:w="2016"/>
            <w:shd w:fill="F8F9FA"/>
            <w:tcMar>
              <w:top w:w="70" w:type="dxa"/>
              <w:bottom w:w="70" w:type="dxa"/>
              <w:left w:w="100" w:type="dxa"/>
              <w:right w:w="100" w:type="dxa"/>
            </w:tcMar>
          </w:tcPr>
          <w:p>
            <w:pPr>
              <w:spacing w:after="0"/>
              <w:jc w:val="left"/>
            </w:pPr>
            <w:r>
              <w:rPr>
                <w:rFonts w:ascii="Calibri" w:hAnsi="Calibri"/>
                <w:b w:val="0"/>
                <w:color w:val="212529"/>
                <w:sz w:val="17"/>
              </w:rPr>
              <w:t>03_cleaning.R</w:t>
            </w:r>
          </w:p>
        </w:tc>
        <w:tc>
          <w:tcPr>
            <w:tcW w:type="dxa" w:w="2160"/>
            <w:shd w:fill="F8F9FA"/>
            <w:tcMar>
              <w:top w:w="70" w:type="dxa"/>
              <w:bottom w:w="70" w:type="dxa"/>
              <w:left w:w="100" w:type="dxa"/>
              <w:right w:w="100" w:type="dxa"/>
            </w:tcMar>
          </w:tcPr>
          <w:p>
            <w:pPr>
              <w:spacing w:after="0"/>
              <w:jc w:val="left"/>
            </w:pPr>
            <w:r>
              <w:rPr>
                <w:rFonts w:ascii="Calibri" w:hAnsi="Calibri"/>
                <w:b/>
                <w:color w:val="212529"/>
                <w:sz w:val="17"/>
              </w:rPr>
              <w:t>03_cleaning_report.txt, adult_cleaned.rds</w:t>
            </w:r>
          </w:p>
        </w:tc>
        <w:tc>
          <w:tcPr>
            <w:tcW w:type="dxa" w:w="3024"/>
            <w:shd w:fill="F8F9FA"/>
            <w:tcMar>
              <w:top w:w="70" w:type="dxa"/>
              <w:bottom w:w="70" w:type="dxa"/>
              <w:left w:w="100" w:type="dxa"/>
              <w:right w:w="100" w:type="dxa"/>
            </w:tcMar>
          </w:tcPr>
          <w:p>
            <w:pPr>
              <w:spacing w:after="0"/>
              <w:jc w:val="left"/>
            </w:pPr>
            <w:r>
              <w:rPr>
                <w:rFonts w:ascii="Calibri" w:hAnsi="Calibri"/>
                <w:b w:val="0"/>
                <w:color w:val="212529"/>
                <w:sz w:val="17"/>
              </w:rPr>
              <w:t>Mode-imputed 4,262 missing cells; purged 24 exact duplicates; fixed authenticated sample size at N = 32,537.</w:t>
            </w:r>
          </w:p>
        </w:tc>
      </w:tr>
      <w:tr>
        <w:tc>
          <w:tcPr>
            <w:tcW w:type="dxa" w:w="2160"/>
            <w:shd w:fill="FFFFFF"/>
            <w:tcMar>
              <w:top w:w="70" w:type="dxa"/>
              <w:bottom w:w="70" w:type="dxa"/>
              <w:left w:w="100" w:type="dxa"/>
              <w:right w:w="100" w:type="dxa"/>
            </w:tcMar>
          </w:tcPr>
          <w:p>
            <w:pPr>
              <w:spacing w:after="0"/>
              <w:jc w:val="left"/>
            </w:pPr>
            <w:r>
              <w:rPr>
                <w:rFonts w:ascii="Calibri" w:hAnsi="Calibri"/>
                <w:b/>
                <w:color w:val="212529"/>
                <w:sz w:val="17"/>
              </w:rPr>
              <w:t>Week 1: Outlier Audit</w:t>
            </w:r>
          </w:p>
        </w:tc>
        <w:tc>
          <w:tcPr>
            <w:tcW w:type="dxa" w:w="2016"/>
            <w:shd w:fill="FFFFFF"/>
            <w:tcMar>
              <w:top w:w="70" w:type="dxa"/>
              <w:bottom w:w="70" w:type="dxa"/>
              <w:left w:w="100" w:type="dxa"/>
              <w:right w:w="100" w:type="dxa"/>
            </w:tcMar>
          </w:tcPr>
          <w:p>
            <w:pPr>
              <w:spacing w:after="0"/>
              <w:jc w:val="left"/>
            </w:pPr>
            <w:r>
              <w:rPr>
                <w:rFonts w:ascii="Calibri" w:hAnsi="Calibri"/>
                <w:b w:val="0"/>
                <w:color w:val="212529"/>
                <w:sz w:val="17"/>
              </w:rPr>
              <w:t>04_outlier_analysis.R</w:t>
            </w:r>
          </w:p>
        </w:tc>
        <w:tc>
          <w:tcPr>
            <w:tcW w:type="dxa" w:w="2160"/>
            <w:shd w:fill="FFFFFF"/>
            <w:tcMar>
              <w:top w:w="70" w:type="dxa"/>
              <w:bottom w:w="70" w:type="dxa"/>
              <w:left w:w="100" w:type="dxa"/>
              <w:right w:w="100" w:type="dxa"/>
            </w:tcMar>
          </w:tcPr>
          <w:p>
            <w:pPr>
              <w:spacing w:after="0"/>
              <w:jc w:val="left"/>
            </w:pPr>
            <w:r>
              <w:rPr>
                <w:rFonts w:ascii="Calibri" w:hAnsi="Calibri"/>
                <w:b/>
                <w:color w:val="212529"/>
                <w:sz w:val="17"/>
              </w:rPr>
              <w:t>04_outlier_summary.csv, 04_boxplots_combined.png</w:t>
            </w:r>
          </w:p>
        </w:tc>
        <w:tc>
          <w:tcPr>
            <w:tcW w:type="dxa" w:w="3024"/>
            <w:shd w:fill="FFFFFF"/>
            <w:tcMar>
              <w:top w:w="70" w:type="dxa"/>
              <w:bottom w:w="70" w:type="dxa"/>
              <w:left w:w="100" w:type="dxa"/>
              <w:right w:w="100" w:type="dxa"/>
            </w:tcMar>
          </w:tcPr>
          <w:p>
            <w:pPr>
              <w:spacing w:after="0"/>
              <w:jc w:val="left"/>
            </w:pPr>
            <w:r>
              <w:rPr>
                <w:rFonts w:ascii="Calibri" w:hAnsi="Calibri"/>
                <w:b w:val="0"/>
                <w:color w:val="212529"/>
                <w:sz w:val="17"/>
              </w:rPr>
              <w:t>Audited Tukey fences; justified retention of 9,002 hours and 2,712 capital gain records as valid socioeconomic variance.</w:t>
            </w:r>
          </w:p>
        </w:tc>
      </w:tr>
      <w:tr>
        <w:tc>
          <w:tcPr>
            <w:tcW w:type="dxa" w:w="2160"/>
            <w:shd w:fill="F8F9FA"/>
            <w:tcMar>
              <w:top w:w="70" w:type="dxa"/>
              <w:bottom w:w="70" w:type="dxa"/>
              <w:left w:w="100" w:type="dxa"/>
              <w:right w:w="100" w:type="dxa"/>
            </w:tcMar>
          </w:tcPr>
          <w:p>
            <w:pPr>
              <w:spacing w:after="0"/>
              <w:jc w:val="left"/>
            </w:pPr>
            <w:r>
              <w:rPr>
                <w:rFonts w:ascii="Calibri" w:hAnsi="Calibri"/>
                <w:b/>
                <w:color w:val="212529"/>
                <w:sz w:val="17"/>
              </w:rPr>
              <w:t>Week 1: Transformation</w:t>
            </w:r>
          </w:p>
        </w:tc>
        <w:tc>
          <w:tcPr>
            <w:tcW w:type="dxa" w:w="2016"/>
            <w:shd w:fill="F8F9FA"/>
            <w:tcMar>
              <w:top w:w="70" w:type="dxa"/>
              <w:bottom w:w="70" w:type="dxa"/>
              <w:left w:w="100" w:type="dxa"/>
              <w:right w:w="100" w:type="dxa"/>
            </w:tcMar>
          </w:tcPr>
          <w:p>
            <w:pPr>
              <w:spacing w:after="0"/>
              <w:jc w:val="left"/>
            </w:pPr>
            <w:r>
              <w:rPr>
                <w:rFonts w:ascii="Calibri" w:hAnsi="Calibri"/>
                <w:b w:val="0"/>
                <w:color w:val="212529"/>
                <w:sz w:val="17"/>
              </w:rPr>
              <w:t>05_transformation.R</w:t>
            </w:r>
          </w:p>
        </w:tc>
        <w:tc>
          <w:tcPr>
            <w:tcW w:type="dxa" w:w="2160"/>
            <w:shd w:fill="F8F9FA"/>
            <w:tcMar>
              <w:top w:w="70" w:type="dxa"/>
              <w:bottom w:w="70" w:type="dxa"/>
              <w:left w:w="100" w:type="dxa"/>
              <w:right w:w="100" w:type="dxa"/>
            </w:tcMar>
          </w:tcPr>
          <w:p>
            <w:pPr>
              <w:spacing w:after="0"/>
              <w:jc w:val="left"/>
            </w:pPr>
            <w:r>
              <w:rPr>
                <w:rFonts w:ascii="Calibri" w:hAnsi="Calibri"/>
                <w:b/>
                <w:color w:val="212529"/>
                <w:sz w:val="17"/>
              </w:rPr>
              <w:t>05_transformation_report.txt, adult_encoded.rds</w:t>
            </w:r>
          </w:p>
        </w:tc>
        <w:tc>
          <w:tcPr>
            <w:tcW w:type="dxa" w:w="3024"/>
            <w:shd w:fill="F8F9FA"/>
            <w:tcMar>
              <w:top w:w="70" w:type="dxa"/>
              <w:bottom w:w="70" w:type="dxa"/>
              <w:left w:w="100" w:type="dxa"/>
              <w:right w:w="100" w:type="dxa"/>
            </w:tcMar>
          </w:tcPr>
          <w:p>
            <w:pPr>
              <w:spacing w:after="0"/>
              <w:jc w:val="left"/>
            </w:pPr>
            <w:r>
              <w:rPr>
                <w:rFonts w:ascii="Calibri" w:hAnsi="Calibri"/>
                <w:b w:val="0"/>
                <w:color w:val="212529"/>
                <w:sz w:val="17"/>
              </w:rPr>
              <w:t>Applied log-scaling and dummy variable encoding to prepare data for machine learning algorithms.</w:t>
            </w:r>
          </w:p>
        </w:tc>
      </w:tr>
      <w:tr>
        <w:tc>
          <w:tcPr>
            <w:tcW w:type="dxa" w:w="2160"/>
            <w:shd w:fill="FFFFFF"/>
            <w:tcMar>
              <w:top w:w="70" w:type="dxa"/>
              <w:bottom w:w="70" w:type="dxa"/>
              <w:left w:w="100" w:type="dxa"/>
              <w:right w:w="100" w:type="dxa"/>
            </w:tcMar>
          </w:tcPr>
          <w:p>
            <w:pPr>
              <w:spacing w:after="0"/>
              <w:jc w:val="left"/>
            </w:pPr>
            <w:r>
              <w:rPr>
                <w:rFonts w:ascii="Calibri" w:hAnsi="Calibri"/>
                <w:b/>
                <w:color w:val="212529"/>
                <w:sz w:val="17"/>
              </w:rPr>
              <w:t>Week 2: Target Exploration</w:t>
            </w:r>
          </w:p>
        </w:tc>
        <w:tc>
          <w:tcPr>
            <w:tcW w:type="dxa" w:w="2016"/>
            <w:shd w:fill="FFFFFF"/>
            <w:tcMar>
              <w:top w:w="70" w:type="dxa"/>
              <w:bottom w:w="70" w:type="dxa"/>
              <w:left w:w="100" w:type="dxa"/>
              <w:right w:w="100" w:type="dxa"/>
            </w:tcMar>
          </w:tcPr>
          <w:p>
            <w:pPr>
              <w:spacing w:after="0"/>
              <w:jc w:val="left"/>
            </w:pPr>
            <w:r>
              <w:rPr>
                <w:rFonts w:ascii="Calibri" w:hAnsi="Calibri"/>
                <w:b w:val="0"/>
                <w:color w:val="212529"/>
                <w:sz w:val="17"/>
              </w:rPr>
              <w:t>08_week2_visualizations.R</w:t>
            </w:r>
          </w:p>
        </w:tc>
        <w:tc>
          <w:tcPr>
            <w:tcW w:type="dxa" w:w="2160"/>
            <w:shd w:fill="FFFFFF"/>
            <w:tcMar>
              <w:top w:w="70" w:type="dxa"/>
              <w:bottom w:w="70" w:type="dxa"/>
              <w:left w:w="100" w:type="dxa"/>
              <w:right w:w="100" w:type="dxa"/>
            </w:tcMar>
          </w:tcPr>
          <w:p>
            <w:pPr>
              <w:spacing w:after="0"/>
              <w:jc w:val="left"/>
            </w:pPr>
            <w:r>
              <w:rPr>
                <w:rFonts w:ascii="Calibri" w:hAnsi="Calibri"/>
                <w:b/>
                <w:color w:val="212529"/>
                <w:sz w:val="17"/>
              </w:rPr>
              <w:t>week2_01_income_distribution.png</w:t>
            </w:r>
          </w:p>
        </w:tc>
        <w:tc>
          <w:tcPr>
            <w:tcW w:type="dxa" w:w="3024"/>
            <w:shd w:fill="FFFFFF"/>
            <w:tcMar>
              <w:top w:w="70" w:type="dxa"/>
              <w:bottom w:w="70" w:type="dxa"/>
              <w:left w:w="100" w:type="dxa"/>
              <w:right w:w="100" w:type="dxa"/>
            </w:tcMar>
          </w:tcPr>
          <w:p>
            <w:pPr>
              <w:spacing w:after="0"/>
              <w:jc w:val="left"/>
            </w:pPr>
            <w:r>
              <w:rPr>
                <w:rFonts w:ascii="Calibri" w:hAnsi="Calibri"/>
                <w:b w:val="0"/>
                <w:color w:val="212529"/>
                <w:sz w:val="17"/>
              </w:rPr>
              <w:t>Exposed 3.15:1 class imbalance (75.91% vs 24.09%); established that raw accuracy is an inadequate evaluation metric.</w:t>
            </w:r>
          </w:p>
        </w:tc>
      </w:tr>
      <w:tr>
        <w:tc>
          <w:tcPr>
            <w:tcW w:type="dxa" w:w="2160"/>
            <w:shd w:fill="F8F9FA"/>
            <w:tcMar>
              <w:top w:w="70" w:type="dxa"/>
              <w:bottom w:w="70" w:type="dxa"/>
              <w:left w:w="100" w:type="dxa"/>
              <w:right w:w="100" w:type="dxa"/>
            </w:tcMar>
          </w:tcPr>
          <w:p>
            <w:pPr>
              <w:spacing w:after="0"/>
              <w:jc w:val="left"/>
            </w:pPr>
            <w:r>
              <w:rPr>
                <w:rFonts w:ascii="Calibri" w:hAnsi="Calibri"/>
                <w:b/>
                <w:color w:val="212529"/>
                <w:sz w:val="17"/>
              </w:rPr>
              <w:t>Week 2: Bivariate Exploration</w:t>
            </w:r>
          </w:p>
        </w:tc>
        <w:tc>
          <w:tcPr>
            <w:tcW w:type="dxa" w:w="2016"/>
            <w:shd w:fill="F8F9FA"/>
            <w:tcMar>
              <w:top w:w="70" w:type="dxa"/>
              <w:bottom w:w="70" w:type="dxa"/>
              <w:left w:w="100" w:type="dxa"/>
              <w:right w:w="100" w:type="dxa"/>
            </w:tcMar>
          </w:tcPr>
          <w:p>
            <w:pPr>
              <w:spacing w:after="0"/>
              <w:jc w:val="left"/>
            </w:pPr>
            <w:r>
              <w:rPr>
                <w:rFonts w:ascii="Calibri" w:hAnsi="Calibri"/>
                <w:b w:val="0"/>
                <w:color w:val="212529"/>
                <w:sz w:val="17"/>
              </w:rPr>
              <w:t>08_week2_visualizations.R</w:t>
            </w:r>
          </w:p>
        </w:tc>
        <w:tc>
          <w:tcPr>
            <w:tcW w:type="dxa" w:w="2160"/>
            <w:shd w:fill="F8F9FA"/>
            <w:tcMar>
              <w:top w:w="70" w:type="dxa"/>
              <w:bottom w:w="70" w:type="dxa"/>
              <w:left w:w="100" w:type="dxa"/>
              <w:right w:w="100" w:type="dxa"/>
            </w:tcMar>
          </w:tcPr>
          <w:p>
            <w:pPr>
              <w:spacing w:after="0"/>
              <w:jc w:val="left"/>
            </w:pPr>
            <w:r>
              <w:rPr>
                <w:rFonts w:ascii="Calibri" w:hAnsi="Calibri"/>
                <w:b/>
                <w:color w:val="212529"/>
                <w:sz w:val="17"/>
              </w:rPr>
              <w:t>week2_04_education_vs_income.png, week2_06_age_vs_income.png</w:t>
            </w:r>
          </w:p>
        </w:tc>
        <w:tc>
          <w:tcPr>
            <w:tcW w:type="dxa" w:w="3024"/>
            <w:shd w:fill="F8F9FA"/>
            <w:tcMar>
              <w:top w:w="70" w:type="dxa"/>
              <w:bottom w:w="70" w:type="dxa"/>
              <w:left w:w="100" w:type="dxa"/>
              <w:right w:w="100" w:type="dxa"/>
            </w:tcMar>
          </w:tcPr>
          <w:p>
            <w:pPr>
              <w:spacing w:after="0"/>
              <w:jc w:val="left"/>
            </w:pPr>
            <w:r>
              <w:rPr>
                <w:rFonts w:ascii="Calibri" w:hAnsi="Calibri"/>
                <w:b w:val="0"/>
                <w:color w:val="212529"/>
                <w:sz w:val="17"/>
              </w:rPr>
              <w:t>Discovered 10-year median age gap (34 vs 44) and non-linear education credential threshold at the Bachelor's level.</w:t>
            </w:r>
          </w:p>
        </w:tc>
      </w:tr>
      <w:tr>
        <w:tc>
          <w:tcPr>
            <w:tcW w:type="dxa" w:w="2160"/>
            <w:shd w:fill="FFFFFF"/>
            <w:tcMar>
              <w:top w:w="70" w:type="dxa"/>
              <w:bottom w:w="70" w:type="dxa"/>
              <w:left w:w="100" w:type="dxa"/>
              <w:right w:w="100" w:type="dxa"/>
            </w:tcMar>
          </w:tcPr>
          <w:p>
            <w:pPr>
              <w:spacing w:after="0"/>
              <w:jc w:val="left"/>
            </w:pPr>
            <w:r>
              <w:rPr>
                <w:rFonts w:ascii="Calibri" w:hAnsi="Calibri"/>
                <w:b/>
                <w:color w:val="212529"/>
                <w:sz w:val="17"/>
              </w:rPr>
              <w:t>Week 2: Labor Supply &amp; Conditioning</w:t>
            </w:r>
          </w:p>
        </w:tc>
        <w:tc>
          <w:tcPr>
            <w:tcW w:type="dxa" w:w="2016"/>
            <w:shd w:fill="FFFFFF"/>
            <w:tcMar>
              <w:top w:w="70" w:type="dxa"/>
              <w:bottom w:w="70" w:type="dxa"/>
              <w:left w:w="100" w:type="dxa"/>
              <w:right w:w="100" w:type="dxa"/>
            </w:tcMar>
          </w:tcPr>
          <w:p>
            <w:pPr>
              <w:spacing w:after="0"/>
              <w:jc w:val="left"/>
            </w:pPr>
            <w:r>
              <w:rPr>
                <w:rFonts w:ascii="Calibri" w:hAnsi="Calibri"/>
                <w:b w:val="0"/>
                <w:color w:val="212529"/>
                <w:sz w:val="17"/>
              </w:rPr>
              <w:t>08_week2_visualizations.R, 09_week2_analysis.R</w:t>
            </w:r>
          </w:p>
        </w:tc>
        <w:tc>
          <w:tcPr>
            <w:tcW w:type="dxa" w:w="2160"/>
            <w:shd w:fill="FFFFFF"/>
            <w:tcMar>
              <w:top w:w="70" w:type="dxa"/>
              <w:bottom w:w="70" w:type="dxa"/>
              <w:left w:w="100" w:type="dxa"/>
              <w:right w:w="100" w:type="dxa"/>
            </w:tcMar>
          </w:tcPr>
          <w:p>
            <w:pPr>
              <w:spacing w:after="0"/>
              <w:jc w:val="left"/>
            </w:pPr>
            <w:r>
              <w:rPr>
                <w:rFonts w:ascii="Calibri" w:hAnsi="Calibri"/>
                <w:b/>
                <w:color w:val="212529"/>
                <w:sz w:val="17"/>
              </w:rPr>
              <w:t>week2_08_hours_vs_income.png, week2_14_lattice.png</w:t>
            </w:r>
          </w:p>
        </w:tc>
        <w:tc>
          <w:tcPr>
            <w:tcW w:type="dxa" w:w="3024"/>
            <w:shd w:fill="FFFFFF"/>
            <w:tcMar>
              <w:top w:w="70" w:type="dxa"/>
              <w:bottom w:w="70" w:type="dxa"/>
              <w:left w:w="100" w:type="dxa"/>
              <w:right w:w="100" w:type="dxa"/>
            </w:tcMar>
          </w:tcPr>
          <w:p>
            <w:pPr>
              <w:spacing w:after="0"/>
              <w:jc w:val="left"/>
            </w:pPr>
            <w:r>
              <w:rPr>
                <w:rFonts w:ascii="Calibri" w:hAnsi="Calibri"/>
                <w:b w:val="0"/>
                <w:color w:val="212529"/>
                <w:sz w:val="17"/>
              </w:rPr>
              <w:t>Identified 40-hour institutional spike (46.73%) and gender-specific working-hour penalties.</w:t>
            </w:r>
          </w:p>
        </w:tc>
      </w:tr>
      <w:tr>
        <w:tc>
          <w:tcPr>
            <w:tcW w:type="dxa" w:w="2160"/>
            <w:shd w:fill="F8F9FA"/>
            <w:tcMar>
              <w:top w:w="70" w:type="dxa"/>
              <w:bottom w:w="70" w:type="dxa"/>
              <w:left w:w="100" w:type="dxa"/>
              <w:right w:w="100" w:type="dxa"/>
            </w:tcMar>
          </w:tcPr>
          <w:p>
            <w:pPr>
              <w:spacing w:after="0"/>
              <w:jc w:val="left"/>
            </w:pPr>
            <w:r>
              <w:rPr>
                <w:rFonts w:ascii="Calibri" w:hAnsi="Calibri"/>
                <w:b/>
                <w:color w:val="212529"/>
                <w:sz w:val="17"/>
              </w:rPr>
              <w:t>Week 3: Hypothesis Testing</w:t>
            </w:r>
          </w:p>
        </w:tc>
        <w:tc>
          <w:tcPr>
            <w:tcW w:type="dxa" w:w="2016"/>
            <w:shd w:fill="F8F9FA"/>
            <w:tcMar>
              <w:top w:w="70" w:type="dxa"/>
              <w:bottom w:w="70" w:type="dxa"/>
              <w:left w:w="100" w:type="dxa"/>
              <w:right w:w="100" w:type="dxa"/>
            </w:tcMar>
          </w:tcPr>
          <w:p>
            <w:pPr>
              <w:spacing w:after="0"/>
              <w:jc w:val="left"/>
            </w:pPr>
            <w:r>
              <w:rPr>
                <w:rFonts w:ascii="Calibri" w:hAnsi="Calibri"/>
                <w:b w:val="0"/>
                <w:color w:val="212529"/>
                <w:sz w:val="17"/>
              </w:rPr>
              <w:t>10_week3_statistical_analysis.R</w:t>
            </w:r>
          </w:p>
        </w:tc>
        <w:tc>
          <w:tcPr>
            <w:tcW w:type="dxa" w:w="2160"/>
            <w:shd w:fill="F8F9FA"/>
            <w:tcMar>
              <w:top w:w="70" w:type="dxa"/>
              <w:bottom w:w="70" w:type="dxa"/>
              <w:left w:w="100" w:type="dxa"/>
              <w:right w:w="100" w:type="dxa"/>
            </w:tcMar>
          </w:tcPr>
          <w:p>
            <w:pPr>
              <w:spacing w:after="0"/>
              <w:jc w:val="left"/>
            </w:pPr>
            <w:r>
              <w:rPr>
                <w:rFonts w:ascii="Calibri" w:hAnsi="Calibri"/>
                <w:b/>
                <w:color w:val="212529"/>
                <w:sz w:val="17"/>
              </w:rPr>
              <w:t>hypothesis_tests.csv, hypothesis_test_report.txt</w:t>
            </w:r>
          </w:p>
        </w:tc>
        <w:tc>
          <w:tcPr>
            <w:tcW w:type="dxa" w:w="3024"/>
            <w:shd w:fill="F8F9FA"/>
            <w:tcMar>
              <w:top w:w="70" w:type="dxa"/>
              <w:bottom w:w="70" w:type="dxa"/>
              <w:left w:w="100" w:type="dxa"/>
              <w:right w:w="100" w:type="dxa"/>
            </w:tcMar>
          </w:tcPr>
          <w:p>
            <w:pPr>
              <w:spacing w:after="0"/>
              <w:jc w:val="left"/>
            </w:pPr>
            <w:r>
              <w:rPr>
                <w:rFonts w:ascii="Calibri" w:hAnsi="Calibri"/>
                <w:b w:val="0"/>
                <w:color w:val="212529"/>
                <w:sz w:val="17"/>
              </w:rPr>
              <w:t>Formally verified all 8 hypotheses (all p &lt; 0.0001); quantified effect sizes: Cramer's V = 0.369 (edu) and Cohen's d = 0.563 (age).</w:t>
            </w:r>
          </w:p>
        </w:tc>
      </w:tr>
      <w:tr>
        <w:tc>
          <w:tcPr>
            <w:tcW w:type="dxa" w:w="2160"/>
            <w:shd w:fill="FFFFFF"/>
            <w:tcMar>
              <w:top w:w="70" w:type="dxa"/>
              <w:bottom w:w="70" w:type="dxa"/>
              <w:left w:w="100" w:type="dxa"/>
              <w:right w:w="100" w:type="dxa"/>
            </w:tcMar>
          </w:tcPr>
          <w:p>
            <w:pPr>
              <w:spacing w:after="0"/>
              <w:jc w:val="left"/>
            </w:pPr>
            <w:r>
              <w:rPr>
                <w:rFonts w:ascii="Calibri" w:hAnsi="Calibri"/>
                <w:b/>
                <w:color w:val="212529"/>
                <w:sz w:val="17"/>
              </w:rPr>
              <w:t>Week 3: Predictive Modeling</w:t>
            </w:r>
          </w:p>
        </w:tc>
        <w:tc>
          <w:tcPr>
            <w:tcW w:type="dxa" w:w="2016"/>
            <w:shd w:fill="FFFFFF"/>
            <w:tcMar>
              <w:top w:w="70" w:type="dxa"/>
              <w:bottom w:w="70" w:type="dxa"/>
              <w:left w:w="100" w:type="dxa"/>
              <w:right w:w="100" w:type="dxa"/>
            </w:tcMar>
          </w:tcPr>
          <w:p>
            <w:pPr>
              <w:spacing w:after="0"/>
              <w:jc w:val="left"/>
            </w:pPr>
            <w:r>
              <w:rPr>
                <w:rFonts w:ascii="Calibri" w:hAnsi="Calibri"/>
                <w:b w:val="0"/>
                <w:color w:val="212529"/>
                <w:sz w:val="17"/>
              </w:rPr>
              <w:t>11_week3_modeling.R</w:t>
            </w:r>
          </w:p>
        </w:tc>
        <w:tc>
          <w:tcPr>
            <w:tcW w:type="dxa" w:w="2160"/>
            <w:shd w:fill="FFFFFF"/>
            <w:tcMar>
              <w:top w:w="70" w:type="dxa"/>
              <w:bottom w:w="70" w:type="dxa"/>
              <w:left w:w="100" w:type="dxa"/>
              <w:right w:w="100" w:type="dxa"/>
            </w:tcMar>
          </w:tcPr>
          <w:p>
            <w:pPr>
              <w:spacing w:after="0"/>
              <w:jc w:val="left"/>
            </w:pPr>
            <w:r>
              <w:rPr>
                <w:rFonts w:ascii="Calibri" w:hAnsi="Calibri"/>
                <w:b/>
                <w:color w:val="212529"/>
                <w:sz w:val="17"/>
              </w:rPr>
              <w:t>week3_models.rds, odds_ratios.csv</w:t>
            </w:r>
          </w:p>
        </w:tc>
        <w:tc>
          <w:tcPr>
            <w:tcW w:type="dxa" w:w="3024"/>
            <w:shd w:fill="FFFFFF"/>
            <w:tcMar>
              <w:top w:w="70" w:type="dxa"/>
              <w:bottom w:w="70" w:type="dxa"/>
              <w:left w:w="100" w:type="dxa"/>
              <w:right w:w="100" w:type="dxa"/>
            </w:tcMar>
          </w:tcPr>
          <w:p>
            <w:pPr>
              <w:spacing w:after="0"/>
              <w:jc w:val="left"/>
            </w:pPr>
            <w:r>
              <w:rPr>
                <w:rFonts w:ascii="Calibri" w:hAnsi="Calibri"/>
                <w:b w:val="0"/>
                <w:color w:val="212529"/>
                <w:sz w:val="17"/>
              </w:rPr>
              <w:t>Trained Baseline, GLM, and Elastic Net on stratified 80/20 split; quantified adjusted odds ratios (married OR = 7.16, edu OR = 1.35).</w:t>
            </w:r>
          </w:p>
        </w:tc>
      </w:tr>
      <w:tr>
        <w:tc>
          <w:tcPr>
            <w:tcW w:type="dxa" w:w="2160"/>
            <w:shd w:fill="F8F9FA"/>
            <w:tcMar>
              <w:top w:w="70" w:type="dxa"/>
              <w:bottom w:w="70" w:type="dxa"/>
              <w:left w:w="100" w:type="dxa"/>
              <w:right w:w="100" w:type="dxa"/>
            </w:tcMar>
          </w:tcPr>
          <w:p>
            <w:pPr>
              <w:spacing w:after="0"/>
              <w:jc w:val="left"/>
            </w:pPr>
            <w:r>
              <w:rPr>
                <w:rFonts w:ascii="Calibri" w:hAnsi="Calibri"/>
                <w:b/>
                <w:color w:val="212529"/>
                <w:sz w:val="17"/>
              </w:rPr>
              <w:t>Week 3: Diagnostics &amp; Evaluation</w:t>
            </w:r>
          </w:p>
        </w:tc>
        <w:tc>
          <w:tcPr>
            <w:tcW w:type="dxa" w:w="2016"/>
            <w:shd w:fill="F8F9FA"/>
            <w:tcMar>
              <w:top w:w="70" w:type="dxa"/>
              <w:bottom w:w="70" w:type="dxa"/>
              <w:left w:w="100" w:type="dxa"/>
              <w:right w:w="100" w:type="dxa"/>
            </w:tcMar>
          </w:tcPr>
          <w:p>
            <w:pPr>
              <w:spacing w:after="0"/>
              <w:jc w:val="left"/>
            </w:pPr>
            <w:r>
              <w:rPr>
                <w:rFonts w:ascii="Calibri" w:hAnsi="Calibri"/>
                <w:b w:val="0"/>
                <w:color w:val="212529"/>
                <w:sz w:val="17"/>
              </w:rPr>
              <w:t>12_week3_evaluation.R</w:t>
            </w:r>
          </w:p>
        </w:tc>
        <w:tc>
          <w:tcPr>
            <w:tcW w:type="dxa" w:w="2160"/>
            <w:shd w:fill="F8F9FA"/>
            <w:tcMar>
              <w:top w:w="70" w:type="dxa"/>
              <w:bottom w:w="70" w:type="dxa"/>
              <w:left w:w="100" w:type="dxa"/>
              <w:right w:w="100" w:type="dxa"/>
            </w:tcMar>
          </w:tcPr>
          <w:p>
            <w:pPr>
              <w:spacing w:after="0"/>
              <w:jc w:val="left"/>
            </w:pPr>
            <w:r>
              <w:rPr>
                <w:rFonts w:ascii="Calibri" w:hAnsi="Calibri"/>
                <w:b/>
                <w:color w:val="212529"/>
                <w:sz w:val="17"/>
              </w:rPr>
              <w:t>evaluation_metrics.csv, week3_roc_curves.png</w:t>
            </w:r>
          </w:p>
        </w:tc>
        <w:tc>
          <w:tcPr>
            <w:tcW w:type="dxa" w:w="3024"/>
            <w:shd w:fill="F8F9FA"/>
            <w:tcMar>
              <w:top w:w="70" w:type="dxa"/>
              <w:bottom w:w="70" w:type="dxa"/>
              <w:left w:w="100" w:type="dxa"/>
              <w:right w:w="100" w:type="dxa"/>
            </w:tcMar>
          </w:tcPr>
          <w:p>
            <w:pPr>
              <w:spacing w:after="0"/>
              <w:jc w:val="left"/>
            </w:pPr>
            <w:r>
              <w:rPr>
                <w:rFonts w:ascii="Calibri" w:hAnsi="Calibri"/>
                <w:b w:val="0"/>
                <w:color w:val="212529"/>
                <w:sz w:val="17"/>
              </w:rPr>
              <w:t>Achieved 84.76% accuracy and 0.9047 ROC-AUC on held-out test set; validated low GVIF (&lt; 1.73) and decile probability calibration.</w:t>
            </w:r>
          </w:p>
        </w:tc>
      </w:tr>
      <w:tr>
        <w:tc>
          <w:tcPr>
            <w:tcW w:type="dxa" w:w="2160"/>
            <w:shd w:fill="FFFFFF"/>
            <w:tcMar>
              <w:top w:w="70" w:type="dxa"/>
              <w:bottom w:w="70" w:type="dxa"/>
              <w:left w:w="100" w:type="dxa"/>
              <w:right w:w="100" w:type="dxa"/>
            </w:tcMar>
          </w:tcPr>
          <w:p>
            <w:pPr>
              <w:spacing w:after="0"/>
              <w:jc w:val="left"/>
            </w:pPr>
            <w:r>
              <w:rPr>
                <w:rFonts w:ascii="Calibri" w:hAnsi="Calibri"/>
                <w:b/>
                <w:color w:val="212529"/>
                <w:sz w:val="17"/>
              </w:rPr>
              <w:t>Week 4: Synthesis &amp; Presentation</w:t>
            </w:r>
          </w:p>
        </w:tc>
        <w:tc>
          <w:tcPr>
            <w:tcW w:type="dxa" w:w="2016"/>
            <w:shd w:fill="FFFFFF"/>
            <w:tcMar>
              <w:top w:w="70" w:type="dxa"/>
              <w:bottom w:w="70" w:type="dxa"/>
              <w:left w:w="100" w:type="dxa"/>
              <w:right w:w="100" w:type="dxa"/>
            </w:tcMar>
          </w:tcPr>
          <w:p>
            <w:pPr>
              <w:spacing w:after="0"/>
              <w:jc w:val="left"/>
            </w:pPr>
            <w:r>
              <w:rPr>
                <w:rFonts w:ascii="Calibri" w:hAnsi="Calibri"/>
                <w:b w:val="0"/>
                <w:color w:val="212529"/>
                <w:sz w:val="17"/>
              </w:rPr>
              <w:t>generate_week4_report.py</w:t>
            </w:r>
          </w:p>
        </w:tc>
        <w:tc>
          <w:tcPr>
            <w:tcW w:type="dxa" w:w="2160"/>
            <w:shd w:fill="FFFFFF"/>
            <w:tcMar>
              <w:top w:w="70" w:type="dxa"/>
              <w:bottom w:w="70" w:type="dxa"/>
              <w:left w:w="100" w:type="dxa"/>
              <w:right w:w="100" w:type="dxa"/>
            </w:tcMar>
          </w:tcPr>
          <w:p>
            <w:pPr>
              <w:spacing w:after="0"/>
              <w:jc w:val="left"/>
            </w:pPr>
            <w:r>
              <w:rPr>
                <w:rFonts w:ascii="Calibri" w:hAnsi="Calibri"/>
                <w:b/>
                <w:color w:val="212529"/>
                <w:sz w:val="17"/>
              </w:rPr>
              <w:t>Week4_Comprehensive_Data_Analysis_Final_Report.docx</w:t>
            </w:r>
          </w:p>
        </w:tc>
        <w:tc>
          <w:tcPr>
            <w:tcW w:type="dxa" w:w="3024"/>
            <w:shd w:fill="FFFFFF"/>
            <w:tcMar>
              <w:top w:w="70" w:type="dxa"/>
              <w:bottom w:w="70" w:type="dxa"/>
              <w:left w:w="100" w:type="dxa"/>
              <w:right w:w="100" w:type="dxa"/>
            </w:tcMar>
          </w:tcPr>
          <w:p>
            <w:pPr>
              <w:spacing w:after="0"/>
              <w:jc w:val="left"/>
            </w:pPr>
            <w:r>
              <w:rPr>
                <w:rFonts w:ascii="Calibri" w:hAnsi="Calibri"/>
                <w:b w:val="0"/>
                <w:color w:val="212529"/>
                <w:sz w:val="17"/>
              </w:rPr>
              <w:t>Integrated all evidence into a unified academic monograph; formulated policy implications and reproducibility appendix.</w:t>
            </w:r>
          </w:p>
        </w:tc>
      </w:tr>
    </w:tbl>
    <w:p>
      <w:pPr>
        <w:spacing w:before="40" w:after="160"/>
      </w:pPr>
      <w:r>
        <w:rPr>
          <w:i/>
          <w:color w:val="6C757D"/>
          <w:sz w:val="17"/>
        </w:rPr>
        <w:t>Table 10.1: Cumulative integration matrix tracking the progression of data hygiene, visualization, hypothesis testing, and predictive modeling.</w:t>
      </w:r>
    </w:p>
    <w:p>
      <w:pPr>
        <w:pStyle w:val="Heading2"/>
        <w:keepNext/>
        <w:spacing w:before="260" w:after="80"/>
      </w:pPr>
      <w:r>
        <w:rPr>
          <w:rFonts w:ascii="Calibri" w:hAnsi="Calibri"/>
          <w:b/>
          <w:color w:val="465C7A"/>
          <w:sz w:val="26"/>
        </w:rPr>
        <w:t>From Exploratory Observation to Confirmatory Modeling</w:t>
      </w:r>
    </w:p>
    <w:p>
      <w:pPr>
        <w:spacing w:after="120" w:line="276" w:lineRule="auto"/>
      </w:pPr>
      <w:r>
        <w:rPr>
          <w:rFonts w:ascii="Calibri" w:hAnsi="Calibri"/>
          <w:color w:val="212529"/>
          <w:sz w:val="21"/>
        </w:rPr>
        <w:t>The analytic journey revealed clear patterns of progression. In Week 2, visualizations of age (Figure 6.3) and education (Figure 6.2) suggested strong associations with income. In Week 3, Welch t-tests and Chi-Square tests confirmed that these associations were not random fluctuations, establishing Cohen's d = 0.563 for age and Cramer's V = 0.3689 for education. Finally, multivariate logistic regression demonstrated that even after simultaneously controlling for hours worked, occupation, marital status, and sector, education (OR = 1.35 per year) and age (OR = 1.024 per year) remain powerful independent predictors of income. This progression demonstrates how exploratory observations mature into confirmed, calibrated insights.</w:t>
      </w:r>
    </w:p>
    <w:p>
      <w:pPr>
        <w:pStyle w:val="Heading1"/>
        <w:keepNext/>
        <w:spacing w:before="360" w:after="120"/>
      </w:pPr>
      <w:r>
        <w:rPr>
          <w:rFonts w:ascii="Calibri" w:hAnsi="Calibri"/>
          <w:b/>
          <w:color w:val="1B365D"/>
          <w:sz w:val="32"/>
        </w:rPr>
        <w:t>Section 11 — Discussion and Practical Implications</w:t>
      </w:r>
    </w:p>
    <w:p>
      <w:pPr>
        <w:spacing w:after="120" w:line="276" w:lineRule="auto"/>
      </w:pPr>
      <w:r>
        <w:rPr>
          <w:rFonts w:ascii="Calibri" w:hAnsi="Calibri"/>
          <w:color w:val="212529"/>
          <w:sz w:val="21"/>
        </w:rPr>
        <w:t>The empirical findings of this project provide rich insights into the labor economics of late-20th-century America, while highlighting critical methodological principles for modern data science practitioners.</w:t>
      </w:r>
    </w:p>
    <w:p>
      <w:pPr>
        <w:pStyle w:val="Heading2"/>
        <w:keepNext/>
        <w:spacing w:before="260" w:after="80"/>
      </w:pPr>
      <w:r>
        <w:rPr>
          <w:rFonts w:ascii="Calibri" w:hAnsi="Calibri"/>
          <w:b/>
          <w:color w:val="465C7A"/>
          <w:sz w:val="26"/>
        </w:rPr>
        <w:t>11.1 Socioeconomic Interpretations: Human Capital and Household Structure</w:t>
      </w:r>
    </w:p>
    <w:p>
      <w:pPr>
        <w:spacing w:after="120" w:line="276" w:lineRule="auto"/>
      </w:pPr>
      <w:r>
        <w:rPr>
          <w:rFonts w:ascii="Calibri" w:hAnsi="Calibri"/>
          <w:color w:val="212529"/>
          <w:sz w:val="21"/>
        </w:rPr>
        <w:t>Our findings strongly support Gary Becker's Human Capital Theory: each additional year of formal education increases the modeled odds of earning &gt;$50K by 34.9%, with dramatic credential effects at the Bachelor's (41.49%) and doctoral (74.09%) levels. Similarly, the 10-year age gap (median 44 vs 34) and positive age coefficient reflect the classic Mincerian earnings life-cycle, where accumulated workplace experience and seniority yield higher compensation. However, the single strongest predictor in the multivariate model was civilian marriage (OR = 7.16). Rather than indicating that marriage itself causes higher earnings, this reflects well-documented sociological and economic mechanisms: dual-earner household stability, specialization, and unmeasured traits (e.g., conscientiousness, stability) that simultaneously favor both marriage and career advancement.</w:t>
      </w:r>
    </w:p>
    <w:p>
      <w:pPr>
        <w:pStyle w:val="Heading2"/>
        <w:keepNext/>
        <w:spacing w:before="260" w:after="80"/>
      </w:pPr>
      <w:r>
        <w:rPr>
          <w:rFonts w:ascii="Calibri" w:hAnsi="Calibri"/>
          <w:b/>
          <w:color w:val="465C7A"/>
          <w:sz w:val="26"/>
        </w:rPr>
        <w:t>11.2 The Critical Distinction Between Association and Causation</w:t>
      </w:r>
    </w:p>
    <w:p>
      <w:pPr>
        <w:spacing w:after="120" w:line="276" w:lineRule="auto"/>
      </w:pPr>
      <w:r>
        <w:rPr>
          <w:rFonts w:ascii="Calibri" w:hAnsi="Calibri"/>
          <w:color w:val="212529"/>
          <w:sz w:val="21"/>
        </w:rPr>
        <w:t>It is essential to state unambiguously: none of the empirical models in this report prove causal relationships. The UCI Adult dataset is a cross-sectional observational survey, not a randomized controlled trial or natural experiment. Coefficients represent conditional statistical associations. Recommending that an individual marry or change work sectors solely to increase their income confuses statistical association with causal mechanisms.</w:t>
      </w:r>
    </w:p>
    <w:p>
      <w:pPr>
        <w:pStyle w:val="Heading2"/>
        <w:keepNext/>
        <w:spacing w:before="260" w:after="80"/>
      </w:pPr>
      <w:r>
        <w:rPr>
          <w:rFonts w:ascii="Calibri" w:hAnsi="Calibri"/>
          <w:b/>
          <w:color w:val="465C7A"/>
          <w:sz w:val="26"/>
        </w:rPr>
        <w:t>11.3 Algorithmic Fairness, Ethical Constraints, and High-Stakes Decision-Making</w:t>
      </w:r>
    </w:p>
    <w:p>
      <w:pPr>
        <w:spacing w:after="120" w:line="276" w:lineRule="auto"/>
      </w:pPr>
      <w:r>
        <w:rPr>
          <w:rFonts w:ascii="Calibri" w:hAnsi="Calibri"/>
          <w:color w:val="212529"/>
          <w:sz w:val="21"/>
        </w:rPr>
        <w:t>Because historical survey data reflects historical societal disparities, models trained on this data inevitably encode those disparities. In the 1994 census sample, men comprise 66.92% of the workforce and show higher rates of high-income classification (30.57% vs 10.95% for women). Directly using protected demographic attributes (such as sex or race) or unmonitored proxy variables (such as relationship or marital status) in automated systems for hiring, lending, or criminal justice would violate U.S. anti-discrimination laws (e.g., Title VII of the Civil Rights Act and the Equal Credit Opportunity Act). The models developed here are intended strictly for descriptive socioeconomic analysis and benchmarking, and must never be deployed for consequential individual scoring without rigorous algorithmic bias audits.</w:t>
      </w:r>
    </w:p>
    <w:p>
      <w:pPr>
        <w:pStyle w:val="Heading1"/>
        <w:keepNext/>
        <w:spacing w:before="360" w:after="120"/>
      </w:pPr>
      <w:r>
        <w:rPr>
          <w:rFonts w:ascii="Calibri" w:hAnsi="Calibri"/>
          <w:b/>
          <w:color w:val="1B365D"/>
          <w:sz w:val="32"/>
        </w:rPr>
        <w:t>Section 12 — Challenges Encountered and Lessons Learned</w:t>
      </w:r>
    </w:p>
    <w:p>
      <w:pPr>
        <w:spacing w:after="120" w:line="276" w:lineRule="auto"/>
      </w:pPr>
      <w:r>
        <w:rPr>
          <w:rFonts w:ascii="Calibri" w:hAnsi="Calibri"/>
          <w:color w:val="212529"/>
          <w:sz w:val="21"/>
        </w:rPr>
        <w:t>Over the four-week execution of this project, several technical and methodological challenges arose. Documenting these challenges and their solutions provides valuable lessons for applied data science:</w:t>
      </w:r>
    </w:p>
    <w:p>
      <w:pPr>
        <w:pStyle w:val="Heading2"/>
        <w:keepNext/>
        <w:spacing w:before="260" w:after="80"/>
      </w:pPr>
      <w:r>
        <w:rPr>
          <w:rFonts w:ascii="Calibri" w:hAnsi="Calibri"/>
          <w:b/>
          <w:color w:val="465C7A"/>
          <w:sz w:val="26"/>
        </w:rPr>
        <w:t>1. Encoded Missingness via Non-Standard Question Marks</w:t>
      </w:r>
    </w:p>
    <w:p>
      <w:pPr>
        <w:spacing w:after="120" w:line="276" w:lineRule="auto"/>
      </w:pPr>
      <w:r>
        <w:rPr>
          <w:rFonts w:ascii="Calibri" w:hAnsi="Calibri"/>
          <w:b/>
          <w:color w:val="212529"/>
          <w:sz w:val="21"/>
        </w:rPr>
        <w:t xml:space="preserve">Encountered Challenge: </w:t>
      </w:r>
      <w:r>
        <w:rPr>
          <w:rFonts w:ascii="Calibri" w:hAnsi="Calibri"/>
          <w:color w:val="212529"/>
          <w:sz w:val="21"/>
        </w:rPr>
        <w:t>The raw data encoded missing values as '?' padded with spaces rather than standard NA tokens, causing standard is.na() checks to report zero missing values initially.</w:t>
      </w:r>
    </w:p>
    <w:p>
      <w:pPr>
        <w:spacing w:after="120" w:line="276" w:lineRule="auto"/>
      </w:pPr>
      <w:r>
        <w:rPr>
          <w:rFonts w:ascii="Calibri" w:hAnsi="Calibri"/>
          <w:b/>
          <w:color w:val="212529"/>
          <w:sz w:val="21"/>
        </w:rPr>
        <w:t xml:space="preserve">Engineered Solution: </w:t>
      </w:r>
      <w:r>
        <w:rPr>
          <w:rFonts w:ascii="Calibri" w:hAnsi="Calibri"/>
          <w:color w:val="212529"/>
          <w:sz w:val="21"/>
        </w:rPr>
        <w:t>Enforced na.strings = c('?', ' ?', 'NA') during ingestion in R/01_import.R, correctly exposing 4,262 missing cells and enabling statistical mode imputation in R/03_cleaning.R.</w:t>
      </w:r>
    </w:p>
    <w:p>
      <w:pPr>
        <w:pStyle w:val="Heading2"/>
        <w:keepNext/>
        <w:spacing w:before="260" w:after="80"/>
      </w:pPr>
      <w:r>
        <w:rPr>
          <w:rFonts w:ascii="Calibri" w:hAnsi="Calibri"/>
          <w:b/>
          <w:color w:val="465C7A"/>
          <w:sz w:val="26"/>
        </w:rPr>
        <w:t>2. Extreme Zero-Inflation and Top-Coding in Capital Accounts</w:t>
      </w:r>
    </w:p>
    <w:p>
      <w:pPr>
        <w:spacing w:after="120" w:line="276" w:lineRule="auto"/>
      </w:pPr>
      <w:r>
        <w:rPr>
          <w:rFonts w:ascii="Calibri" w:hAnsi="Calibri"/>
          <w:b/>
          <w:color w:val="212529"/>
          <w:sz w:val="21"/>
        </w:rPr>
        <w:t xml:space="preserve">Encountered Challenge: </w:t>
      </w:r>
      <w:r>
        <w:rPr>
          <w:rFonts w:ascii="Calibri" w:hAnsi="Calibri"/>
          <w:color w:val="212529"/>
          <w:sz w:val="21"/>
        </w:rPr>
        <w:t>Capital gain (91.66% zeroes) and capital loss (95.32% zeroes) exhibited extreme right-skewness, with capital gains artificially capped at $99,999 (159 individuals).</w:t>
      </w:r>
    </w:p>
    <w:p>
      <w:pPr>
        <w:spacing w:after="120" w:line="276" w:lineRule="auto"/>
      </w:pPr>
      <w:r>
        <w:rPr>
          <w:rFonts w:ascii="Calibri" w:hAnsi="Calibri"/>
          <w:b/>
          <w:color w:val="212529"/>
          <w:sz w:val="21"/>
        </w:rPr>
        <w:t xml:space="preserve">Engineered Solution: </w:t>
      </w:r>
      <w:r>
        <w:rPr>
          <w:rFonts w:ascii="Calibri" w:hAnsi="Calibri"/>
          <w:color w:val="212529"/>
          <w:sz w:val="21"/>
        </w:rPr>
        <w:t>Preserved all records to maintain valid economic variance, while avoiding standard normalization for these features in linear models to prevent severe distribution distortion.</w:t>
      </w:r>
    </w:p>
    <w:p>
      <w:pPr>
        <w:pStyle w:val="Heading2"/>
        <w:keepNext/>
        <w:spacing w:before="260" w:after="80"/>
      </w:pPr>
      <w:r>
        <w:rPr>
          <w:rFonts w:ascii="Calibri" w:hAnsi="Calibri"/>
          <w:b/>
          <w:color w:val="465C7A"/>
          <w:sz w:val="26"/>
        </w:rPr>
        <w:t>3. Severe Target Class Imbalance (3.15:1 Ratio)</w:t>
      </w:r>
    </w:p>
    <w:p>
      <w:pPr>
        <w:spacing w:after="120" w:line="276" w:lineRule="auto"/>
      </w:pPr>
      <w:r>
        <w:rPr>
          <w:rFonts w:ascii="Calibri" w:hAnsi="Calibri"/>
          <w:b/>
          <w:color w:val="212529"/>
          <w:sz w:val="21"/>
        </w:rPr>
        <w:t xml:space="preserve">Encountered Challenge: </w:t>
      </w:r>
      <w:r>
        <w:rPr>
          <w:rFonts w:ascii="Calibri" w:hAnsi="Calibri"/>
          <w:color w:val="212529"/>
          <w:sz w:val="21"/>
        </w:rPr>
        <w:t>Low earners (75.91%) dominate high earners (24.09%), causing naive classifiers to achieve high accuracy (75.91%) while failing completely on the minority class.</w:t>
      </w:r>
    </w:p>
    <w:p>
      <w:pPr>
        <w:spacing w:after="120" w:line="276" w:lineRule="auto"/>
      </w:pPr>
      <w:r>
        <w:rPr>
          <w:rFonts w:ascii="Calibri" w:hAnsi="Calibri"/>
          <w:b/>
          <w:color w:val="212529"/>
          <w:sz w:val="21"/>
        </w:rPr>
        <w:t xml:space="preserve">Engineered Solution: </w:t>
      </w:r>
      <w:r>
        <w:rPr>
          <w:rFonts w:ascii="Calibri" w:hAnsi="Calibri"/>
          <w:color w:val="212529"/>
          <w:sz w:val="21"/>
        </w:rPr>
        <w:t>Adopted stratified sampling across train/test splits and evaluated models using balanced accuracy, precision, recall, F1-score, ROC-AUC (0.9047), and PR-AUC (0.7271).</w:t>
      </w:r>
    </w:p>
    <w:p>
      <w:pPr>
        <w:pStyle w:val="Heading2"/>
        <w:keepNext/>
        <w:spacing w:before="260" w:after="80"/>
      </w:pPr>
      <w:r>
        <w:rPr>
          <w:rFonts w:ascii="Calibri" w:hAnsi="Calibri"/>
          <w:b/>
          <w:color w:val="465C7A"/>
          <w:sz w:val="26"/>
        </w:rPr>
        <w:t>4. Large Sample Size (N = 32,537) P-Value Inflation</w:t>
      </w:r>
    </w:p>
    <w:p>
      <w:pPr>
        <w:spacing w:after="120" w:line="276" w:lineRule="auto"/>
      </w:pPr>
      <w:r>
        <w:rPr>
          <w:rFonts w:ascii="Calibri" w:hAnsi="Calibri"/>
          <w:b/>
          <w:color w:val="212529"/>
          <w:sz w:val="21"/>
        </w:rPr>
        <w:t xml:space="preserve">Encountered Challenge: </w:t>
      </w:r>
      <w:r>
        <w:rPr>
          <w:rFonts w:ascii="Calibri" w:hAnsi="Calibri"/>
          <w:color w:val="212529"/>
          <w:sz w:val="21"/>
        </w:rPr>
        <w:t>With N = 32,537, standard errors were so small that all hypothesis tests yielded p &lt; 0.0001, making p-values uninformative for assessing practical importance.</w:t>
      </w:r>
    </w:p>
    <w:p>
      <w:pPr>
        <w:spacing w:after="120" w:line="276" w:lineRule="auto"/>
      </w:pPr>
      <w:r>
        <w:rPr>
          <w:rFonts w:ascii="Calibri" w:hAnsi="Calibri"/>
          <w:b/>
          <w:color w:val="212529"/>
          <w:sz w:val="21"/>
        </w:rPr>
        <w:t xml:space="preserve">Engineered Solution: </w:t>
      </w:r>
      <w:r>
        <w:rPr>
          <w:rFonts w:ascii="Calibri" w:hAnsi="Calibri"/>
          <w:color w:val="212529"/>
          <w:sz w:val="21"/>
        </w:rPr>
        <w:t>Shifted analytical focus to standardized effect sizes (Cramer's V, Cohen's d, Rank-Biserial r, Pearson r), distinguishing strong effects (education V = 0.369) from weak ones (correlation r = 0.148).</w:t>
      </w:r>
    </w:p>
    <w:p>
      <w:pPr>
        <w:pStyle w:val="Heading2"/>
        <w:keepNext/>
        <w:spacing w:before="260" w:after="80"/>
      </w:pPr>
      <w:r>
        <w:rPr>
          <w:rFonts w:ascii="Calibri" w:hAnsi="Calibri"/>
          <w:b/>
          <w:color w:val="465C7A"/>
          <w:sz w:val="26"/>
        </w:rPr>
        <w:t>5. High Cardinality Categorical Variables and Multicollinearity</w:t>
      </w:r>
    </w:p>
    <w:p>
      <w:pPr>
        <w:spacing w:after="120" w:line="276" w:lineRule="auto"/>
      </w:pPr>
      <w:r>
        <w:rPr>
          <w:rFonts w:ascii="Calibri" w:hAnsi="Calibri"/>
          <w:b/>
          <w:color w:val="212529"/>
          <w:sz w:val="21"/>
        </w:rPr>
        <w:t xml:space="preserve">Encountered Challenge: </w:t>
      </w:r>
      <w:r>
        <w:rPr>
          <w:rFonts w:ascii="Calibri" w:hAnsi="Calibri"/>
          <w:color w:val="212529"/>
          <w:sz w:val="21"/>
        </w:rPr>
        <w:t>Expanding multi-level factors (14 occupations, 8 workclasses, 41 countries) into dummy variables risked design matrix explosion and severe multicollinearity.</w:t>
      </w:r>
    </w:p>
    <w:p>
      <w:pPr>
        <w:spacing w:after="120" w:line="276" w:lineRule="auto"/>
      </w:pPr>
      <w:r>
        <w:rPr>
          <w:rFonts w:ascii="Calibri" w:hAnsi="Calibri"/>
          <w:b/>
          <w:color w:val="212529"/>
          <w:sz w:val="21"/>
        </w:rPr>
        <w:t xml:space="preserve">Engineered Solution: </w:t>
      </w:r>
      <w:r>
        <w:rPr>
          <w:rFonts w:ascii="Calibri" w:hAnsi="Calibri"/>
          <w:color w:val="212529"/>
          <w:sz w:val="21"/>
        </w:rPr>
        <w:t>Grouped native_country into US vs Non-US and validated all features using Generalized Variance Inflation Factors (GVIF &lt; 1.73), confirming no harmful collinearity.</w:t>
      </w:r>
    </w:p>
    <w:p>
      <w:pPr>
        <w:pStyle w:val="Heading2"/>
        <w:keepNext/>
        <w:spacing w:before="260" w:after="80"/>
      </w:pPr>
      <w:r>
        <w:rPr>
          <w:rFonts w:ascii="Calibri" w:hAnsi="Calibri"/>
          <w:b/>
          <w:color w:val="465C7A"/>
          <w:sz w:val="26"/>
        </w:rPr>
        <w:t>6. Hypothesis Suite Reconciliation (8 Verified Tests vs. 9 Mentions)</w:t>
      </w:r>
    </w:p>
    <w:p>
      <w:pPr>
        <w:spacing w:after="120" w:line="276" w:lineRule="auto"/>
      </w:pPr>
      <w:r>
        <w:rPr>
          <w:rFonts w:ascii="Calibri" w:hAnsi="Calibri"/>
          <w:b/>
          <w:color w:val="212529"/>
          <w:sz w:val="21"/>
        </w:rPr>
        <w:t xml:space="preserve">Encountered Challenge: </w:t>
      </w:r>
      <w:r>
        <w:rPr>
          <w:rFonts w:ascii="Calibri" w:hAnsi="Calibri"/>
          <w:color w:val="212529"/>
          <w:sz w:val="21"/>
        </w:rPr>
        <w:t>An earlier completion summary informally referenced 'nine tests' while listing only eight named rows.</w:t>
      </w:r>
    </w:p>
    <w:p>
      <w:pPr>
        <w:spacing w:after="120" w:line="276" w:lineRule="auto"/>
      </w:pPr>
      <w:r>
        <w:rPr>
          <w:rFonts w:ascii="Calibri" w:hAnsi="Calibri"/>
          <w:b/>
          <w:color w:val="212529"/>
          <w:sz w:val="21"/>
        </w:rPr>
        <w:t xml:space="preserve">Engineered Solution: </w:t>
      </w:r>
      <w:r>
        <w:rPr>
          <w:rFonts w:ascii="Calibri" w:hAnsi="Calibri"/>
          <w:color w:val="212529"/>
          <w:sz w:val="21"/>
        </w:rPr>
        <w:t>Audited R/10_week3_statistical_analysis.R and confirmed that exactly eight tests were recorded in outputs/week3_statistics/hypothesis_tests.csv; clarified that the ninth reference conflated the supplementary Spearman correlation matrix.</w:t>
      </w:r>
    </w:p>
    <w:p>
      <w:pPr>
        <w:pStyle w:val="Heading1"/>
        <w:keepNext/>
        <w:spacing w:before="360" w:after="120"/>
      </w:pPr>
      <w:r>
        <w:rPr>
          <w:rFonts w:ascii="Calibri" w:hAnsi="Calibri"/>
          <w:b/>
          <w:color w:val="1B365D"/>
          <w:sz w:val="32"/>
        </w:rPr>
        <w:t>Section 13 — Recommendations and Future Work</w:t>
      </w:r>
    </w:p>
    <w:p>
      <w:pPr>
        <w:spacing w:after="120" w:line="276" w:lineRule="auto"/>
      </w:pPr>
      <w:r>
        <w:rPr>
          <w:rFonts w:ascii="Calibri" w:hAnsi="Calibri"/>
          <w:color w:val="212529"/>
          <w:sz w:val="21"/>
        </w:rPr>
        <w:t>Based on the empirical findings and methodological insights from this four-week project, we recommend several avenues for operational refinement and future research:</w:t>
      </w:r>
    </w:p>
    <w:p>
      <w:pPr>
        <w:pStyle w:val="ListBullet"/>
        <w:spacing w:after="60" w:line="276" w:lineRule="auto"/>
      </w:pPr>
      <w:r>
        <w:rPr>
          <w:rFonts w:ascii="Calibri" w:hAnsi="Calibri"/>
          <w:b/>
          <w:color w:val="212529"/>
          <w:sz w:val="20"/>
        </w:rPr>
        <w:t xml:space="preserve">1. Decision-Theoretic Cost-Sensitive Threshold Tuning: </w:t>
      </w:r>
      <w:r>
        <w:rPr>
          <w:rFonts w:ascii="Calibri" w:hAnsi="Calibri"/>
          <w:color w:val="212529"/>
          <w:sz w:val="20"/>
        </w:rPr>
        <w:t>In production deployment, classification cutoffs should be optimized based on asymmetric misclassification costs. If false negatives are twice as costly as false positives, the optimal threshold shifts from 0.50 to approximately 0.35, increasing recall from 60.14% to ~75% while maintaining acceptable precision.</w:t>
      </w:r>
    </w:p>
    <w:p>
      <w:pPr>
        <w:pStyle w:val="ListBullet"/>
        <w:spacing w:after="60" w:line="276" w:lineRule="auto"/>
      </w:pPr>
      <w:r>
        <w:rPr>
          <w:rFonts w:ascii="Calibri" w:hAnsi="Calibri"/>
          <w:b/>
          <w:color w:val="212529"/>
          <w:sz w:val="20"/>
        </w:rPr>
        <w:t xml:space="preserve">2. Non-Linear Ensemble Benchmarking with SHAP Interpretability: </w:t>
      </w:r>
      <w:r>
        <w:rPr>
          <w:rFonts w:ascii="Calibri" w:hAnsi="Calibri"/>
          <w:color w:val="212529"/>
          <w:sz w:val="20"/>
        </w:rPr>
        <w:t>While logistic regression provides excellent interpretability and strong discrimination (ROC-AUC = 0.9047), non-linear ensemble algorithms (such as Gradient Boosted Decision Trees / XGBoost and Random Forests) should be benchmarked to capture complex non-linear feature interactions, paired with SHAP (Shapley Additive exPlanations) for model transparency.</w:t>
      </w:r>
    </w:p>
    <w:p>
      <w:pPr>
        <w:pStyle w:val="ListBullet"/>
        <w:spacing w:after="60" w:line="276" w:lineRule="auto"/>
      </w:pPr>
      <w:r>
        <w:rPr>
          <w:rFonts w:ascii="Calibri" w:hAnsi="Calibri"/>
          <w:b/>
          <w:color w:val="212529"/>
          <w:sz w:val="20"/>
        </w:rPr>
        <w:t xml:space="preserve">3. Temporal Validation on Modern Census Microdata (ACS): </w:t>
      </w:r>
      <w:r>
        <w:rPr>
          <w:rFonts w:ascii="Calibri" w:hAnsi="Calibri"/>
          <w:color w:val="212529"/>
          <w:sz w:val="20"/>
        </w:rPr>
        <w:t>The 1994 CPS dataset reflects labor dynamics from three decades ago. Future work should replicate this analysis on contemporary American Community Survey (ACS) 1-year and 5-year public microdata to evaluate how education returns, remote work hours, and gender pay parity have evolved in the modern economy.</w:t>
      </w:r>
    </w:p>
    <w:p>
      <w:pPr>
        <w:pStyle w:val="ListBullet"/>
        <w:spacing w:after="60" w:line="276" w:lineRule="auto"/>
      </w:pPr>
      <w:r>
        <w:rPr>
          <w:rFonts w:ascii="Calibri" w:hAnsi="Calibri"/>
          <w:b/>
          <w:color w:val="212529"/>
          <w:sz w:val="20"/>
        </w:rPr>
        <w:t xml:space="preserve">4. Formal Algorithmic Fairness and Disparate Impact Audits: </w:t>
      </w:r>
      <w:r>
        <w:rPr>
          <w:rFonts w:ascii="Calibri" w:hAnsi="Calibri"/>
          <w:color w:val="212529"/>
          <w:sz w:val="20"/>
        </w:rPr>
        <w:t>Formally assess disparate impact and equalized odds across demographic subgroups (sex, race, age). If models exhibit disparate performance, implement fairness-aware regularization (such as adversarial debiasing or disparate impact reweighting) to ensure equitable performance across all cohorts.</w:t>
      </w:r>
    </w:p>
    <w:p>
      <w:pPr>
        <w:pStyle w:val="ListBullet"/>
        <w:spacing w:after="60" w:line="276" w:lineRule="auto"/>
      </w:pPr>
      <w:r>
        <w:rPr>
          <w:rFonts w:ascii="Calibri" w:hAnsi="Calibri"/>
          <w:b/>
          <w:color w:val="212529"/>
          <w:sz w:val="20"/>
        </w:rPr>
        <w:t xml:space="preserve">5. Advanced Feature Engineering and Interaction Terms: </w:t>
      </w:r>
      <w:r>
        <w:rPr>
          <w:rFonts w:ascii="Calibri" w:hAnsi="Calibri"/>
          <w:color w:val="212529"/>
          <w:sz w:val="20"/>
        </w:rPr>
        <w:t>Engineer explicit interaction terms (e.g., age * education_num, sex * hours_per_week) and incorporate external economic indicators (such as regional cost-of-living indices) to provide localized earnings benchmarks.</w:t>
      </w:r>
    </w:p>
    <w:p>
      <w:pPr>
        <w:pStyle w:val="Heading1"/>
        <w:keepNext/>
        <w:spacing w:before="360" w:after="120"/>
      </w:pPr>
      <w:r>
        <w:rPr>
          <w:rFonts w:ascii="Calibri" w:hAnsi="Calibri"/>
          <w:b/>
          <w:color w:val="1B365D"/>
          <w:sz w:val="32"/>
        </w:rPr>
        <w:t>Section 14 — Conclusion</w:t>
      </w:r>
    </w:p>
    <w:p>
      <w:pPr>
        <w:spacing w:after="120" w:line="276" w:lineRule="auto"/>
      </w:pPr>
      <w:r>
        <w:rPr>
          <w:rFonts w:ascii="Calibri" w:hAnsi="Calibri"/>
          <w:color w:val="212529"/>
          <w:sz w:val="21"/>
        </w:rPr>
        <w:t>This capstone project successfully completed the end-to-end data science lifecycle on the UCI Adult Census Income dataset, integrating data hygiene, exploratory visualization, inferential testing, and predictive modeling into a cohesive monograph. The project demonstrated that data cleaning is foundational: resolving non-standard missingness and deduplicating records established a reliable sample of 32,537 observations. Graphical exploration uncovered essential structural features, including a 3.15:1 class imbalance, a 10-year median age divergence, and an institutional workweek anchor at 40 hours. Formal hypothesis testing established statistical significance across all eight verified tests, while effect sizes illuminated the practical importance of education, age, and occupation. Finally, regularized predictive models achieved an ROC-AUC of 0.9047 and balanced accuracy of 76.36%, demonstrating strong out-of-sample generalization while maintaining full interpretability.</w:t>
      </w:r>
    </w:p>
    <w:p>
      <w:pPr>
        <w:spacing w:after="120" w:line="276" w:lineRule="auto"/>
      </w:pPr>
      <w:r>
        <w:rPr>
          <w:rFonts w:ascii="Calibri" w:hAnsi="Calibri"/>
          <w:color w:val="212529"/>
          <w:sz w:val="21"/>
        </w:rPr>
        <w:t>Above all, this project demonstrates the value of transparent, reproducible, evidence-based data science. By enforcing fixed random seeds, modular script architecture, and strict tracking of empirical evidence across R and Python, the entire analysis can be verified, re-executed, and audited by external researchers. This systematic approach ensures that every analytical conclusion is grounded in verified empirical evidence, providing a reliable foundation for data-driven decision-making.</w:t>
      </w:r>
    </w:p>
    <w:p>
      <w:pPr>
        <w:pStyle w:val="Heading1"/>
        <w:keepNext/>
        <w:spacing w:before="360" w:after="120"/>
      </w:pPr>
      <w:r>
        <w:rPr>
          <w:rFonts w:ascii="Calibri" w:hAnsi="Calibri"/>
          <w:b/>
          <w:color w:val="1B365D"/>
          <w:sz w:val="32"/>
        </w:rPr>
        <w:t>Section 15 — Reproducibility and Technical Appendix</w:t>
      </w:r>
    </w:p>
    <w:p>
      <w:pPr>
        <w:spacing w:after="120" w:line="276" w:lineRule="auto"/>
      </w:pPr>
      <w:r>
        <w:rPr>
          <w:rFonts w:ascii="Calibri" w:hAnsi="Calibri"/>
          <w:color w:val="212529"/>
          <w:sz w:val="21"/>
        </w:rPr>
        <w:t>To guarantee complete scientific reproducibility, the entire project structure, execution pipeline, software environment, and statistical terminology are documented below.</w:t>
      </w:r>
    </w:p>
    <w:p>
      <w:pPr>
        <w:pStyle w:val="Heading2"/>
        <w:keepNext/>
        <w:spacing w:before="260" w:after="80"/>
      </w:pPr>
      <w:r>
        <w:rPr>
          <w:rFonts w:ascii="Calibri" w:hAnsi="Calibri"/>
          <w:b/>
          <w:color w:val="465C7A"/>
          <w:sz w:val="26"/>
        </w:rPr>
        <w:t>15.1 Repository Directory Structure</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50" w:type="dxa"/>
              <w:right w:w="140" w:type="dxa"/>
            </w:tcMar>
            <w:tcBorders>
              <w:top w:val="single" w:sz="4" w:space="0" w:color="D0D7DE"/>
              <w:bottom w:val="single" w:sz="4" w:space="0" w:color="D0D7DE"/>
              <w:right w:val="single" w:sz="4" w:space="0" w:color="D0D7DE"/>
              <w:left w:val="single" w:sz="24" w:space="0" w:color="1B365D"/>
            </w:tcBorders>
          </w:tcPr>
          <w:p>
            <w:pPr>
              <w:spacing w:after="0" w:line="252" w:lineRule="auto"/>
            </w:pPr>
            <w:r>
              <w:rPr>
                <w:rFonts w:ascii="Consolas" w:hAnsi="Consolas"/>
                <w:color w:val="282C34"/>
                <w:sz w:val="17"/>
              </w:rPr>
              <w:t>c:/Users/Microsoft/week/week-1-r-data-cleaning-analysis/</w:t>
              <w:br/>
              <w:t>|-- data/</w:t>
              <w:br/>
              <w:t>|   |-- original/adult.data, adult.names, adult.test</w:t>
              <w:br/>
              <w:t>|   |-- cleaned/adult_cleaned.csv, adult_cleaned.rds</w:t>
              <w:br/>
              <w:t>|-- R/</w:t>
              <w:br/>
              <w:t>|   |-- 01_import.R                   # Ingestion &amp; raw schema audit</w:t>
              <w:br/>
              <w:t>|   |-- 02_quality_assessment.R       # Missingness &amp; type validation</w:t>
              <w:br/>
              <w:t>|   |-- 03_cleaning.R                 # Mode imputation &amp; deduplication</w:t>
              <w:br/>
              <w:t>|   |-- 04_outlier_analysis.R         # Tukey IQR screening</w:t>
              <w:br/>
              <w:t>|   |-- 05_transformation.R           # Scaling &amp; dummy encoding</w:t>
              <w:br/>
              <w:t>|   |-- 06_eda.R                      # Exploratory data analysis</w:t>
              <w:br/>
              <w:t>|   |-- 07_final_analysis.R           # Cleaned data hygiene audit</w:t>
              <w:br/>
              <w:t>|   |-- 08_week2_visualizations.R     # ggplot2 &amp; lattice visualizations</w:t>
              <w:br/>
              <w:t>|   |-- 09_week2_analysis.R           # Graphical insight extraction</w:t>
              <w:br/>
              <w:t>|   |-- 10_week3_statistical_analysis.R # Hypothesis testing suite</w:t>
              <w:br/>
              <w:t>|   |-- 11_week3_modeling.R           # Logistic &amp; Elastic Net modeling</w:t>
              <w:br/>
              <w:t>|   |-- 12_week3_evaluation.R         # Test evaluation &amp; diagnostics</w:t>
              <w:br/>
              <w:t>|   |-- 13_week3_report_generation.R  # Week 3 report driver</w:t>
              <w:br/>
              <w:t>|-- outputs/</w:t>
              <w:br/>
              <w:t>|   |-- adult_cleaned.rds, adult_encoded.rds, adult_normalized.rds</w:t>
              <w:br/>
              <w:t>|   |-- 02_quality_table.csv, 04_outlier_summary.csv, 07_descriptive_stats.csv</w:t>
              <w:br/>
              <w:t>|   |-- week3_statistics/ (hypothesis_tests.csv, descriptive_statistics.csv)</w:t>
              <w:br/>
              <w:t>|   |-- week3_model/ (evaluation_metrics.csv, odds_ratios.csv, vif_results.csv)</w:t>
              <w:br/>
              <w:t>|-- plots/                            # 20+ High-resolution visualization PNGs</w:t>
              <w:br/>
              <w:t>|   |-- week3/                        # 15 Model &amp; hypothesis testing diagnostic PNGs</w:t>
              <w:br/>
              <w:t>|-- report/</w:t>
              <w:br/>
              <w:t>|   |-- generate_report.py            # Week 1 report compiler</w:t>
              <w:br/>
              <w:t>|   |-- generate_week2_report.py      # Week 2 report compiler</w:t>
              <w:br/>
              <w:t>|   |-- generate_week3_report.py      # Week 3 report compiler</w:t>
              <w:br/>
              <w:t>|   |-- generate_week4_report.py      # Week 4 comprehensive report compiler</w:t>
              <w:br/>
              <w:t>|   |-- Week4_Comprehensive_Data_Analysis_Final_Report.docx (Main Deliverable)</w:t>
              <w:br/>
              <w:t>|-- run_all.R                         # Master pipeline driver (13 R scripts)</w:t>
              <w:br/>
              <w:t>|-- README.md                         # Complete project documentation</w:t>
            </w:r>
          </w:p>
        </w:tc>
      </w:tr>
    </w:tbl>
    <w:p>
      <w:pPr>
        <w:spacing w:before="40" w:after="120"/>
      </w:pPr>
      <w:r>
        <w:rPr>
          <w:rFonts w:ascii="Calibri" w:hAnsi="Calibri"/>
          <w:i/>
          <w:color w:val="6C757D"/>
          <w:sz w:val="17"/>
        </w:rPr>
        <w:t>Code Listing: Repository file layout and component inventory.</w:t>
      </w:r>
    </w:p>
    <w:p>
      <w:pPr>
        <w:pStyle w:val="Heading2"/>
        <w:keepNext/>
        <w:spacing w:before="260" w:after="80"/>
      </w:pPr>
      <w:r>
        <w:rPr>
          <w:rFonts w:ascii="Calibri" w:hAnsi="Calibri"/>
          <w:b/>
          <w:color w:val="465C7A"/>
          <w:sz w:val="26"/>
        </w:rPr>
        <w:t>15.2 Software Environment and Package Registry</w:t>
      </w:r>
    </w:p>
    <w:p>
      <w:pPr>
        <w:spacing w:after="120" w:line="276" w:lineRule="auto"/>
      </w:pPr>
      <w:r>
        <w:rPr>
          <w:rFonts w:ascii="Calibri" w:hAnsi="Calibri"/>
          <w:color w:val="212529"/>
          <w:sz w:val="21"/>
        </w:rPr>
        <w:t>All analyses were executed under R version 4.6.1 (x86_64-w64-mingw32). Table 15.1 details the verified R packages used (outputs/evidence/week3/r_package_versions.csv):</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3120"/>
        <w:gridCol w:w="3120"/>
        <w:gridCol w:w="3120"/>
      </w:tblGrid>
      <w:tr>
        <w:tc>
          <w:tcPr>
            <w:tcW w:type="dxa" w:w="2160"/>
            <w:shd w:fill="1B365D"/>
            <w:tcMar>
              <w:top w:w="100" w:type="dxa"/>
              <w:bottom w:w="100" w:type="dxa"/>
              <w:left w:w="100" w:type="dxa"/>
              <w:right w:w="100" w:type="dxa"/>
            </w:tcMar>
          </w:tcPr>
          <w:p>
            <w:pPr>
              <w:spacing w:after="0"/>
              <w:jc w:val="left"/>
            </w:pPr>
            <w:r>
              <w:rPr>
                <w:rFonts w:ascii="Calibri" w:hAnsi="Calibri"/>
                <w:b/>
                <w:color w:val="FFFFFF"/>
                <w:sz w:val="18"/>
              </w:rPr>
              <w:t>Package Name</w:t>
            </w:r>
          </w:p>
        </w:tc>
        <w:tc>
          <w:tcPr>
            <w:tcW w:type="dxa" w:w="2160"/>
            <w:shd w:fill="1B365D"/>
            <w:tcMar>
              <w:top w:w="100" w:type="dxa"/>
              <w:bottom w:w="100" w:type="dxa"/>
              <w:left w:w="100" w:type="dxa"/>
              <w:right w:w="100" w:type="dxa"/>
            </w:tcMar>
          </w:tcPr>
          <w:p>
            <w:pPr>
              <w:spacing w:after="0"/>
              <w:jc w:val="left"/>
            </w:pPr>
            <w:r>
              <w:rPr>
                <w:rFonts w:ascii="Calibri" w:hAnsi="Calibri"/>
                <w:b/>
                <w:color w:val="FFFFFF"/>
                <w:sz w:val="18"/>
              </w:rPr>
              <w:t>Verified Version</w:t>
            </w:r>
          </w:p>
        </w:tc>
        <w:tc>
          <w:tcPr>
            <w:tcW w:type="dxa" w:w="5040"/>
            <w:shd w:fill="1B365D"/>
            <w:tcMar>
              <w:top w:w="100" w:type="dxa"/>
              <w:bottom w:w="100" w:type="dxa"/>
              <w:left w:w="100" w:type="dxa"/>
              <w:right w:w="100" w:type="dxa"/>
            </w:tcMar>
          </w:tcPr>
          <w:p>
            <w:pPr>
              <w:spacing w:after="0"/>
              <w:jc w:val="left"/>
            </w:pPr>
            <w:r>
              <w:rPr>
                <w:rFonts w:ascii="Calibri" w:hAnsi="Calibri"/>
                <w:b/>
                <w:color w:val="FFFFFF"/>
                <w:sz w:val="18"/>
              </w:rPr>
              <w:t>Analytical Functionality</w:t>
            </w:r>
          </w:p>
        </w:tc>
      </w:tr>
      <w:tr>
        <w:tc>
          <w:tcPr>
            <w:tcW w:type="dxa" w:w="2160"/>
            <w:shd w:fill="FFFFFF"/>
            <w:tcMar>
              <w:top w:w="70" w:type="dxa"/>
              <w:bottom w:w="70" w:type="dxa"/>
              <w:left w:w="100" w:type="dxa"/>
              <w:right w:w="100" w:type="dxa"/>
            </w:tcMar>
          </w:tcPr>
          <w:p>
            <w:pPr>
              <w:spacing w:after="0"/>
              <w:jc w:val="left"/>
            </w:pPr>
            <w:r>
              <w:rPr>
                <w:rFonts w:ascii="Calibri" w:hAnsi="Calibri"/>
                <w:b/>
                <w:color w:val="212529"/>
                <w:sz w:val="17"/>
              </w:rPr>
              <w:t>dplyr</w:t>
            </w:r>
          </w:p>
        </w:tc>
        <w:tc>
          <w:tcPr>
            <w:tcW w:type="dxa" w:w="2160"/>
            <w:shd w:fill="FFFFFF"/>
            <w:tcMar>
              <w:top w:w="70" w:type="dxa"/>
              <w:bottom w:w="70" w:type="dxa"/>
              <w:left w:w="100" w:type="dxa"/>
              <w:right w:w="100" w:type="dxa"/>
            </w:tcMar>
          </w:tcPr>
          <w:p>
            <w:pPr>
              <w:spacing w:after="0"/>
              <w:jc w:val="left"/>
            </w:pPr>
            <w:r>
              <w:rPr>
                <w:rFonts w:ascii="Calibri" w:hAnsi="Calibri"/>
                <w:b/>
                <w:color w:val="212529"/>
                <w:sz w:val="17"/>
              </w:rPr>
              <w:t>1.2.1</w:t>
            </w:r>
          </w:p>
        </w:tc>
        <w:tc>
          <w:tcPr>
            <w:tcW w:type="dxa" w:w="5040"/>
            <w:shd w:fill="FFFFFF"/>
            <w:tcMar>
              <w:top w:w="70" w:type="dxa"/>
              <w:bottom w:w="70" w:type="dxa"/>
              <w:left w:w="100" w:type="dxa"/>
              <w:right w:w="100" w:type="dxa"/>
            </w:tcMar>
          </w:tcPr>
          <w:p>
            <w:pPr>
              <w:spacing w:after="0"/>
              <w:jc w:val="left"/>
            </w:pPr>
            <w:r>
              <w:rPr>
                <w:rFonts w:ascii="Calibri" w:hAnsi="Calibri"/>
                <w:b w:val="0"/>
                <w:color w:val="212529"/>
                <w:sz w:val="17"/>
              </w:rPr>
              <w:t>Data manipulation, filtering, and aggregation</w:t>
            </w:r>
          </w:p>
        </w:tc>
      </w:tr>
      <w:tr>
        <w:tc>
          <w:tcPr>
            <w:tcW w:type="dxa" w:w="2160"/>
            <w:shd w:fill="F8F9FA"/>
            <w:tcMar>
              <w:top w:w="70" w:type="dxa"/>
              <w:bottom w:w="70" w:type="dxa"/>
              <w:left w:w="100" w:type="dxa"/>
              <w:right w:w="100" w:type="dxa"/>
            </w:tcMar>
          </w:tcPr>
          <w:p>
            <w:pPr>
              <w:spacing w:after="0"/>
              <w:jc w:val="left"/>
            </w:pPr>
            <w:r>
              <w:rPr>
                <w:rFonts w:ascii="Calibri" w:hAnsi="Calibri"/>
                <w:b/>
                <w:color w:val="212529"/>
                <w:sz w:val="17"/>
              </w:rPr>
              <w:t>ggplot2</w:t>
            </w:r>
          </w:p>
        </w:tc>
        <w:tc>
          <w:tcPr>
            <w:tcW w:type="dxa" w:w="2160"/>
            <w:shd w:fill="F8F9FA"/>
            <w:tcMar>
              <w:top w:w="70" w:type="dxa"/>
              <w:bottom w:w="70" w:type="dxa"/>
              <w:left w:w="100" w:type="dxa"/>
              <w:right w:w="100" w:type="dxa"/>
            </w:tcMar>
          </w:tcPr>
          <w:p>
            <w:pPr>
              <w:spacing w:after="0"/>
              <w:jc w:val="left"/>
            </w:pPr>
            <w:r>
              <w:rPr>
                <w:rFonts w:ascii="Calibri" w:hAnsi="Calibri"/>
                <w:b/>
                <w:color w:val="212529"/>
                <w:sz w:val="17"/>
              </w:rPr>
              <w:t>4.0.3</w:t>
            </w:r>
          </w:p>
        </w:tc>
        <w:tc>
          <w:tcPr>
            <w:tcW w:type="dxa" w:w="5040"/>
            <w:shd w:fill="F8F9FA"/>
            <w:tcMar>
              <w:top w:w="70" w:type="dxa"/>
              <w:bottom w:w="70" w:type="dxa"/>
              <w:left w:w="100" w:type="dxa"/>
              <w:right w:w="100" w:type="dxa"/>
            </w:tcMar>
          </w:tcPr>
          <w:p>
            <w:pPr>
              <w:spacing w:after="0"/>
              <w:jc w:val="left"/>
            </w:pPr>
            <w:r>
              <w:rPr>
                <w:rFonts w:ascii="Calibri" w:hAnsi="Calibri"/>
                <w:b w:val="0"/>
                <w:color w:val="212529"/>
                <w:sz w:val="17"/>
              </w:rPr>
              <w:t>Grammar of graphics data visualization</w:t>
            </w:r>
          </w:p>
        </w:tc>
      </w:tr>
      <w:tr>
        <w:tc>
          <w:tcPr>
            <w:tcW w:type="dxa" w:w="2160"/>
            <w:shd w:fill="FFFFFF"/>
            <w:tcMar>
              <w:top w:w="70" w:type="dxa"/>
              <w:bottom w:w="70" w:type="dxa"/>
              <w:left w:w="100" w:type="dxa"/>
              <w:right w:w="100" w:type="dxa"/>
            </w:tcMar>
          </w:tcPr>
          <w:p>
            <w:pPr>
              <w:spacing w:after="0"/>
              <w:jc w:val="left"/>
            </w:pPr>
            <w:r>
              <w:rPr>
                <w:rFonts w:ascii="Calibri" w:hAnsi="Calibri"/>
                <w:b/>
                <w:color w:val="212529"/>
                <w:sz w:val="17"/>
              </w:rPr>
              <w:t>tidyr</w:t>
            </w:r>
          </w:p>
        </w:tc>
        <w:tc>
          <w:tcPr>
            <w:tcW w:type="dxa" w:w="2160"/>
            <w:shd w:fill="FFFFFF"/>
            <w:tcMar>
              <w:top w:w="70" w:type="dxa"/>
              <w:bottom w:w="70" w:type="dxa"/>
              <w:left w:w="100" w:type="dxa"/>
              <w:right w:w="100" w:type="dxa"/>
            </w:tcMar>
          </w:tcPr>
          <w:p>
            <w:pPr>
              <w:spacing w:after="0"/>
              <w:jc w:val="left"/>
            </w:pPr>
            <w:r>
              <w:rPr>
                <w:rFonts w:ascii="Calibri" w:hAnsi="Calibri"/>
                <w:b/>
                <w:color w:val="212529"/>
                <w:sz w:val="17"/>
              </w:rPr>
              <w:t>1.3.2</w:t>
            </w:r>
          </w:p>
        </w:tc>
        <w:tc>
          <w:tcPr>
            <w:tcW w:type="dxa" w:w="5040"/>
            <w:shd w:fill="FFFFFF"/>
            <w:tcMar>
              <w:top w:w="70" w:type="dxa"/>
              <w:bottom w:w="70" w:type="dxa"/>
              <w:left w:w="100" w:type="dxa"/>
              <w:right w:w="100" w:type="dxa"/>
            </w:tcMar>
          </w:tcPr>
          <w:p>
            <w:pPr>
              <w:spacing w:after="0"/>
              <w:jc w:val="left"/>
            </w:pPr>
            <w:r>
              <w:rPr>
                <w:rFonts w:ascii="Calibri" w:hAnsi="Calibri"/>
                <w:b w:val="0"/>
                <w:color w:val="212529"/>
                <w:sz w:val="17"/>
              </w:rPr>
              <w:t>Tidy data restructuring and reshaping</w:t>
            </w:r>
          </w:p>
        </w:tc>
      </w:tr>
      <w:tr>
        <w:tc>
          <w:tcPr>
            <w:tcW w:type="dxa" w:w="2160"/>
            <w:shd w:fill="F8F9FA"/>
            <w:tcMar>
              <w:top w:w="70" w:type="dxa"/>
              <w:bottom w:w="70" w:type="dxa"/>
              <w:left w:w="100" w:type="dxa"/>
              <w:right w:w="100" w:type="dxa"/>
            </w:tcMar>
          </w:tcPr>
          <w:p>
            <w:pPr>
              <w:spacing w:after="0"/>
              <w:jc w:val="left"/>
            </w:pPr>
            <w:r>
              <w:rPr>
                <w:rFonts w:ascii="Calibri" w:hAnsi="Calibri"/>
                <w:b/>
                <w:color w:val="212529"/>
                <w:sz w:val="17"/>
              </w:rPr>
              <w:t>scales</w:t>
            </w:r>
          </w:p>
        </w:tc>
        <w:tc>
          <w:tcPr>
            <w:tcW w:type="dxa" w:w="2160"/>
            <w:shd w:fill="F8F9FA"/>
            <w:tcMar>
              <w:top w:w="70" w:type="dxa"/>
              <w:bottom w:w="70" w:type="dxa"/>
              <w:left w:w="100" w:type="dxa"/>
              <w:right w:w="100" w:type="dxa"/>
            </w:tcMar>
          </w:tcPr>
          <w:p>
            <w:pPr>
              <w:spacing w:after="0"/>
              <w:jc w:val="left"/>
            </w:pPr>
            <w:r>
              <w:rPr>
                <w:rFonts w:ascii="Calibri" w:hAnsi="Calibri"/>
                <w:b/>
                <w:color w:val="212529"/>
                <w:sz w:val="17"/>
              </w:rPr>
              <w:t>1.4.0</w:t>
            </w:r>
          </w:p>
        </w:tc>
        <w:tc>
          <w:tcPr>
            <w:tcW w:type="dxa" w:w="5040"/>
            <w:shd w:fill="F8F9FA"/>
            <w:tcMar>
              <w:top w:w="70" w:type="dxa"/>
              <w:bottom w:w="70" w:type="dxa"/>
              <w:left w:w="100" w:type="dxa"/>
              <w:right w:w="100" w:type="dxa"/>
            </w:tcMar>
          </w:tcPr>
          <w:p>
            <w:pPr>
              <w:spacing w:after="0"/>
              <w:jc w:val="left"/>
            </w:pPr>
            <w:r>
              <w:rPr>
                <w:rFonts w:ascii="Calibri" w:hAnsi="Calibri"/>
                <w:b w:val="0"/>
                <w:color w:val="212529"/>
                <w:sz w:val="17"/>
              </w:rPr>
              <w:t>Formatting axes, percentages, and currencies</w:t>
            </w:r>
          </w:p>
        </w:tc>
      </w:tr>
      <w:tr>
        <w:tc>
          <w:tcPr>
            <w:tcW w:type="dxa" w:w="2160"/>
            <w:shd w:fill="FFFFFF"/>
            <w:tcMar>
              <w:top w:w="70" w:type="dxa"/>
              <w:bottom w:w="70" w:type="dxa"/>
              <w:left w:w="100" w:type="dxa"/>
              <w:right w:w="100" w:type="dxa"/>
            </w:tcMar>
          </w:tcPr>
          <w:p>
            <w:pPr>
              <w:spacing w:after="0"/>
              <w:jc w:val="left"/>
            </w:pPr>
            <w:r>
              <w:rPr>
                <w:rFonts w:ascii="Calibri" w:hAnsi="Calibri"/>
                <w:b/>
                <w:color w:val="212529"/>
                <w:sz w:val="17"/>
              </w:rPr>
              <w:t>corrplot</w:t>
            </w:r>
          </w:p>
        </w:tc>
        <w:tc>
          <w:tcPr>
            <w:tcW w:type="dxa" w:w="2160"/>
            <w:shd w:fill="FFFFFF"/>
            <w:tcMar>
              <w:top w:w="70" w:type="dxa"/>
              <w:bottom w:w="70" w:type="dxa"/>
              <w:left w:w="100" w:type="dxa"/>
              <w:right w:w="100" w:type="dxa"/>
            </w:tcMar>
          </w:tcPr>
          <w:p>
            <w:pPr>
              <w:spacing w:after="0"/>
              <w:jc w:val="left"/>
            </w:pPr>
            <w:r>
              <w:rPr>
                <w:rFonts w:ascii="Calibri" w:hAnsi="Calibri"/>
                <w:b/>
                <w:color w:val="212529"/>
                <w:sz w:val="17"/>
              </w:rPr>
              <w:t>0.95</w:t>
            </w:r>
          </w:p>
        </w:tc>
        <w:tc>
          <w:tcPr>
            <w:tcW w:type="dxa" w:w="5040"/>
            <w:shd w:fill="FFFFFF"/>
            <w:tcMar>
              <w:top w:w="70" w:type="dxa"/>
              <w:bottom w:w="70" w:type="dxa"/>
              <w:left w:w="100" w:type="dxa"/>
              <w:right w:w="100" w:type="dxa"/>
            </w:tcMar>
          </w:tcPr>
          <w:p>
            <w:pPr>
              <w:spacing w:after="0"/>
              <w:jc w:val="left"/>
            </w:pPr>
            <w:r>
              <w:rPr>
                <w:rFonts w:ascii="Calibri" w:hAnsi="Calibri"/>
                <w:b w:val="0"/>
                <w:color w:val="212529"/>
                <w:sz w:val="17"/>
              </w:rPr>
              <w:t>Correlation matrix graphical heatmaps</w:t>
            </w:r>
          </w:p>
        </w:tc>
      </w:tr>
      <w:tr>
        <w:tc>
          <w:tcPr>
            <w:tcW w:type="dxa" w:w="2160"/>
            <w:shd w:fill="F8F9FA"/>
            <w:tcMar>
              <w:top w:w="70" w:type="dxa"/>
              <w:bottom w:w="70" w:type="dxa"/>
              <w:left w:w="100" w:type="dxa"/>
              <w:right w:w="100" w:type="dxa"/>
            </w:tcMar>
          </w:tcPr>
          <w:p>
            <w:pPr>
              <w:spacing w:after="0"/>
              <w:jc w:val="left"/>
            </w:pPr>
            <w:r>
              <w:rPr>
                <w:rFonts w:ascii="Calibri" w:hAnsi="Calibri"/>
                <w:b/>
                <w:color w:val="212529"/>
                <w:sz w:val="17"/>
              </w:rPr>
              <w:t>reshape2</w:t>
            </w:r>
          </w:p>
        </w:tc>
        <w:tc>
          <w:tcPr>
            <w:tcW w:type="dxa" w:w="2160"/>
            <w:shd w:fill="F8F9FA"/>
            <w:tcMar>
              <w:top w:w="70" w:type="dxa"/>
              <w:bottom w:w="70" w:type="dxa"/>
              <w:left w:w="100" w:type="dxa"/>
              <w:right w:w="100" w:type="dxa"/>
            </w:tcMar>
          </w:tcPr>
          <w:p>
            <w:pPr>
              <w:spacing w:after="0"/>
              <w:jc w:val="left"/>
            </w:pPr>
            <w:r>
              <w:rPr>
                <w:rFonts w:ascii="Calibri" w:hAnsi="Calibri"/>
                <w:b/>
                <w:color w:val="212529"/>
                <w:sz w:val="17"/>
              </w:rPr>
              <w:t>1.4.5</w:t>
            </w:r>
          </w:p>
        </w:tc>
        <w:tc>
          <w:tcPr>
            <w:tcW w:type="dxa" w:w="5040"/>
            <w:shd w:fill="F8F9FA"/>
            <w:tcMar>
              <w:top w:w="70" w:type="dxa"/>
              <w:bottom w:w="70" w:type="dxa"/>
              <w:left w:w="100" w:type="dxa"/>
              <w:right w:w="100" w:type="dxa"/>
            </w:tcMar>
          </w:tcPr>
          <w:p>
            <w:pPr>
              <w:spacing w:after="0"/>
              <w:jc w:val="left"/>
            </w:pPr>
            <w:r>
              <w:rPr>
                <w:rFonts w:ascii="Calibri" w:hAnsi="Calibri"/>
                <w:b w:val="0"/>
                <w:color w:val="212529"/>
                <w:sz w:val="17"/>
              </w:rPr>
              <w:t>Design matrix melting and restructuring</w:t>
            </w:r>
          </w:p>
        </w:tc>
      </w:tr>
      <w:tr>
        <w:tc>
          <w:tcPr>
            <w:tcW w:type="dxa" w:w="2160"/>
            <w:shd w:fill="FFFFFF"/>
            <w:tcMar>
              <w:top w:w="70" w:type="dxa"/>
              <w:bottom w:w="70" w:type="dxa"/>
              <w:left w:w="100" w:type="dxa"/>
              <w:right w:w="100" w:type="dxa"/>
            </w:tcMar>
          </w:tcPr>
          <w:p>
            <w:pPr>
              <w:spacing w:after="0"/>
              <w:jc w:val="left"/>
            </w:pPr>
            <w:r>
              <w:rPr>
                <w:rFonts w:ascii="Calibri" w:hAnsi="Calibri"/>
                <w:b/>
                <w:color w:val="212529"/>
                <w:sz w:val="17"/>
              </w:rPr>
              <w:t>moments</w:t>
            </w:r>
          </w:p>
        </w:tc>
        <w:tc>
          <w:tcPr>
            <w:tcW w:type="dxa" w:w="2160"/>
            <w:shd w:fill="FFFFFF"/>
            <w:tcMar>
              <w:top w:w="70" w:type="dxa"/>
              <w:bottom w:w="70" w:type="dxa"/>
              <w:left w:w="100" w:type="dxa"/>
              <w:right w:w="100" w:type="dxa"/>
            </w:tcMar>
          </w:tcPr>
          <w:p>
            <w:pPr>
              <w:spacing w:after="0"/>
              <w:jc w:val="left"/>
            </w:pPr>
            <w:r>
              <w:rPr>
                <w:rFonts w:ascii="Calibri" w:hAnsi="Calibri"/>
                <w:b/>
                <w:color w:val="212529"/>
                <w:sz w:val="17"/>
              </w:rPr>
              <w:t>0.14.1</w:t>
            </w:r>
          </w:p>
        </w:tc>
        <w:tc>
          <w:tcPr>
            <w:tcW w:type="dxa" w:w="5040"/>
            <w:shd w:fill="FFFFFF"/>
            <w:tcMar>
              <w:top w:w="70" w:type="dxa"/>
              <w:bottom w:w="70" w:type="dxa"/>
              <w:left w:w="100" w:type="dxa"/>
              <w:right w:w="100" w:type="dxa"/>
            </w:tcMar>
          </w:tcPr>
          <w:p>
            <w:pPr>
              <w:spacing w:after="0"/>
              <w:jc w:val="left"/>
            </w:pPr>
            <w:r>
              <w:rPr>
                <w:rFonts w:ascii="Calibri" w:hAnsi="Calibri"/>
                <w:b w:val="0"/>
                <w:color w:val="212529"/>
                <w:sz w:val="17"/>
              </w:rPr>
              <w:t>Higher-order skewness and kurtosis calculations</w:t>
            </w:r>
          </w:p>
        </w:tc>
      </w:tr>
      <w:tr>
        <w:tc>
          <w:tcPr>
            <w:tcW w:type="dxa" w:w="2160"/>
            <w:shd w:fill="F8F9FA"/>
            <w:tcMar>
              <w:top w:w="70" w:type="dxa"/>
              <w:bottom w:w="70" w:type="dxa"/>
              <w:left w:w="100" w:type="dxa"/>
              <w:right w:w="100" w:type="dxa"/>
            </w:tcMar>
          </w:tcPr>
          <w:p>
            <w:pPr>
              <w:spacing w:after="0"/>
              <w:jc w:val="left"/>
            </w:pPr>
            <w:r>
              <w:rPr>
                <w:rFonts w:ascii="Calibri" w:hAnsi="Calibri"/>
                <w:b/>
                <w:color w:val="212529"/>
                <w:sz w:val="17"/>
              </w:rPr>
              <w:t>car</w:t>
            </w:r>
          </w:p>
        </w:tc>
        <w:tc>
          <w:tcPr>
            <w:tcW w:type="dxa" w:w="2160"/>
            <w:shd w:fill="F8F9FA"/>
            <w:tcMar>
              <w:top w:w="70" w:type="dxa"/>
              <w:bottom w:w="70" w:type="dxa"/>
              <w:left w:w="100" w:type="dxa"/>
              <w:right w:w="100" w:type="dxa"/>
            </w:tcMar>
          </w:tcPr>
          <w:p>
            <w:pPr>
              <w:spacing w:after="0"/>
              <w:jc w:val="left"/>
            </w:pPr>
            <w:r>
              <w:rPr>
                <w:rFonts w:ascii="Calibri" w:hAnsi="Calibri"/>
                <w:b/>
                <w:color w:val="212529"/>
                <w:sz w:val="17"/>
              </w:rPr>
              <w:t>3.1.5</w:t>
            </w:r>
          </w:p>
        </w:tc>
        <w:tc>
          <w:tcPr>
            <w:tcW w:type="dxa" w:w="5040"/>
            <w:shd w:fill="F8F9FA"/>
            <w:tcMar>
              <w:top w:w="70" w:type="dxa"/>
              <w:bottom w:w="70" w:type="dxa"/>
              <w:left w:w="100" w:type="dxa"/>
              <w:right w:w="100" w:type="dxa"/>
            </w:tcMar>
          </w:tcPr>
          <w:p>
            <w:pPr>
              <w:spacing w:after="0"/>
              <w:jc w:val="left"/>
            </w:pPr>
            <w:r>
              <w:rPr>
                <w:rFonts w:ascii="Calibri" w:hAnsi="Calibri"/>
                <w:b w:val="0"/>
                <w:color w:val="212529"/>
                <w:sz w:val="17"/>
              </w:rPr>
              <w:t>Companion to Applied Regression (GVIF diagnostics)</w:t>
            </w:r>
          </w:p>
        </w:tc>
      </w:tr>
      <w:tr>
        <w:tc>
          <w:tcPr>
            <w:tcW w:type="dxa" w:w="2160"/>
            <w:shd w:fill="FFFFFF"/>
            <w:tcMar>
              <w:top w:w="70" w:type="dxa"/>
              <w:bottom w:w="70" w:type="dxa"/>
              <w:left w:w="100" w:type="dxa"/>
              <w:right w:w="100" w:type="dxa"/>
            </w:tcMar>
          </w:tcPr>
          <w:p>
            <w:pPr>
              <w:spacing w:after="0"/>
              <w:jc w:val="left"/>
            </w:pPr>
            <w:r>
              <w:rPr>
                <w:rFonts w:ascii="Calibri" w:hAnsi="Calibri"/>
                <w:b/>
                <w:color w:val="212529"/>
                <w:sz w:val="17"/>
              </w:rPr>
              <w:t>glmnet</w:t>
            </w:r>
          </w:p>
        </w:tc>
        <w:tc>
          <w:tcPr>
            <w:tcW w:type="dxa" w:w="2160"/>
            <w:shd w:fill="FFFFFF"/>
            <w:tcMar>
              <w:top w:w="70" w:type="dxa"/>
              <w:bottom w:w="70" w:type="dxa"/>
              <w:left w:w="100" w:type="dxa"/>
              <w:right w:w="100" w:type="dxa"/>
            </w:tcMar>
          </w:tcPr>
          <w:p>
            <w:pPr>
              <w:spacing w:after="0"/>
              <w:jc w:val="left"/>
            </w:pPr>
            <w:r>
              <w:rPr>
                <w:rFonts w:ascii="Calibri" w:hAnsi="Calibri"/>
                <w:b/>
                <w:color w:val="212529"/>
                <w:sz w:val="17"/>
              </w:rPr>
              <w:t>5.1</w:t>
            </w:r>
          </w:p>
        </w:tc>
        <w:tc>
          <w:tcPr>
            <w:tcW w:type="dxa" w:w="5040"/>
            <w:shd w:fill="FFFFFF"/>
            <w:tcMar>
              <w:top w:w="70" w:type="dxa"/>
              <w:bottom w:w="70" w:type="dxa"/>
              <w:left w:w="100" w:type="dxa"/>
              <w:right w:w="100" w:type="dxa"/>
            </w:tcMar>
          </w:tcPr>
          <w:p>
            <w:pPr>
              <w:spacing w:after="0"/>
              <w:jc w:val="left"/>
            </w:pPr>
            <w:r>
              <w:rPr>
                <w:rFonts w:ascii="Calibri" w:hAnsi="Calibri"/>
                <w:b w:val="0"/>
                <w:color w:val="212529"/>
                <w:sz w:val="17"/>
              </w:rPr>
              <w:t>Elastic-net and lasso regularized generalized linear models</w:t>
            </w:r>
          </w:p>
        </w:tc>
      </w:tr>
      <w:tr>
        <w:tc>
          <w:tcPr>
            <w:tcW w:type="dxa" w:w="2160"/>
            <w:shd w:fill="F8F9FA"/>
            <w:tcMar>
              <w:top w:w="70" w:type="dxa"/>
              <w:bottom w:w="70" w:type="dxa"/>
              <w:left w:w="100" w:type="dxa"/>
              <w:right w:w="100" w:type="dxa"/>
            </w:tcMar>
          </w:tcPr>
          <w:p>
            <w:pPr>
              <w:spacing w:after="0"/>
              <w:jc w:val="left"/>
            </w:pPr>
            <w:r>
              <w:rPr>
                <w:rFonts w:ascii="Calibri" w:hAnsi="Calibri"/>
                <w:b/>
                <w:color w:val="212529"/>
                <w:sz w:val="17"/>
              </w:rPr>
              <w:t>pROC</w:t>
            </w:r>
          </w:p>
        </w:tc>
        <w:tc>
          <w:tcPr>
            <w:tcW w:type="dxa" w:w="2160"/>
            <w:shd w:fill="F8F9FA"/>
            <w:tcMar>
              <w:top w:w="70" w:type="dxa"/>
              <w:bottom w:w="70" w:type="dxa"/>
              <w:left w:w="100" w:type="dxa"/>
              <w:right w:w="100" w:type="dxa"/>
            </w:tcMar>
          </w:tcPr>
          <w:p>
            <w:pPr>
              <w:spacing w:after="0"/>
              <w:jc w:val="left"/>
            </w:pPr>
            <w:r>
              <w:rPr>
                <w:rFonts w:ascii="Calibri" w:hAnsi="Calibri"/>
                <w:b/>
                <w:color w:val="212529"/>
                <w:sz w:val="17"/>
              </w:rPr>
              <w:t>1.19.1</w:t>
            </w:r>
          </w:p>
        </w:tc>
        <w:tc>
          <w:tcPr>
            <w:tcW w:type="dxa" w:w="5040"/>
            <w:shd w:fill="F8F9FA"/>
            <w:tcMar>
              <w:top w:w="70" w:type="dxa"/>
              <w:bottom w:w="70" w:type="dxa"/>
              <w:left w:w="100" w:type="dxa"/>
              <w:right w:w="100" w:type="dxa"/>
            </w:tcMar>
          </w:tcPr>
          <w:p>
            <w:pPr>
              <w:spacing w:after="0"/>
              <w:jc w:val="left"/>
            </w:pPr>
            <w:r>
              <w:rPr>
                <w:rFonts w:ascii="Calibri" w:hAnsi="Calibri"/>
                <w:b w:val="0"/>
                <w:color w:val="212529"/>
                <w:sz w:val="17"/>
              </w:rPr>
              <w:t>Receiver Operating Characteristic curve analysis and AUC</w:t>
            </w:r>
          </w:p>
        </w:tc>
      </w:tr>
      <w:tr>
        <w:tc>
          <w:tcPr>
            <w:tcW w:type="dxa" w:w="2160"/>
            <w:shd w:fill="FFFFFF"/>
            <w:tcMar>
              <w:top w:w="70" w:type="dxa"/>
              <w:bottom w:w="70" w:type="dxa"/>
              <w:left w:w="100" w:type="dxa"/>
              <w:right w:w="100" w:type="dxa"/>
            </w:tcMar>
          </w:tcPr>
          <w:p>
            <w:pPr>
              <w:spacing w:after="0"/>
              <w:jc w:val="left"/>
            </w:pPr>
            <w:r>
              <w:rPr>
                <w:rFonts w:ascii="Calibri" w:hAnsi="Calibri"/>
                <w:b/>
                <w:color w:val="212529"/>
                <w:sz w:val="17"/>
              </w:rPr>
              <w:t>python-docx</w:t>
            </w:r>
          </w:p>
        </w:tc>
        <w:tc>
          <w:tcPr>
            <w:tcW w:type="dxa" w:w="2160"/>
            <w:shd w:fill="FFFFFF"/>
            <w:tcMar>
              <w:top w:w="70" w:type="dxa"/>
              <w:bottom w:w="70" w:type="dxa"/>
              <w:left w:w="100" w:type="dxa"/>
              <w:right w:w="100" w:type="dxa"/>
            </w:tcMar>
          </w:tcPr>
          <w:p>
            <w:pPr>
              <w:spacing w:after="0"/>
              <w:jc w:val="left"/>
            </w:pPr>
            <w:r>
              <w:rPr>
                <w:rFonts w:ascii="Calibri" w:hAnsi="Calibri"/>
                <w:b/>
                <w:color w:val="212529"/>
                <w:sz w:val="17"/>
              </w:rPr>
              <w:t>1.2.0</w:t>
            </w:r>
          </w:p>
        </w:tc>
        <w:tc>
          <w:tcPr>
            <w:tcW w:type="dxa" w:w="5040"/>
            <w:shd w:fill="FFFFFF"/>
            <w:tcMar>
              <w:top w:w="70" w:type="dxa"/>
              <w:bottom w:w="70" w:type="dxa"/>
              <w:left w:w="100" w:type="dxa"/>
              <w:right w:w="100" w:type="dxa"/>
            </w:tcMar>
          </w:tcPr>
          <w:p>
            <w:pPr>
              <w:spacing w:after="0"/>
              <w:jc w:val="left"/>
            </w:pPr>
            <w:r>
              <w:rPr>
                <w:rFonts w:ascii="Calibri" w:hAnsi="Calibri"/>
                <w:b w:val="0"/>
                <w:color w:val="212529"/>
                <w:sz w:val="17"/>
              </w:rPr>
              <w:t>Programmatic compilation of academic Microsoft Word reports</w:t>
            </w:r>
          </w:p>
        </w:tc>
      </w:tr>
    </w:tbl>
    <w:p>
      <w:pPr>
        <w:spacing w:before="40" w:after="160"/>
      </w:pPr>
      <w:r>
        <w:rPr>
          <w:i/>
          <w:color w:val="6C757D"/>
          <w:sz w:val="17"/>
        </w:rPr>
        <w:t>Table 15.1: Software package inventory and verified version numbers.</w:t>
      </w:r>
    </w:p>
    <w:p>
      <w:pPr>
        <w:pStyle w:val="Heading2"/>
        <w:keepNext/>
        <w:spacing w:before="260" w:after="80"/>
      </w:pPr>
      <w:r>
        <w:rPr>
          <w:rFonts w:ascii="Calibri" w:hAnsi="Calibri"/>
          <w:b/>
          <w:color w:val="465C7A"/>
          <w:sz w:val="26"/>
        </w:rPr>
        <w:t>15.3 Pipeline Execution Instructions</w:t>
      </w:r>
    </w:p>
    <w:p>
      <w:pPr>
        <w:spacing w:after="120" w:line="276" w:lineRule="auto"/>
      </w:pPr>
      <w:r>
        <w:rPr>
          <w:rFonts w:ascii="Calibri" w:hAnsi="Calibri"/>
          <w:color w:val="212529"/>
          <w:sz w:val="21"/>
        </w:rPr>
        <w:t>To replicate the complete four-week analytical pipeline from scratch, execute the following commands in order:</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50" w:type="dxa"/>
              <w:right w:w="140" w:type="dxa"/>
            </w:tcMar>
            <w:tcBorders>
              <w:top w:val="single" w:sz="4" w:space="0" w:color="D0D7DE"/>
              <w:bottom w:val="single" w:sz="4" w:space="0" w:color="D0D7DE"/>
              <w:right w:val="single" w:sz="4" w:space="0" w:color="D0D7DE"/>
              <w:left w:val="single" w:sz="24" w:space="0" w:color="1B365D"/>
            </w:tcBorders>
          </w:tcPr>
          <w:p>
            <w:pPr>
              <w:spacing w:after="0" w:line="252" w:lineRule="auto"/>
            </w:pPr>
            <w:r>
              <w:rPr>
                <w:rFonts w:ascii="Consolas" w:hAnsi="Consolas"/>
                <w:color w:val="282C34"/>
                <w:sz w:val="17"/>
              </w:rPr>
              <w:t># 1. Clone repository and navigate to root directory</w:t>
              <w:br/>
              <w:t>git clone https://github.com/G1OUL/week-1-r-data-cleaning-analysis.git</w:t>
              <w:br/>
              <w:t>cd week-1-r-data-cleaning-analysis</w:t>
              <w:br/>
              <w:br/>
              <w:t># 2. Execute full 13-script R pipeline (Weeks 1, 2, and 3)</w:t>
              <w:br/>
              <w:t>Rscript run_all.R</w:t>
              <w:br/>
              <w:br/>
              <w:t># 3. Generate Week 4 Final Comprehensive Integrated Report (.docx)</w:t>
              <w:br/>
              <w:t>python report/generate_week4_report.py</w:t>
            </w:r>
          </w:p>
        </w:tc>
      </w:tr>
    </w:tbl>
    <w:p>
      <w:pPr>
        <w:spacing w:before="40" w:after="120"/>
      </w:pPr>
      <w:r>
        <w:rPr>
          <w:rFonts w:ascii="Calibri" w:hAnsi="Calibri"/>
          <w:i/>
          <w:color w:val="6C757D"/>
          <w:sz w:val="17"/>
        </w:rPr>
        <w:t>Code Listing: Command-line instructions for full end-to-end pipeline execution.</w:t>
      </w:r>
    </w:p>
    <w:p>
      <w:pPr>
        <w:pStyle w:val="Heading2"/>
        <w:keepNext/>
        <w:spacing w:before="260" w:after="80"/>
      </w:pPr>
      <w:r>
        <w:rPr>
          <w:rFonts w:ascii="Calibri" w:hAnsi="Calibri"/>
          <w:b/>
          <w:color w:val="465C7A"/>
          <w:sz w:val="26"/>
        </w:rPr>
        <w:t>15.4 Glossary of Statistical and Machine Learning Terms</w:t>
      </w:r>
    </w:p>
    <w:p>
      <w:pPr>
        <w:pStyle w:val="ListBullet"/>
        <w:spacing w:after="60" w:line="276" w:lineRule="auto"/>
      </w:pPr>
      <w:r>
        <w:rPr>
          <w:rFonts w:ascii="Calibri" w:hAnsi="Calibri"/>
          <w:b/>
          <w:color w:val="212529"/>
          <w:sz w:val="20"/>
        </w:rPr>
        <w:t xml:space="preserve">Cramer's V: </w:t>
      </w:r>
      <w:r>
        <w:rPr>
          <w:rFonts w:ascii="Calibri" w:hAnsi="Calibri"/>
          <w:color w:val="212529"/>
          <w:sz w:val="20"/>
        </w:rPr>
        <w:t>A standardized measure of association between two nominal categorical variables, ranging from 0 (independence) to 1 (complete association).</w:t>
      </w:r>
    </w:p>
    <w:p>
      <w:pPr>
        <w:pStyle w:val="ListBullet"/>
        <w:spacing w:after="60" w:line="276" w:lineRule="auto"/>
      </w:pPr>
      <w:r>
        <w:rPr>
          <w:rFonts w:ascii="Calibri" w:hAnsi="Calibri"/>
          <w:b/>
          <w:color w:val="212529"/>
          <w:sz w:val="20"/>
        </w:rPr>
        <w:t xml:space="preserve">Cohen's d: </w:t>
      </w:r>
      <w:r>
        <w:rPr>
          <w:rFonts w:ascii="Calibri" w:hAnsi="Calibri"/>
          <w:color w:val="212529"/>
          <w:sz w:val="20"/>
        </w:rPr>
        <w:t>Standardized difference between two group means, expressed in units of pooled standard deviations. Values of 0.2, 0.5, and 0.8 represent small, medium, and large effects.</w:t>
      </w:r>
    </w:p>
    <w:p>
      <w:pPr>
        <w:pStyle w:val="ListBullet"/>
        <w:spacing w:after="60" w:line="276" w:lineRule="auto"/>
      </w:pPr>
      <w:r>
        <w:rPr>
          <w:rFonts w:ascii="Calibri" w:hAnsi="Calibri"/>
          <w:b/>
          <w:color w:val="212529"/>
          <w:sz w:val="20"/>
        </w:rPr>
        <w:t xml:space="preserve">Generalized VIF (GVIF): </w:t>
      </w:r>
      <w:r>
        <w:rPr>
          <w:rFonts w:ascii="Calibri" w:hAnsi="Calibri"/>
          <w:color w:val="212529"/>
          <w:sz w:val="20"/>
        </w:rPr>
        <w:t>Variance Inflation Factor extended to multi-degree-of-freedom categorical variables. GVIF^(1/(2*Df)) &lt; 2.0 indicates the absence of harmful multicollinearity.</w:t>
      </w:r>
    </w:p>
    <w:p>
      <w:pPr>
        <w:pStyle w:val="ListBullet"/>
        <w:spacing w:after="60" w:line="276" w:lineRule="auto"/>
      </w:pPr>
      <w:r>
        <w:rPr>
          <w:rFonts w:ascii="Calibri" w:hAnsi="Calibri"/>
          <w:b/>
          <w:color w:val="212529"/>
          <w:sz w:val="20"/>
        </w:rPr>
        <w:t xml:space="preserve">Odds Ratio (OR): </w:t>
      </w:r>
      <w:r>
        <w:rPr>
          <w:rFonts w:ascii="Calibri" w:hAnsi="Calibri"/>
          <w:color w:val="212529"/>
          <w:sz w:val="20"/>
        </w:rPr>
        <w:t>Exponentiated logistic regression coefficient exp(beta). Represents the multiplicative change in the odds of the outcome associated with a one-unit increase in the predictor.</w:t>
      </w:r>
    </w:p>
    <w:p>
      <w:pPr>
        <w:pStyle w:val="ListBullet"/>
        <w:spacing w:after="60" w:line="276" w:lineRule="auto"/>
      </w:pPr>
      <w:r>
        <w:rPr>
          <w:rFonts w:ascii="Calibri" w:hAnsi="Calibri"/>
          <w:b/>
          <w:color w:val="212529"/>
          <w:sz w:val="20"/>
        </w:rPr>
        <w:t xml:space="preserve">ROC-AUC: </w:t>
      </w:r>
      <w:r>
        <w:rPr>
          <w:rFonts w:ascii="Calibri" w:hAnsi="Calibri"/>
          <w:color w:val="212529"/>
          <w:sz w:val="20"/>
        </w:rPr>
        <w:t>Area Under the Receiver Operating Characteristic Curve. Measures discrimination across all possible classification thresholds, ranging from 0.5 (random chance) to 1.0 (perfect discrimination).</w:t>
      </w:r>
    </w:p>
    <w:p>
      <w:pPr>
        <w:pStyle w:val="ListBullet"/>
        <w:spacing w:after="60" w:line="276" w:lineRule="auto"/>
      </w:pPr>
      <w:r>
        <w:rPr>
          <w:rFonts w:ascii="Calibri" w:hAnsi="Calibri"/>
          <w:b/>
          <w:color w:val="212529"/>
          <w:sz w:val="20"/>
        </w:rPr>
        <w:t xml:space="preserve">PR-AUC: </w:t>
      </w:r>
      <w:r>
        <w:rPr>
          <w:rFonts w:ascii="Calibri" w:hAnsi="Calibri"/>
          <w:color w:val="212529"/>
          <w:sz w:val="20"/>
        </w:rPr>
        <w:t>Area Under the Precision-Recall Curve. Evaluates positive-class predictive quality under severe class imbalance; benchmarks against the empirical positive class prevalence (24.09%).</w:t>
      </w:r>
    </w:p>
    <w:p>
      <w:pPr>
        <w:pStyle w:val="ListBullet"/>
        <w:spacing w:after="60" w:line="276" w:lineRule="auto"/>
      </w:pPr>
      <w:r>
        <w:rPr>
          <w:rFonts w:ascii="Calibri" w:hAnsi="Calibri"/>
          <w:b/>
          <w:color w:val="212529"/>
          <w:sz w:val="20"/>
        </w:rPr>
        <w:t xml:space="preserve">False Discovery Rate (FDR): </w:t>
      </w:r>
      <w:r>
        <w:rPr>
          <w:rFonts w:ascii="Calibri" w:hAnsi="Calibri"/>
          <w:color w:val="212529"/>
          <w:sz w:val="20"/>
        </w:rPr>
        <w:t>The expected proportion of false positive findings among all rejected null hypotheses. Controlled via the Benjamini-Hochberg procedure.</w:t>
      </w:r>
    </w:p>
    <w:p>
      <w:pPr>
        <w:pStyle w:val="Heading1"/>
        <w:keepNext/>
        <w:spacing w:before="360" w:after="120"/>
      </w:pPr>
      <w:r>
        <w:rPr>
          <w:rFonts w:ascii="Calibri" w:hAnsi="Calibri"/>
          <w:b/>
          <w:color w:val="1B365D"/>
          <w:sz w:val="32"/>
        </w:rPr>
        <w:t>Section 16 — References</w:t>
      </w:r>
    </w:p>
    <w:p>
      <w:pPr>
        <w:spacing w:after="80"/>
        <w:ind w:left="576" w:hanging="576"/>
      </w:pPr>
      <w:r>
        <w:rPr>
          <w:rFonts w:ascii="Calibri" w:hAnsi="Calibri"/>
          <w:color w:val="212529"/>
          <w:sz w:val="19"/>
        </w:rPr>
        <w:t>Becker, G. S. (1964). Human Capital: A Theoretical and Empirical Analysis, with Special Reference to Education. National Bureau of Economic Research, New York.</w:t>
      </w:r>
    </w:p>
    <w:p>
      <w:pPr>
        <w:spacing w:after="80"/>
        <w:ind w:left="576" w:hanging="576"/>
      </w:pPr>
      <w:r>
        <w:rPr>
          <w:rFonts w:ascii="Calibri" w:hAnsi="Calibri"/>
          <w:color w:val="212529"/>
          <w:sz w:val="19"/>
        </w:rPr>
        <w:t>Benjamini, Y., &amp; Hochberg, Y. (1995). Controlling the false discovery rate: A practical and powerful approach to multiple testing. Journal of the Royal Statistical Society: Series B (Methodological), 57(1), 289-300.</w:t>
      </w:r>
    </w:p>
    <w:p>
      <w:pPr>
        <w:spacing w:after="80"/>
        <w:ind w:left="576" w:hanging="576"/>
      </w:pPr>
      <w:r>
        <w:rPr>
          <w:rFonts w:ascii="Calibri" w:hAnsi="Calibri"/>
          <w:color w:val="212529"/>
          <w:sz w:val="19"/>
        </w:rPr>
        <w:t>Cohen, J. (1988). Statistical Power Analysis for the Behavioral Sciences (2nd ed.). Lawrence Erlbaum Associates, Hillsdale, NJ.</w:t>
      </w:r>
    </w:p>
    <w:p>
      <w:pPr>
        <w:spacing w:after="80"/>
        <w:ind w:left="576" w:hanging="576"/>
      </w:pPr>
      <w:r>
        <w:rPr>
          <w:rFonts w:ascii="Calibri" w:hAnsi="Calibri"/>
          <w:color w:val="212529"/>
          <w:sz w:val="19"/>
        </w:rPr>
        <w:t>Cramer, H. (1946). Mathematical Methods of Statistics. Princeton University Press, Princeton, NJ.</w:t>
      </w:r>
    </w:p>
    <w:p>
      <w:pPr>
        <w:spacing w:after="80"/>
        <w:ind w:left="576" w:hanging="576"/>
      </w:pPr>
      <w:r>
        <w:rPr>
          <w:rFonts w:ascii="Calibri" w:hAnsi="Calibri"/>
          <w:color w:val="212529"/>
          <w:sz w:val="19"/>
        </w:rPr>
        <w:t>Fox, J., &amp; Weisberg, S. (2019). An R Companion to Applied Regression (3rd ed.). Sage Publications, Thousand Oaks, CA.</w:t>
      </w:r>
    </w:p>
    <w:p>
      <w:pPr>
        <w:spacing w:after="80"/>
        <w:ind w:left="576" w:hanging="576"/>
      </w:pPr>
      <w:r>
        <w:rPr>
          <w:rFonts w:ascii="Calibri" w:hAnsi="Calibri"/>
          <w:color w:val="212529"/>
          <w:sz w:val="19"/>
        </w:rPr>
        <w:t>Friedman, J., Hastie, T., &amp; Tibshirani, R. (2010). Regularization paths for generalized linear models via coordinate descent. Journal of Statistical Software, 33(1), 1-22.</w:t>
      </w:r>
    </w:p>
    <w:p>
      <w:pPr>
        <w:spacing w:after="80"/>
        <w:ind w:left="576" w:hanging="576"/>
      </w:pPr>
      <w:r>
        <w:rPr>
          <w:rFonts w:ascii="Calibri" w:hAnsi="Calibri"/>
          <w:color w:val="212529"/>
          <w:sz w:val="19"/>
        </w:rPr>
        <w:t>Kohavi, R., &amp; Becker, B. (1996). Adult Data Set. UCI Machine Learning Repository. Available: https://archive.ics.uci.edu/dataset/2/adult</w:t>
      </w:r>
    </w:p>
    <w:p>
      <w:pPr>
        <w:spacing w:after="80"/>
        <w:ind w:left="576" w:hanging="576"/>
      </w:pPr>
      <w:r>
        <w:rPr>
          <w:rFonts w:ascii="Calibri" w:hAnsi="Calibri"/>
          <w:color w:val="212529"/>
          <w:sz w:val="19"/>
        </w:rPr>
        <w:t>Mincer, J. (1974). Schooling, Experience, and Earnings. National Bureau of Economic Research, New York.</w:t>
      </w:r>
    </w:p>
    <w:p>
      <w:pPr>
        <w:spacing w:after="80"/>
        <w:ind w:left="576" w:hanging="576"/>
      </w:pPr>
      <w:r>
        <w:rPr>
          <w:rFonts w:ascii="Calibri" w:hAnsi="Calibri"/>
          <w:color w:val="212529"/>
          <w:sz w:val="19"/>
        </w:rPr>
        <w:t>R Core Team. (2026). R: A Language and Environment for Statistical Computing. R Foundation for Statistical Computing, Vienna, Austria. Available: https://www.R-project.org/</w:t>
      </w:r>
    </w:p>
    <w:p>
      <w:pPr>
        <w:spacing w:after="80"/>
        <w:ind w:left="576" w:hanging="576"/>
      </w:pPr>
      <w:r>
        <w:rPr>
          <w:rFonts w:ascii="Calibri" w:hAnsi="Calibri"/>
          <w:color w:val="212529"/>
          <w:sz w:val="19"/>
        </w:rPr>
        <w:t>Robin, X., Turck, N., Hainard, A., Tiberti, N., Lisacek, F., Sanchez, J. C., &amp; Muller, M. (2011). pROC: An open-source package for R and S+ to analyze and compare ROC curves. BMC Bioinformatics, 12, 77.</w:t>
      </w:r>
    </w:p>
    <w:p>
      <w:pPr>
        <w:spacing w:after="80"/>
        <w:ind w:left="576" w:hanging="576"/>
      </w:pPr>
      <w:r>
        <w:rPr>
          <w:rFonts w:ascii="Calibri" w:hAnsi="Calibri"/>
          <w:color w:val="212529"/>
          <w:sz w:val="19"/>
        </w:rPr>
        <w:t>Tufte, E. R. (2001). The Visual Display of Quantitative Information (2nd ed.). Graphics Press, Cheshire, CT.</w:t>
      </w:r>
    </w:p>
    <w:p>
      <w:pPr>
        <w:spacing w:after="80"/>
        <w:ind w:left="576" w:hanging="576"/>
      </w:pPr>
      <w:r>
        <w:rPr>
          <w:rFonts w:ascii="Calibri" w:hAnsi="Calibri"/>
          <w:color w:val="212529"/>
          <w:sz w:val="19"/>
        </w:rPr>
        <w:t>Wickham, H. (2016). ggplot2: Elegant Graphics for Data Analysis. Springer-Verlag, New York.</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C757D"/>
        <w:sz w:val="17"/>
      </w:rPr>
      <w:t xml:space="preserve">Academic Report | Comprehensive Data Analysis &amp; Predictive Modeling | 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7"/>
      </w:rPr>
      <w:t>UCI Adult Census Income — Week 4: Comprehensive Data Analysis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