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160"/>
      </w:pPr>
      <w:r>
        <w:rPr>
          <w:rFonts w:ascii="Calibri" w:hAnsi="Calibri"/>
          <w:b/>
          <w:color w:val="1B365D"/>
          <w:sz w:val="50"/>
        </w:rPr>
        <w:t>STATISTICAL ANALYSIS AND PREDICTIVE MODELING USING R</w:t>
      </w:r>
    </w:p>
    <w:p>
      <w:pPr>
        <w:spacing w:after="360"/>
      </w:pPr>
      <w:r>
        <w:rPr>
          <w:rFonts w:ascii="Calibri" w:hAnsi="Calibri"/>
          <w:color w:val="465C7A"/>
          <w:sz w:val="26"/>
        </w:rPr>
        <w:t>Parametric &amp; Non-Parametric Hypothesis Testing, Logistic Regression, Elastic Net Regularization, Model Diagnostics, and Empirical Validation on the UCI Adult Census Income Dataset</w:t>
      </w:r>
    </w:p>
    <w:p>
      <w:pPr>
        <w:spacing w:after="560"/>
      </w:pPr>
      <w:r>
        <w:rPr>
          <w:color w:val="465C7A"/>
        </w:rPr>
        <w:t>――――――――――――――――――――――――――――――――――――――――――――――――――――――――――</w:t>
      </w:r>
    </w:p>
    <w:tbl>
      <w:tblPr>
        <w:tblW w:type="auto" w:w="0"/>
        <w:jc w:val="center"/>
        <w:tblLook w:firstColumn="1" w:firstRow="1" w:lastColumn="0" w:lastRow="0" w:noHBand="0" w:noVBand="1" w:val="04A0"/>
        <w:tblBorders>
          <w:top w:val="single" w:sz="6" w:space="0" w:color="D0D7DE"/>
          <w:bottom w:val="single" w:sz="8" w:space="0" w:color="D0D7DE"/>
          <w:insideH w:val="single" w:sz="4" w:space="0" w:color="D0D7DE"/>
          <w:insideV w:val="none"/>
          <w:left w:val="none"/>
          <w:right w:val="none"/>
        </w:tblBorders>
      </w:tblPr>
      <w:tblGrid>
        <w:gridCol w:w="4680"/>
        <w:gridCol w:w="4680"/>
      </w:tblGrid>
      <w:tr>
        <w:tc>
          <w:tcPr>
            <w:tcW w:type="dxa" w:w="3168"/>
            <w:shd w:fill="F0F4F8"/>
            <w:tcMar>
              <w:top w:w="80" w:type="dxa"/>
              <w:bottom w:w="80" w:type="dxa"/>
              <w:left w:w="120" w:type="dxa"/>
              <w:right w:w="120" w:type="dxa"/>
            </w:tcMar>
          </w:tcPr>
          <w:p>
            <w:pPr>
              <w:spacing w:after="0"/>
              <w:jc w:val="left"/>
            </w:pPr>
            <w:r>
              <w:rPr>
                <w:rFonts w:ascii="Calibri" w:hAnsi="Calibri"/>
                <w:b/>
                <w:color w:val="212529"/>
                <w:sz w:val="18"/>
              </w:rPr>
              <w:t>Course / Module</w:t>
            </w:r>
          </w:p>
        </w:tc>
        <w:tc>
          <w:tcPr>
            <w:tcW w:type="dxa" w:w="6192"/>
            <w:shd w:fill="FFFFFF"/>
            <w:tcMar>
              <w:top w:w="80" w:type="dxa"/>
              <w:bottom w:w="80" w:type="dxa"/>
              <w:left w:w="120" w:type="dxa"/>
              <w:right w:w="120" w:type="dxa"/>
            </w:tcMar>
          </w:tcPr>
          <w:p>
            <w:pPr>
              <w:spacing w:after="0"/>
              <w:jc w:val="left"/>
            </w:pPr>
            <w:r>
              <w:rPr>
                <w:rFonts w:ascii="Calibri" w:hAnsi="Calibri"/>
                <w:b w:val="0"/>
                <w:color w:val="212529"/>
                <w:sz w:val="18"/>
              </w:rPr>
              <w:t>Week 3: Advanced Statistical Modeling &amp; Machine Learning in R</w:t>
            </w:r>
          </w:p>
        </w:tc>
      </w:tr>
      <w:tr>
        <w:tc>
          <w:tcPr>
            <w:tcW w:type="dxa" w:w="3168"/>
            <w:shd w:fill="F0F4F8"/>
            <w:tcMar>
              <w:top w:w="80" w:type="dxa"/>
              <w:bottom w:w="80" w:type="dxa"/>
              <w:left w:w="120" w:type="dxa"/>
              <w:right w:w="120" w:type="dxa"/>
            </w:tcMar>
          </w:tcPr>
          <w:p>
            <w:pPr>
              <w:spacing w:after="0"/>
              <w:jc w:val="left"/>
            </w:pPr>
            <w:r>
              <w:rPr>
                <w:rFonts w:ascii="Calibri" w:hAnsi="Calibri"/>
                <w:b/>
                <w:color w:val="212529"/>
                <w:sz w:val="18"/>
              </w:rPr>
              <w:t>Project Scope</w:t>
            </w:r>
          </w:p>
        </w:tc>
        <w:tc>
          <w:tcPr>
            <w:tcW w:type="dxa" w:w="6192"/>
            <w:shd w:fill="FFFFFF"/>
            <w:tcMar>
              <w:top w:w="80" w:type="dxa"/>
              <w:bottom w:w="80" w:type="dxa"/>
              <w:left w:w="120" w:type="dxa"/>
              <w:right w:w="120" w:type="dxa"/>
            </w:tcMar>
          </w:tcPr>
          <w:p>
            <w:pPr>
              <w:spacing w:after="0"/>
              <w:jc w:val="left"/>
            </w:pPr>
            <w:r>
              <w:rPr>
                <w:rFonts w:ascii="Calibri" w:hAnsi="Calibri"/>
                <w:b w:val="0"/>
                <w:color w:val="212529"/>
                <w:sz w:val="18"/>
              </w:rPr>
              <w:t>Formal Hypothesis Testing, Multicollinearity Audits, Binary Classification, and Diagnostic Verification</w:t>
            </w:r>
          </w:p>
        </w:tc>
      </w:tr>
      <w:tr>
        <w:tc>
          <w:tcPr>
            <w:tcW w:type="dxa" w:w="3168"/>
            <w:shd w:fill="F0F4F8"/>
            <w:tcMar>
              <w:top w:w="80" w:type="dxa"/>
              <w:bottom w:w="80" w:type="dxa"/>
              <w:left w:w="120" w:type="dxa"/>
              <w:right w:w="120" w:type="dxa"/>
            </w:tcMar>
          </w:tcPr>
          <w:p>
            <w:pPr>
              <w:spacing w:after="0"/>
              <w:jc w:val="left"/>
            </w:pPr>
            <w:r>
              <w:rPr>
                <w:rFonts w:ascii="Calibri" w:hAnsi="Calibri"/>
                <w:b/>
                <w:color w:val="212529"/>
                <w:sz w:val="18"/>
              </w:rPr>
              <w:t>Primary Dataset</w:t>
            </w:r>
          </w:p>
        </w:tc>
        <w:tc>
          <w:tcPr>
            <w:tcW w:type="dxa" w:w="6192"/>
            <w:shd w:fill="FFFFFF"/>
            <w:tcMar>
              <w:top w:w="80" w:type="dxa"/>
              <w:bottom w:w="80" w:type="dxa"/>
              <w:left w:w="120" w:type="dxa"/>
              <w:right w:w="120" w:type="dxa"/>
            </w:tcMar>
          </w:tcPr>
          <w:p>
            <w:pPr>
              <w:spacing w:after="0"/>
              <w:jc w:val="left"/>
            </w:pPr>
            <w:r>
              <w:rPr>
                <w:rFonts w:ascii="Calibri" w:hAnsi="Calibri"/>
                <w:b w:val="0"/>
                <w:color w:val="212529"/>
                <w:sz w:val="18"/>
              </w:rPr>
              <w:t>1994 U.S. Census Bureau Current Population Survey (UCI Adult Dataset)</w:t>
            </w:r>
          </w:p>
        </w:tc>
      </w:tr>
      <w:tr>
        <w:tc>
          <w:tcPr>
            <w:tcW w:type="dxa" w:w="3168"/>
            <w:shd w:fill="F0F4F8"/>
            <w:tcMar>
              <w:top w:w="80" w:type="dxa"/>
              <w:bottom w:w="80" w:type="dxa"/>
              <w:left w:w="120" w:type="dxa"/>
              <w:right w:w="120" w:type="dxa"/>
            </w:tcMar>
          </w:tcPr>
          <w:p>
            <w:pPr>
              <w:spacing w:after="0"/>
              <w:jc w:val="left"/>
            </w:pPr>
            <w:r>
              <w:rPr>
                <w:rFonts w:ascii="Calibri" w:hAnsi="Calibri"/>
                <w:b/>
                <w:color w:val="212529"/>
                <w:sz w:val="18"/>
              </w:rPr>
              <w:t>Target Variable</w:t>
            </w:r>
          </w:p>
        </w:tc>
        <w:tc>
          <w:tcPr>
            <w:tcW w:type="dxa" w:w="6192"/>
            <w:shd w:fill="FFFFFF"/>
            <w:tcMar>
              <w:top w:w="80" w:type="dxa"/>
              <w:bottom w:w="80" w:type="dxa"/>
              <w:left w:w="120" w:type="dxa"/>
              <w:right w:w="120" w:type="dxa"/>
            </w:tcMar>
          </w:tcPr>
          <w:p>
            <w:pPr>
              <w:spacing w:after="0"/>
              <w:jc w:val="left"/>
            </w:pPr>
            <w:r>
              <w:rPr>
                <w:rFonts w:ascii="Calibri" w:hAnsi="Calibri"/>
                <w:b w:val="0"/>
                <w:color w:val="212529"/>
                <w:sz w:val="18"/>
              </w:rPr>
              <w:t>Annual Personal Income (&gt;50K vs. &lt;=50K)</w:t>
            </w:r>
          </w:p>
        </w:tc>
      </w:tr>
      <w:tr>
        <w:tc>
          <w:tcPr>
            <w:tcW w:type="dxa" w:w="3168"/>
            <w:shd w:fill="F0F4F8"/>
            <w:tcMar>
              <w:top w:w="80" w:type="dxa"/>
              <w:bottom w:w="80" w:type="dxa"/>
              <w:left w:w="120" w:type="dxa"/>
              <w:right w:w="120" w:type="dxa"/>
            </w:tcMar>
          </w:tcPr>
          <w:p>
            <w:pPr>
              <w:spacing w:after="0"/>
              <w:jc w:val="left"/>
            </w:pPr>
            <w:r>
              <w:rPr>
                <w:rFonts w:ascii="Calibri" w:hAnsi="Calibri"/>
                <w:b/>
                <w:color w:val="212529"/>
                <w:sz w:val="18"/>
              </w:rPr>
              <w:t>Sample Dimensions</w:t>
            </w:r>
          </w:p>
        </w:tc>
        <w:tc>
          <w:tcPr>
            <w:tcW w:type="dxa" w:w="6192"/>
            <w:shd w:fill="FFFFFF"/>
            <w:tcMar>
              <w:top w:w="80" w:type="dxa"/>
              <w:bottom w:w="80" w:type="dxa"/>
              <w:left w:w="120" w:type="dxa"/>
              <w:right w:w="120" w:type="dxa"/>
            </w:tcMar>
          </w:tcPr>
          <w:p>
            <w:pPr>
              <w:spacing w:after="0"/>
              <w:jc w:val="left"/>
            </w:pPr>
            <w:r>
              <w:rPr>
                <w:rFonts w:ascii="Calibri" w:hAnsi="Calibri"/>
                <w:b w:val="0"/>
                <w:color w:val="212529"/>
                <w:sz w:val="18"/>
              </w:rPr>
              <w:t>N = 32,537 Authenticated Cleaned Observations (Train: 26,029 | Test: 6,508)</w:t>
            </w:r>
          </w:p>
        </w:tc>
      </w:tr>
      <w:tr>
        <w:tc>
          <w:tcPr>
            <w:tcW w:type="dxa" w:w="3168"/>
            <w:shd w:fill="F0F4F8"/>
            <w:tcMar>
              <w:top w:w="80" w:type="dxa"/>
              <w:bottom w:w="80" w:type="dxa"/>
              <w:left w:w="120" w:type="dxa"/>
              <w:right w:w="120" w:type="dxa"/>
            </w:tcMar>
          </w:tcPr>
          <w:p>
            <w:pPr>
              <w:spacing w:after="0"/>
              <w:jc w:val="left"/>
            </w:pPr>
            <w:r>
              <w:rPr>
                <w:rFonts w:ascii="Calibri" w:hAnsi="Calibri"/>
                <w:b/>
                <w:color w:val="212529"/>
                <w:sz w:val="18"/>
              </w:rPr>
              <w:t>Software Environment</w:t>
            </w:r>
          </w:p>
        </w:tc>
        <w:tc>
          <w:tcPr>
            <w:tcW w:type="dxa" w:w="6192"/>
            <w:shd w:fill="FFFFFF"/>
            <w:tcMar>
              <w:top w:w="80" w:type="dxa"/>
              <w:bottom w:w="80" w:type="dxa"/>
              <w:left w:w="120" w:type="dxa"/>
              <w:right w:w="120" w:type="dxa"/>
            </w:tcMar>
          </w:tcPr>
          <w:p>
            <w:pPr>
              <w:spacing w:after="0"/>
              <w:jc w:val="left"/>
            </w:pPr>
            <w:r>
              <w:rPr>
                <w:rFonts w:ascii="Calibri" w:hAnsi="Calibri"/>
                <w:b w:val="0"/>
                <w:color w:val="212529"/>
                <w:sz w:val="18"/>
              </w:rPr>
              <w:t>R version 4.6.1 (2026-06-24), Rscript x86_64-w64-mingw32, python-docx 1.2.0</w:t>
            </w:r>
          </w:p>
        </w:tc>
      </w:tr>
      <w:tr>
        <w:tc>
          <w:tcPr>
            <w:tcW w:type="dxa" w:w="3168"/>
            <w:shd w:fill="F0F4F8"/>
            <w:tcMar>
              <w:top w:w="80" w:type="dxa"/>
              <w:bottom w:w="80" w:type="dxa"/>
              <w:left w:w="120" w:type="dxa"/>
              <w:right w:w="120" w:type="dxa"/>
            </w:tcMar>
          </w:tcPr>
          <w:p>
            <w:pPr>
              <w:spacing w:after="0"/>
              <w:jc w:val="left"/>
            </w:pPr>
            <w:r>
              <w:rPr>
                <w:rFonts w:ascii="Calibri" w:hAnsi="Calibri"/>
                <w:b/>
                <w:color w:val="212529"/>
                <w:sz w:val="18"/>
              </w:rPr>
              <w:t>Repository URL</w:t>
            </w:r>
          </w:p>
        </w:tc>
        <w:tc>
          <w:tcPr>
            <w:tcW w:type="dxa" w:w="6192"/>
            <w:shd w:fill="FFFFFF"/>
            <w:tcMar>
              <w:top w:w="80" w:type="dxa"/>
              <w:bottom w:w="80" w:type="dxa"/>
              <w:left w:w="120" w:type="dxa"/>
              <w:right w:w="120" w:type="dxa"/>
            </w:tcMar>
          </w:tcPr>
          <w:p>
            <w:pPr>
              <w:spacing w:after="0"/>
              <w:jc w:val="left"/>
            </w:pPr>
            <w:r>
              <w:rPr>
                <w:rFonts w:ascii="Calibri" w:hAnsi="Calibri"/>
                <w:b w:val="0"/>
                <w:color w:val="212529"/>
                <w:sz w:val="18"/>
              </w:rPr>
              <w:t>https://github.com/G1OUL/week-1-r-data-cleaning-analysis</w:t>
            </w:r>
          </w:p>
        </w:tc>
      </w:tr>
      <w:tr>
        <w:tc>
          <w:tcPr>
            <w:tcW w:type="dxa" w:w="3168"/>
            <w:shd w:fill="F0F4F8"/>
            <w:tcMar>
              <w:top w:w="80" w:type="dxa"/>
              <w:bottom w:w="80" w:type="dxa"/>
              <w:left w:w="120" w:type="dxa"/>
              <w:right w:w="120" w:type="dxa"/>
            </w:tcMar>
          </w:tcPr>
          <w:p>
            <w:pPr>
              <w:spacing w:after="0"/>
              <w:jc w:val="left"/>
            </w:pPr>
            <w:r>
              <w:rPr>
                <w:rFonts w:ascii="Calibri" w:hAnsi="Calibri"/>
                <w:b/>
                <w:color w:val="212529"/>
                <w:sz w:val="18"/>
              </w:rPr>
              <w:t>Date of Publication</w:t>
            </w:r>
          </w:p>
        </w:tc>
        <w:tc>
          <w:tcPr>
            <w:tcW w:type="dxa" w:w="6192"/>
            <w:shd w:fill="FFFFFF"/>
            <w:tcMar>
              <w:top w:w="80" w:type="dxa"/>
              <w:bottom w:w="80" w:type="dxa"/>
              <w:left w:w="120" w:type="dxa"/>
              <w:right w:w="120" w:type="dxa"/>
            </w:tcMar>
          </w:tcPr>
          <w:p>
            <w:pPr>
              <w:spacing w:after="0"/>
              <w:jc w:val="left"/>
            </w:pPr>
            <w:r>
              <w:rPr>
                <w:rFonts w:ascii="Calibri" w:hAnsi="Calibri"/>
                <w:b w:val="0"/>
                <w:color w:val="212529"/>
                <w:sz w:val="18"/>
              </w:rPr>
              <w:t>October 2026</w:t>
            </w:r>
          </w:p>
        </w:tc>
      </w:tr>
    </w:tbl>
    <w:p>
      <w:pPr>
        <w:spacing w:before="72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bottom w:val="none"/>
              <w:right w:val="none"/>
              <w:left w:val="single" w:sz="36" w:space="0" w:color="1B365D"/>
            </w:tcBorders>
          </w:tcPr>
          <w:p>
            <w:pPr>
              <w:spacing w:after="60"/>
            </w:pPr>
            <w:r>
              <w:rPr>
                <w:rFonts w:ascii="Calibri" w:hAnsi="Calibri"/>
                <w:b/>
                <w:color w:val="1B365D"/>
                <w:sz w:val="20"/>
              </w:rPr>
              <w:t xml:space="preserve">[DECLARATION OF REPRODUCIBILITY &amp; SCIENTIFIC INTEGRITY] </w:t>
            </w:r>
            <w:r>
              <w:rPr>
                <w:rFonts w:ascii="Calibri" w:hAnsi="Calibri"/>
                <w:color w:val="212529"/>
                <w:sz w:val="20"/>
              </w:rPr>
              <w:t>This monograph provides a rigorous statistical treatment and machine learning evaluation of the UCI Adult dataset. All descriptive statistics, test statistics, degrees of freedom, p-values (unadjusted and multiple-testing corrected), odds ratios, and classification performance metrics reported herein are directly derived from reproducible R scripts executed under fixed seed (2026) without data snooping or post-hoc data fabrication.</w:t>
            </w:r>
          </w:p>
        </w:tc>
      </w:tr>
    </w:tbl>
    <w:p>
      <w:pPr>
        <w:spacing w:before="0" w:after="120"/>
      </w:pPr>
    </w:p>
    <w:p>
      <w:r>
        <w:br w:type="page"/>
      </w:r>
    </w:p>
    <w:p>
      <w:pPr>
        <w:pStyle w:val="Heading1"/>
        <w:keepNext/>
        <w:spacing w:before="360" w:after="120"/>
      </w:pPr>
      <w:r>
        <w:rPr>
          <w:rFonts w:ascii="Calibri" w:hAnsi="Calibri"/>
          <w:b/>
          <w:color w:val="1B365D"/>
          <w:sz w:val="34"/>
        </w:rPr>
        <w:t>Table of Contents</w:t>
      </w:r>
    </w:p>
    <w:p>
      <w:pPr>
        <w:spacing w:after="120" w:line="276" w:lineRule="auto"/>
      </w:pPr>
      <w:r>
        <w:rPr>
          <w:rFonts w:ascii="Calibri" w:hAnsi="Calibri"/>
          <w:color w:val="212529"/>
          <w:sz w:val="22"/>
        </w:rPr>
        <w:t>This academic report is structured into fourteen comprehensive analytical sections:</w:t>
      </w:r>
    </w:p>
    <w:tbl>
      <w:tblPr>
        <w:tblW w:type="auto" w:w="0"/>
        <w:jc w:val="center"/>
        <w:tblLook w:firstColumn="1" w:firstRow="1" w:lastColumn="0" w:lastRow="0" w:noHBand="0" w:noVBand="1" w:val="04A0"/>
        <w:tblBorders>
          <w:top w:val="single" w:sz="6" w:space="0" w:color="D0D7DE"/>
          <w:bottom w:val="single" w:sz="8" w:space="0" w:color="D0D7DE"/>
          <w:insideH w:val="single" w:sz="4" w:space="0" w:color="D0D7DE"/>
          <w:insideV w:val="none"/>
          <w:left w:val="none"/>
          <w:right w:val="none"/>
        </w:tblBorders>
      </w:tblPr>
      <w:tblGrid>
        <w:gridCol w:w="4680"/>
        <w:gridCol w:w="4680"/>
      </w:tblGrid>
      <w:tr>
        <w:tc>
          <w:tcPr>
            <w:tcW w:type="dxa" w:w="3744"/>
            <w:shd w:fill="1B365D"/>
            <w:tcMar>
              <w:top w:w="120" w:type="dxa"/>
              <w:bottom w:w="120" w:type="dxa"/>
              <w:left w:w="120" w:type="dxa"/>
              <w:right w:w="120" w:type="dxa"/>
            </w:tcMar>
          </w:tcPr>
          <w:p>
            <w:pPr>
              <w:spacing w:after="0"/>
              <w:jc w:val="left"/>
            </w:pPr>
            <w:r>
              <w:rPr>
                <w:rFonts w:ascii="Calibri" w:hAnsi="Calibri"/>
                <w:b/>
                <w:color w:val="FFFFFF"/>
                <w:sz w:val="19"/>
              </w:rPr>
              <w:t>Section / Chapter Title</w:t>
            </w:r>
          </w:p>
        </w:tc>
        <w:tc>
          <w:tcPr>
            <w:tcW w:type="dxa" w:w="5616"/>
            <w:shd w:fill="1B365D"/>
            <w:tcMar>
              <w:top w:w="120" w:type="dxa"/>
              <w:bottom w:w="120" w:type="dxa"/>
              <w:left w:w="120" w:type="dxa"/>
              <w:right w:w="120" w:type="dxa"/>
            </w:tcMar>
          </w:tcPr>
          <w:p>
            <w:pPr>
              <w:spacing w:after="0"/>
              <w:jc w:val="left"/>
            </w:pPr>
            <w:r>
              <w:rPr>
                <w:rFonts w:ascii="Calibri" w:hAnsi="Calibri"/>
                <w:b/>
                <w:color w:val="FFFFFF"/>
                <w:sz w:val="19"/>
              </w:rPr>
              <w:t>Scope and Subject Matter</w:t>
            </w:r>
          </w:p>
        </w:tc>
      </w:tr>
      <w:tr>
        <w:tc>
          <w:tcPr>
            <w:tcW w:type="dxa" w:w="3744"/>
            <w:shd w:fill="F9FAFB"/>
            <w:tcMar>
              <w:top w:w="80" w:type="dxa"/>
              <w:bottom w:w="80" w:type="dxa"/>
              <w:left w:w="120" w:type="dxa"/>
              <w:right w:w="120" w:type="dxa"/>
            </w:tcMar>
          </w:tcPr>
          <w:p>
            <w:pPr>
              <w:spacing w:after="0"/>
              <w:jc w:val="left"/>
            </w:pPr>
            <w:r>
              <w:rPr>
                <w:rFonts w:ascii="Calibri" w:hAnsi="Calibri"/>
                <w:b/>
                <w:color w:val="212529"/>
                <w:sz w:val="18"/>
              </w:rPr>
              <w:t>Executive Summary</w:t>
            </w:r>
          </w:p>
        </w:tc>
        <w:tc>
          <w:tcPr>
            <w:tcW w:type="dxa" w:w="5616"/>
            <w:shd w:fill="F9FAFB"/>
            <w:tcMar>
              <w:top w:w="80" w:type="dxa"/>
              <w:bottom w:w="80" w:type="dxa"/>
              <w:left w:w="120" w:type="dxa"/>
              <w:right w:w="120" w:type="dxa"/>
            </w:tcMar>
          </w:tcPr>
          <w:p>
            <w:pPr>
              <w:spacing w:after="0"/>
              <w:jc w:val="left"/>
            </w:pPr>
            <w:r>
              <w:rPr>
                <w:rFonts w:ascii="Calibri" w:hAnsi="Calibri"/>
                <w:b w:val="0"/>
                <w:color w:val="212529"/>
                <w:sz w:val="18"/>
              </w:rPr>
              <w:t>Key analytical discoveries, predictive benchmarks, and high-level synthesis</w:t>
            </w:r>
          </w:p>
        </w:tc>
      </w:tr>
      <w:tr>
        <w:tc>
          <w:tcPr>
            <w:tcW w:type="dxa" w:w="3744"/>
            <w:shd w:fill="FFFFFF"/>
            <w:tcMar>
              <w:top w:w="80" w:type="dxa"/>
              <w:bottom w:w="80" w:type="dxa"/>
              <w:left w:w="120" w:type="dxa"/>
              <w:right w:w="120" w:type="dxa"/>
            </w:tcMar>
          </w:tcPr>
          <w:p>
            <w:pPr>
              <w:spacing w:after="0"/>
              <w:jc w:val="left"/>
            </w:pPr>
            <w:r>
              <w:rPr>
                <w:rFonts w:ascii="Calibri" w:hAnsi="Calibri"/>
                <w:b/>
                <w:color w:val="212529"/>
                <w:sz w:val="18"/>
              </w:rPr>
              <w:t>Section 1: Introduction and Research Objectives</w:t>
            </w:r>
          </w:p>
        </w:tc>
        <w:tc>
          <w:tcPr>
            <w:tcW w:type="dxa" w:w="5616"/>
            <w:shd w:fill="FFFFFF"/>
            <w:tcMar>
              <w:top w:w="80" w:type="dxa"/>
              <w:bottom w:w="80" w:type="dxa"/>
              <w:left w:w="120" w:type="dxa"/>
              <w:right w:w="120" w:type="dxa"/>
            </w:tcMar>
          </w:tcPr>
          <w:p>
            <w:pPr>
              <w:spacing w:after="0"/>
              <w:jc w:val="left"/>
            </w:pPr>
            <w:r>
              <w:rPr>
                <w:rFonts w:ascii="Calibri" w:hAnsi="Calibri"/>
                <w:b w:val="0"/>
                <w:color w:val="212529"/>
                <w:sz w:val="18"/>
              </w:rPr>
              <w:t>Framing the census income classification problem and analytical scope</w:t>
            </w:r>
          </w:p>
        </w:tc>
      </w:tr>
      <w:tr>
        <w:tc>
          <w:tcPr>
            <w:tcW w:type="dxa" w:w="3744"/>
            <w:shd w:fill="F9FAFB"/>
            <w:tcMar>
              <w:top w:w="80" w:type="dxa"/>
              <w:bottom w:w="80" w:type="dxa"/>
              <w:left w:w="120" w:type="dxa"/>
              <w:right w:w="120" w:type="dxa"/>
            </w:tcMar>
          </w:tcPr>
          <w:p>
            <w:pPr>
              <w:spacing w:after="0"/>
              <w:jc w:val="left"/>
            </w:pPr>
            <w:r>
              <w:rPr>
                <w:rFonts w:ascii="Calibri" w:hAnsi="Calibri"/>
                <w:b/>
                <w:color w:val="212529"/>
                <w:sz w:val="18"/>
              </w:rPr>
              <w:t>Section 2: Dataset Provenance and Preprocessing Verification</w:t>
            </w:r>
          </w:p>
        </w:tc>
        <w:tc>
          <w:tcPr>
            <w:tcW w:type="dxa" w:w="5616"/>
            <w:shd w:fill="F9FAFB"/>
            <w:tcMar>
              <w:top w:w="80" w:type="dxa"/>
              <w:bottom w:w="80" w:type="dxa"/>
              <w:left w:w="120" w:type="dxa"/>
              <w:right w:w="120" w:type="dxa"/>
            </w:tcMar>
          </w:tcPr>
          <w:p>
            <w:pPr>
              <w:spacing w:after="0"/>
              <w:jc w:val="left"/>
            </w:pPr>
            <w:r>
              <w:rPr>
                <w:rFonts w:ascii="Calibri" w:hAnsi="Calibri"/>
                <w:b w:val="0"/>
                <w:color w:val="212529"/>
                <w:sz w:val="18"/>
              </w:rPr>
              <w:t>Audit of cleaned dataset (N=32,537), factor levels, and target definition</w:t>
            </w:r>
          </w:p>
        </w:tc>
      </w:tr>
      <w:tr>
        <w:tc>
          <w:tcPr>
            <w:tcW w:type="dxa" w:w="3744"/>
            <w:shd w:fill="FFFFFF"/>
            <w:tcMar>
              <w:top w:w="80" w:type="dxa"/>
              <w:bottom w:w="80" w:type="dxa"/>
              <w:left w:w="120" w:type="dxa"/>
              <w:right w:w="120" w:type="dxa"/>
            </w:tcMar>
          </w:tcPr>
          <w:p>
            <w:pPr>
              <w:spacing w:after="0"/>
              <w:jc w:val="left"/>
            </w:pPr>
            <w:r>
              <w:rPr>
                <w:rFonts w:ascii="Calibri" w:hAnsi="Calibri"/>
                <w:b/>
                <w:color w:val="212529"/>
                <w:sz w:val="18"/>
              </w:rPr>
              <w:t>Section 3: Exploratory Data Analysis &amp; Distributional Diagnostics</w:t>
            </w:r>
          </w:p>
        </w:tc>
        <w:tc>
          <w:tcPr>
            <w:tcW w:type="dxa" w:w="5616"/>
            <w:shd w:fill="FFFFFF"/>
            <w:tcMar>
              <w:top w:w="80" w:type="dxa"/>
              <w:bottom w:w="80" w:type="dxa"/>
              <w:left w:w="120" w:type="dxa"/>
              <w:right w:w="120" w:type="dxa"/>
            </w:tcMar>
          </w:tcPr>
          <w:p>
            <w:pPr>
              <w:spacing w:after="0"/>
              <w:jc w:val="left"/>
            </w:pPr>
            <w:r>
              <w:rPr>
                <w:rFonts w:ascii="Calibri" w:hAnsi="Calibri"/>
                <w:b w:val="0"/>
                <w:color w:val="212529"/>
                <w:sz w:val="18"/>
              </w:rPr>
              <w:t>Normality tests, skewness, kurtosis, and continuous variable distributions</w:t>
            </w:r>
          </w:p>
        </w:tc>
      </w:tr>
      <w:tr>
        <w:tc>
          <w:tcPr>
            <w:tcW w:type="dxa" w:w="3744"/>
            <w:shd w:fill="F9FAFB"/>
            <w:tcMar>
              <w:top w:w="80" w:type="dxa"/>
              <w:bottom w:w="80" w:type="dxa"/>
              <w:left w:w="120" w:type="dxa"/>
              <w:right w:w="120" w:type="dxa"/>
            </w:tcMar>
          </w:tcPr>
          <w:p>
            <w:pPr>
              <w:spacing w:after="0"/>
              <w:jc w:val="left"/>
            </w:pPr>
            <w:r>
              <w:rPr>
                <w:rFonts w:ascii="Calibri" w:hAnsi="Calibri"/>
                <w:b/>
                <w:color w:val="212529"/>
                <w:sz w:val="18"/>
              </w:rPr>
              <w:t>Section 4: Bivariate Correlation Analysis &amp; Multicollinearity Audits</w:t>
            </w:r>
          </w:p>
        </w:tc>
        <w:tc>
          <w:tcPr>
            <w:tcW w:type="dxa" w:w="5616"/>
            <w:shd w:fill="F9FAFB"/>
            <w:tcMar>
              <w:top w:w="80" w:type="dxa"/>
              <w:bottom w:w="80" w:type="dxa"/>
              <w:left w:w="120" w:type="dxa"/>
              <w:right w:w="120" w:type="dxa"/>
            </w:tcMar>
          </w:tcPr>
          <w:p>
            <w:pPr>
              <w:spacing w:after="0"/>
              <w:jc w:val="left"/>
            </w:pPr>
            <w:r>
              <w:rPr>
                <w:rFonts w:ascii="Calibri" w:hAnsi="Calibri"/>
                <w:b w:val="0"/>
                <w:color w:val="212529"/>
                <w:sz w:val="18"/>
              </w:rPr>
              <w:t>Pearson and Spearman correlation matrices, heatmap, and Generalized VIF assessment</w:t>
            </w:r>
          </w:p>
        </w:tc>
      </w:tr>
      <w:tr>
        <w:tc>
          <w:tcPr>
            <w:tcW w:type="dxa" w:w="3744"/>
            <w:shd w:fill="FFFFFF"/>
            <w:tcMar>
              <w:top w:w="80" w:type="dxa"/>
              <w:bottom w:w="80" w:type="dxa"/>
              <w:left w:w="120" w:type="dxa"/>
              <w:right w:w="120" w:type="dxa"/>
            </w:tcMar>
          </w:tcPr>
          <w:p>
            <w:pPr>
              <w:spacing w:after="0"/>
              <w:jc w:val="left"/>
            </w:pPr>
            <w:r>
              <w:rPr>
                <w:rFonts w:ascii="Calibri" w:hAnsi="Calibri"/>
                <w:b/>
                <w:color w:val="212529"/>
                <w:sz w:val="18"/>
              </w:rPr>
              <w:t>Section 5: Formal Statistical Hypothesis Testing Framework</w:t>
            </w:r>
          </w:p>
        </w:tc>
        <w:tc>
          <w:tcPr>
            <w:tcW w:type="dxa" w:w="5616"/>
            <w:shd w:fill="FFFFFF"/>
            <w:tcMar>
              <w:top w:w="80" w:type="dxa"/>
              <w:bottom w:w="80" w:type="dxa"/>
              <w:left w:w="120" w:type="dxa"/>
              <w:right w:w="120" w:type="dxa"/>
            </w:tcMar>
          </w:tcPr>
          <w:p>
            <w:pPr>
              <w:spacing w:after="0"/>
              <w:jc w:val="left"/>
            </w:pPr>
            <w:r>
              <w:rPr>
                <w:rFonts w:ascii="Calibri" w:hAnsi="Calibri"/>
                <w:b w:val="0"/>
                <w:color w:val="212529"/>
                <w:sz w:val="18"/>
              </w:rPr>
              <w:t>Parametric (t-tests), non-parametric (Wilcoxon), and categorical (Chi-Square) tests with Bonferroni &amp; FDR corrections</w:t>
            </w:r>
          </w:p>
        </w:tc>
      </w:tr>
      <w:tr>
        <w:tc>
          <w:tcPr>
            <w:tcW w:type="dxa" w:w="3744"/>
            <w:shd w:fill="F9FAFB"/>
            <w:tcMar>
              <w:top w:w="80" w:type="dxa"/>
              <w:bottom w:w="80" w:type="dxa"/>
              <w:left w:w="120" w:type="dxa"/>
              <w:right w:w="120" w:type="dxa"/>
            </w:tcMar>
          </w:tcPr>
          <w:p>
            <w:pPr>
              <w:spacing w:after="0"/>
              <w:jc w:val="left"/>
            </w:pPr>
            <w:r>
              <w:rPr>
                <w:rFonts w:ascii="Calibri" w:hAnsi="Calibri"/>
                <w:b/>
                <w:color w:val="212529"/>
                <w:sz w:val="18"/>
              </w:rPr>
              <w:t>Section 6: Predictive Classification Methodology &amp; Architecture</w:t>
            </w:r>
          </w:p>
        </w:tc>
        <w:tc>
          <w:tcPr>
            <w:tcW w:type="dxa" w:w="5616"/>
            <w:shd w:fill="F9FAFB"/>
            <w:tcMar>
              <w:top w:w="80" w:type="dxa"/>
              <w:bottom w:w="80" w:type="dxa"/>
              <w:left w:w="120" w:type="dxa"/>
              <w:right w:w="120" w:type="dxa"/>
            </w:tcMar>
          </w:tcPr>
          <w:p>
            <w:pPr>
              <w:spacing w:after="0"/>
              <w:jc w:val="left"/>
            </w:pPr>
            <w:r>
              <w:rPr>
                <w:rFonts w:ascii="Calibri" w:hAnsi="Calibri"/>
                <w:b w:val="0"/>
                <w:color w:val="212529"/>
                <w:sz w:val="18"/>
              </w:rPr>
              <w:t>Stratified 80/20 train/test split, 5-fold cross-validation, and feature design</w:t>
            </w:r>
          </w:p>
        </w:tc>
      </w:tr>
      <w:tr>
        <w:tc>
          <w:tcPr>
            <w:tcW w:type="dxa" w:w="3744"/>
            <w:shd w:fill="FFFFFF"/>
            <w:tcMar>
              <w:top w:w="80" w:type="dxa"/>
              <w:bottom w:w="80" w:type="dxa"/>
              <w:left w:w="120" w:type="dxa"/>
              <w:right w:w="120" w:type="dxa"/>
            </w:tcMar>
          </w:tcPr>
          <w:p>
            <w:pPr>
              <w:spacing w:after="0"/>
              <w:jc w:val="left"/>
            </w:pPr>
            <w:r>
              <w:rPr>
                <w:rFonts w:ascii="Calibri" w:hAnsi="Calibri"/>
                <w:b/>
                <w:color w:val="212529"/>
                <w:sz w:val="18"/>
              </w:rPr>
              <w:t>Section 7: Baseline and Standard Logistic Regression Modeling</w:t>
            </w:r>
          </w:p>
        </w:tc>
        <w:tc>
          <w:tcPr>
            <w:tcW w:type="dxa" w:w="5616"/>
            <w:shd w:fill="FFFFFF"/>
            <w:tcMar>
              <w:top w:w="80" w:type="dxa"/>
              <w:bottom w:w="80" w:type="dxa"/>
              <w:left w:w="120" w:type="dxa"/>
              <w:right w:w="120" w:type="dxa"/>
            </w:tcMar>
          </w:tcPr>
          <w:p>
            <w:pPr>
              <w:spacing w:after="0"/>
              <w:jc w:val="left"/>
            </w:pPr>
            <w:r>
              <w:rPr>
                <w:rFonts w:ascii="Calibri" w:hAnsi="Calibri"/>
                <w:b w:val="0"/>
                <w:color w:val="212529"/>
                <w:sz w:val="18"/>
              </w:rPr>
              <w:t>Model specification, coefficient estimates, standard errors, odds ratios, and 95% CIs</w:t>
            </w:r>
          </w:p>
        </w:tc>
      </w:tr>
      <w:tr>
        <w:tc>
          <w:tcPr>
            <w:tcW w:type="dxa" w:w="3744"/>
            <w:shd w:fill="F9FAFB"/>
            <w:tcMar>
              <w:top w:w="80" w:type="dxa"/>
              <w:bottom w:w="80" w:type="dxa"/>
              <w:left w:w="120" w:type="dxa"/>
              <w:right w:w="120" w:type="dxa"/>
            </w:tcMar>
          </w:tcPr>
          <w:p>
            <w:pPr>
              <w:spacing w:after="0"/>
              <w:jc w:val="left"/>
            </w:pPr>
            <w:r>
              <w:rPr>
                <w:rFonts w:ascii="Calibri" w:hAnsi="Calibri"/>
                <w:b/>
                <w:color w:val="212529"/>
                <w:sz w:val="18"/>
              </w:rPr>
              <w:t>Section 8: Regularized Logistic Regression (Elastic Net)</w:t>
            </w:r>
          </w:p>
        </w:tc>
        <w:tc>
          <w:tcPr>
            <w:tcW w:type="dxa" w:w="5616"/>
            <w:shd w:fill="F9FAFB"/>
            <w:tcMar>
              <w:top w:w="80" w:type="dxa"/>
              <w:bottom w:w="80" w:type="dxa"/>
              <w:left w:w="120" w:type="dxa"/>
              <w:right w:w="120" w:type="dxa"/>
            </w:tcMar>
          </w:tcPr>
          <w:p>
            <w:pPr>
              <w:spacing w:after="0"/>
              <w:jc w:val="left"/>
            </w:pPr>
            <w:r>
              <w:rPr>
                <w:rFonts w:ascii="Calibri" w:hAnsi="Calibri"/>
                <w:b w:val="0"/>
                <w:color w:val="212529"/>
                <w:sz w:val="18"/>
              </w:rPr>
              <w:t>L1/L2 penalized likelihood, hyperparameter cross-validation tuning, and sparsity analysis</w:t>
            </w:r>
          </w:p>
        </w:tc>
      </w:tr>
      <w:tr>
        <w:tc>
          <w:tcPr>
            <w:tcW w:type="dxa" w:w="3744"/>
            <w:shd w:fill="FFFFFF"/>
            <w:tcMar>
              <w:top w:w="80" w:type="dxa"/>
              <w:bottom w:w="80" w:type="dxa"/>
              <w:left w:w="120" w:type="dxa"/>
              <w:right w:w="120" w:type="dxa"/>
            </w:tcMar>
          </w:tcPr>
          <w:p>
            <w:pPr>
              <w:spacing w:after="0"/>
              <w:jc w:val="left"/>
            </w:pPr>
            <w:r>
              <w:rPr>
                <w:rFonts w:ascii="Calibri" w:hAnsi="Calibri"/>
                <w:b/>
                <w:color w:val="212529"/>
                <w:sz w:val="18"/>
              </w:rPr>
              <w:t>Section 9: Empirical Model Evaluation &amp; Test-Set Benchmarks</w:t>
            </w:r>
          </w:p>
        </w:tc>
        <w:tc>
          <w:tcPr>
            <w:tcW w:type="dxa" w:w="5616"/>
            <w:shd w:fill="FFFFFF"/>
            <w:tcMar>
              <w:top w:w="80" w:type="dxa"/>
              <w:bottom w:w="80" w:type="dxa"/>
              <w:left w:w="120" w:type="dxa"/>
              <w:right w:w="120" w:type="dxa"/>
            </w:tcMar>
          </w:tcPr>
          <w:p>
            <w:pPr>
              <w:spacing w:after="0"/>
              <w:jc w:val="left"/>
            </w:pPr>
            <w:r>
              <w:rPr>
                <w:rFonts w:ascii="Calibri" w:hAnsi="Calibri"/>
                <w:b w:val="0"/>
                <w:color w:val="212529"/>
                <w:sz w:val="18"/>
              </w:rPr>
              <w:t>Confusion matrix, Accuracy, Precision, Recall, Specificity, F1-Score, ROC-AUC, and PR-AUC</w:t>
            </w:r>
          </w:p>
        </w:tc>
      </w:tr>
      <w:tr>
        <w:tc>
          <w:tcPr>
            <w:tcW w:type="dxa" w:w="3744"/>
            <w:shd w:fill="F9FAFB"/>
            <w:tcMar>
              <w:top w:w="80" w:type="dxa"/>
              <w:bottom w:w="80" w:type="dxa"/>
              <w:left w:w="120" w:type="dxa"/>
              <w:right w:w="120" w:type="dxa"/>
            </w:tcMar>
          </w:tcPr>
          <w:p>
            <w:pPr>
              <w:spacing w:after="0"/>
              <w:jc w:val="left"/>
            </w:pPr>
            <w:r>
              <w:rPr>
                <w:rFonts w:ascii="Calibri" w:hAnsi="Calibri"/>
                <w:b/>
                <w:color w:val="212529"/>
                <w:sz w:val="18"/>
              </w:rPr>
              <w:t>Section 10: Model Diagnostics, Probability Calibration &amp; Residuals</w:t>
            </w:r>
          </w:p>
        </w:tc>
        <w:tc>
          <w:tcPr>
            <w:tcW w:type="dxa" w:w="5616"/>
            <w:shd w:fill="F9FAFB"/>
            <w:tcMar>
              <w:top w:w="80" w:type="dxa"/>
              <w:bottom w:w="80" w:type="dxa"/>
              <w:left w:w="120" w:type="dxa"/>
              <w:right w:w="120" w:type="dxa"/>
            </w:tcMar>
          </w:tcPr>
          <w:p>
            <w:pPr>
              <w:spacing w:after="0"/>
              <w:jc w:val="left"/>
            </w:pPr>
            <w:r>
              <w:rPr>
                <w:rFonts w:ascii="Calibri" w:hAnsi="Calibri"/>
                <w:b w:val="0"/>
                <w:color w:val="212529"/>
                <w:sz w:val="18"/>
              </w:rPr>
              <w:t>Cook's distance, deviance residuals, decile risk calibration, and numerical stability</w:t>
            </w:r>
          </w:p>
        </w:tc>
      </w:tr>
      <w:tr>
        <w:tc>
          <w:tcPr>
            <w:tcW w:type="dxa" w:w="3744"/>
            <w:shd w:fill="FFFFFF"/>
            <w:tcMar>
              <w:top w:w="80" w:type="dxa"/>
              <w:bottom w:w="80" w:type="dxa"/>
              <w:left w:w="120" w:type="dxa"/>
              <w:right w:w="120" w:type="dxa"/>
            </w:tcMar>
          </w:tcPr>
          <w:p>
            <w:pPr>
              <w:spacing w:after="0"/>
              <w:jc w:val="left"/>
            </w:pPr>
            <w:r>
              <w:rPr>
                <w:rFonts w:ascii="Calibri" w:hAnsi="Calibri"/>
                <w:b/>
                <w:color w:val="212529"/>
                <w:sz w:val="18"/>
              </w:rPr>
              <w:t>Section 11: Misclassification Forensics &amp; Error Profiling</w:t>
            </w:r>
          </w:p>
        </w:tc>
        <w:tc>
          <w:tcPr>
            <w:tcW w:type="dxa" w:w="5616"/>
            <w:shd w:fill="FFFFFF"/>
            <w:tcMar>
              <w:top w:w="80" w:type="dxa"/>
              <w:bottom w:w="80" w:type="dxa"/>
              <w:left w:w="120" w:type="dxa"/>
              <w:right w:w="120" w:type="dxa"/>
            </w:tcMar>
          </w:tcPr>
          <w:p>
            <w:pPr>
              <w:spacing w:after="0"/>
              <w:jc w:val="left"/>
            </w:pPr>
            <w:r>
              <w:rPr>
                <w:rFonts w:ascii="Calibri" w:hAnsi="Calibri"/>
                <w:b w:val="0"/>
                <w:color w:val="212529"/>
                <w:sz w:val="18"/>
              </w:rPr>
              <w:t>In-depth investigation of False Positives and False Negatives</w:t>
            </w:r>
          </w:p>
        </w:tc>
      </w:tr>
      <w:tr>
        <w:tc>
          <w:tcPr>
            <w:tcW w:type="dxa" w:w="3744"/>
            <w:shd w:fill="F9FAFB"/>
            <w:tcMar>
              <w:top w:w="80" w:type="dxa"/>
              <w:bottom w:w="80" w:type="dxa"/>
              <w:left w:w="120" w:type="dxa"/>
              <w:right w:w="120" w:type="dxa"/>
            </w:tcMar>
          </w:tcPr>
          <w:p>
            <w:pPr>
              <w:spacing w:after="0"/>
              <w:jc w:val="left"/>
            </w:pPr>
            <w:r>
              <w:rPr>
                <w:rFonts w:ascii="Calibri" w:hAnsi="Calibri"/>
                <w:b/>
                <w:color w:val="212529"/>
                <w:sz w:val="18"/>
              </w:rPr>
              <w:t>Section 12: Econometric Interpretations, Policy &amp; Ethical Governance</w:t>
            </w:r>
          </w:p>
        </w:tc>
        <w:tc>
          <w:tcPr>
            <w:tcW w:type="dxa" w:w="5616"/>
            <w:shd w:fill="F9FAFB"/>
            <w:tcMar>
              <w:top w:w="80" w:type="dxa"/>
              <w:bottom w:w="80" w:type="dxa"/>
              <w:left w:w="120" w:type="dxa"/>
              <w:right w:w="120" w:type="dxa"/>
            </w:tcMar>
          </w:tcPr>
          <w:p>
            <w:pPr>
              <w:spacing w:after="0"/>
              <w:jc w:val="left"/>
            </w:pPr>
            <w:r>
              <w:rPr>
                <w:rFonts w:ascii="Calibri" w:hAnsi="Calibri"/>
                <w:b w:val="0"/>
                <w:color w:val="212529"/>
                <w:sz w:val="18"/>
              </w:rPr>
              <w:t>Human capital returns, marital wage premiums, demographic disparities, and AI fairness</w:t>
            </w:r>
          </w:p>
        </w:tc>
      </w:tr>
      <w:tr>
        <w:tc>
          <w:tcPr>
            <w:tcW w:type="dxa" w:w="3744"/>
            <w:shd w:fill="FFFFFF"/>
            <w:tcMar>
              <w:top w:w="80" w:type="dxa"/>
              <w:bottom w:w="80" w:type="dxa"/>
              <w:left w:w="120" w:type="dxa"/>
              <w:right w:w="120" w:type="dxa"/>
            </w:tcMar>
          </w:tcPr>
          <w:p>
            <w:pPr>
              <w:spacing w:after="0"/>
              <w:jc w:val="left"/>
            </w:pPr>
            <w:r>
              <w:rPr>
                <w:rFonts w:ascii="Calibri" w:hAnsi="Calibri"/>
                <w:b/>
                <w:color w:val="212529"/>
                <w:sz w:val="18"/>
              </w:rPr>
              <w:t>Section 13: Methodological Strengths, Limitations &amp; Future Work</w:t>
            </w:r>
          </w:p>
        </w:tc>
        <w:tc>
          <w:tcPr>
            <w:tcW w:type="dxa" w:w="5616"/>
            <w:shd w:fill="FFFFFF"/>
            <w:tcMar>
              <w:top w:w="80" w:type="dxa"/>
              <w:bottom w:w="80" w:type="dxa"/>
              <w:left w:w="120" w:type="dxa"/>
              <w:right w:w="120" w:type="dxa"/>
            </w:tcMar>
          </w:tcPr>
          <w:p>
            <w:pPr>
              <w:spacing w:after="0"/>
              <w:jc w:val="left"/>
            </w:pPr>
            <w:r>
              <w:rPr>
                <w:rFonts w:ascii="Calibri" w:hAnsi="Calibri"/>
                <w:b w:val="0"/>
                <w:color w:val="212529"/>
                <w:sz w:val="18"/>
              </w:rPr>
              <w:t>Critical assessment of CPS design, class imbalance, and potential model extensions</w:t>
            </w:r>
          </w:p>
        </w:tc>
      </w:tr>
      <w:tr>
        <w:tc>
          <w:tcPr>
            <w:tcW w:type="dxa" w:w="3744"/>
            <w:shd w:fill="F9FAFB"/>
            <w:tcMar>
              <w:top w:w="80" w:type="dxa"/>
              <w:bottom w:w="80" w:type="dxa"/>
              <w:left w:w="120" w:type="dxa"/>
              <w:right w:w="120" w:type="dxa"/>
            </w:tcMar>
          </w:tcPr>
          <w:p>
            <w:pPr>
              <w:spacing w:after="0"/>
              <w:jc w:val="left"/>
            </w:pPr>
            <w:r>
              <w:rPr>
                <w:rFonts w:ascii="Calibri" w:hAnsi="Calibri"/>
                <w:b/>
                <w:color w:val="212529"/>
                <w:sz w:val="18"/>
              </w:rPr>
              <w:t>Section 14: Reproducibility Protocol &amp; Environment Audit</w:t>
            </w:r>
          </w:p>
        </w:tc>
        <w:tc>
          <w:tcPr>
            <w:tcW w:type="dxa" w:w="5616"/>
            <w:shd w:fill="F9FAFB"/>
            <w:tcMar>
              <w:top w:w="80" w:type="dxa"/>
              <w:bottom w:w="80" w:type="dxa"/>
              <w:left w:w="120" w:type="dxa"/>
              <w:right w:w="120" w:type="dxa"/>
            </w:tcMar>
          </w:tcPr>
          <w:p>
            <w:pPr>
              <w:spacing w:after="0"/>
              <w:jc w:val="left"/>
            </w:pPr>
            <w:r>
              <w:rPr>
                <w:rFonts w:ascii="Calibri" w:hAnsi="Calibri"/>
                <w:b w:val="0"/>
                <w:color w:val="212529"/>
                <w:sz w:val="18"/>
              </w:rPr>
              <w:t>Script execution order, directory hierarchy, and dependency versions</w:t>
            </w:r>
          </w:p>
        </w:tc>
      </w:tr>
      <w:tr>
        <w:tc>
          <w:tcPr>
            <w:tcW w:type="dxa" w:w="3744"/>
            <w:shd w:fill="FFFFFF"/>
            <w:tcMar>
              <w:top w:w="80" w:type="dxa"/>
              <w:bottom w:w="80" w:type="dxa"/>
              <w:left w:w="120" w:type="dxa"/>
              <w:right w:w="120" w:type="dxa"/>
            </w:tcMar>
          </w:tcPr>
          <w:p>
            <w:pPr>
              <w:spacing w:after="0"/>
              <w:jc w:val="left"/>
            </w:pPr>
            <w:r>
              <w:rPr>
                <w:rFonts w:ascii="Calibri" w:hAnsi="Calibri"/>
                <w:b/>
                <w:color w:val="212529"/>
                <w:sz w:val="18"/>
              </w:rPr>
              <w:t>Academic References &amp; Data Provenance</w:t>
            </w:r>
          </w:p>
        </w:tc>
        <w:tc>
          <w:tcPr>
            <w:tcW w:type="dxa" w:w="5616"/>
            <w:shd w:fill="FFFFFF"/>
            <w:tcMar>
              <w:top w:w="80" w:type="dxa"/>
              <w:bottom w:w="80" w:type="dxa"/>
              <w:left w:w="120" w:type="dxa"/>
              <w:right w:w="120" w:type="dxa"/>
            </w:tcMar>
          </w:tcPr>
          <w:p>
            <w:pPr>
              <w:spacing w:after="0"/>
              <w:jc w:val="left"/>
            </w:pPr>
            <w:r>
              <w:rPr>
                <w:rFonts w:ascii="Calibri" w:hAnsi="Calibri"/>
                <w:b w:val="0"/>
                <w:color w:val="212529"/>
                <w:sz w:val="18"/>
              </w:rPr>
              <w:t>Formal citations of primary literature, repositories, and methodological frameworks</w:t>
            </w:r>
          </w:p>
        </w:tc>
      </w:tr>
    </w:tbl>
    <w:p>
      <w:r>
        <w:br w:type="page"/>
      </w:r>
    </w:p>
    <w:p>
      <w:pPr>
        <w:pStyle w:val="Heading1"/>
        <w:keepNext/>
        <w:spacing w:before="360" w:after="120"/>
      </w:pPr>
      <w:r>
        <w:rPr>
          <w:rFonts w:ascii="Calibri" w:hAnsi="Calibri"/>
          <w:b/>
          <w:color w:val="1B365D"/>
          <w:sz w:val="34"/>
        </w:rPr>
        <w:t>Executive Summary</w:t>
      </w:r>
    </w:p>
    <w:p>
      <w:pPr>
        <w:spacing w:after="120" w:line="276" w:lineRule="auto"/>
      </w:pPr>
      <w:r>
        <w:rPr>
          <w:rFonts w:ascii="Calibri" w:hAnsi="Calibri"/>
          <w:color w:val="212529"/>
          <w:sz w:val="22"/>
        </w:rPr>
        <w:t>This research presents a rigorous empirical investigation into the determinants of individual annual earnings exceeding $50,000 using the 1994 U.S. Census Bureau Current Population Survey (UCI Adult Dataset). Following the rigorous data quality audit, mode imputation, and deduplication protocols executed in Week 1 (resulting in N = 32,537 authentic adult records) and the exploratory graphical characterization conducted in Week 2, Week 3 executes a two-pronged inferential and predictive agenda: (1) formal statistical hypothesis testing evaluating demographic and human capital disparities, and (2) regularized machine learning classification benchmarking baseline heuristic rules against multivariable logistic regression and Elastic Net regularized models.</w:t>
      </w:r>
    </w:p>
    <w:p>
      <w:pPr>
        <w:spacing w:after="120" w:line="276" w:lineRule="auto"/>
      </w:pPr>
      <w:r>
        <w:rPr>
          <w:rFonts w:ascii="Calibri" w:hAnsi="Calibri"/>
          <w:b/>
          <w:color w:val="1B365D"/>
          <w:sz w:val="22"/>
        </w:rPr>
        <w:t xml:space="preserve">Primary Empirical Discoveries: </w:t>
      </w:r>
      <w:r>
        <w:rPr>
          <w:rFonts w:ascii="Calibri" w:hAnsi="Calibri"/>
          <w:color w:val="212529"/>
          <w:sz w:val="22"/>
        </w:rPr>
        <w:t>Key statistical and predictive findings from the authenticated pipeline include:</w:t>
      </w:r>
    </w:p>
    <w:p>
      <w:pPr>
        <w:pStyle w:val="ListBullet"/>
        <w:spacing w:after="60" w:line="276" w:lineRule="auto"/>
      </w:pPr>
      <w:r>
        <w:rPr>
          <w:rFonts w:ascii="Calibri" w:hAnsi="Calibri"/>
          <w:b/>
          <w:color w:val="1B365D"/>
          <w:sz w:val="21"/>
        </w:rPr>
        <w:t xml:space="preserve">Age Divergence: </w:t>
      </w:r>
      <w:r>
        <w:rPr>
          <w:rFonts w:ascii="Calibri" w:hAnsi="Calibri"/>
          <w:color w:val="212529"/>
          <w:sz w:val="21"/>
        </w:rPr>
        <w:t>Both parametric (Welch two-sample t = 50.24, df = 17,406.1, p &lt; 0.0001, Cohen's d = 0.563) and non-parametric (Wilcoxon W = 132,460,134, p &lt; 0.0001, rank-biserial r = 0.368) tests definitively confirm that individuals earning &gt;$50,000 are substantially older (mean 44.25 ± 10.52 years; median 44 years) than their lower-earning counterparts (mean 36.79 ± 14.02 years; median 34 years), reflecting cumulative workplace tenure and human capital appreciation.</w:t>
      </w:r>
    </w:p>
    <w:p>
      <w:pPr>
        <w:pStyle w:val="ListBullet"/>
        <w:spacing w:after="60" w:line="276" w:lineRule="auto"/>
      </w:pPr>
      <w:r>
        <w:rPr>
          <w:rFonts w:ascii="Calibri" w:hAnsi="Calibri"/>
          <w:b/>
          <w:color w:val="1B365D"/>
          <w:sz w:val="21"/>
        </w:rPr>
        <w:t xml:space="preserve">Labor Supply Dynamics: </w:t>
      </w:r>
      <w:r>
        <w:rPr>
          <w:rFonts w:ascii="Calibri" w:hAnsi="Calibri"/>
          <w:color w:val="212529"/>
          <w:sz w:val="21"/>
        </w:rPr>
        <w:t>Full-time employment constitutes an institutional anchor (leptokurtic mode at 40 hours/week, kurtosis = 5.92), yet high earners commit significantly greater weekly labor (mean 45.47 ± 11.01 hours vs. 38.84 ± 12.32 hours; Welch t = 45.10, df = 14,568.1, p &lt; 0.0001, Cohen's d = 0.552). Non-parametric testing confirms this positive location shift (Wilcoxon W = 130,106,292, p &lt; 0.0001).</w:t>
      </w:r>
    </w:p>
    <w:p>
      <w:pPr>
        <w:pStyle w:val="ListBullet"/>
        <w:spacing w:after="60" w:line="276" w:lineRule="auto"/>
      </w:pPr>
      <w:r>
        <w:rPr>
          <w:rFonts w:ascii="Calibri" w:hAnsi="Calibri"/>
          <w:b/>
          <w:color w:val="1B365D"/>
          <w:sz w:val="21"/>
        </w:rPr>
        <w:t xml:space="preserve">Categorical Associations: </w:t>
      </w:r>
      <w:r>
        <w:rPr>
          <w:rFonts w:ascii="Calibri" w:hAnsi="Calibri"/>
          <w:color w:val="212529"/>
          <w:sz w:val="21"/>
        </w:rPr>
        <w:t>Chi-square tests of independence confirm powerful associations between income tier and educational attainment (chi2 = 4,428.40, df = 15, p &lt; 0.0001, Cramer's V = 0.369), occupation (chi2 = 3,197.61, df = 13, p &lt; 0.0001, Cramer's V = 0.314), and workclass sector (chi2 = 922.35, df = 7, p &lt; 0.0001, Cramer's V = 0.168). Every hypothesis test survived conservative Bonferroni and Benjamini-Hochberg False Discovery Rate (FDR) penalties with adjusted p &lt; 0.0001.</w:t>
      </w:r>
    </w:p>
    <w:p>
      <w:pPr>
        <w:pStyle w:val="ListBullet"/>
        <w:spacing w:after="60" w:line="276" w:lineRule="auto"/>
      </w:pPr>
      <w:r>
        <w:rPr>
          <w:rFonts w:ascii="Calibri" w:hAnsi="Calibri"/>
          <w:b/>
          <w:color w:val="1B365D"/>
          <w:sz w:val="21"/>
        </w:rPr>
        <w:t xml:space="preserve">Predictive Benchmark: </w:t>
      </w:r>
      <w:r>
        <w:rPr>
          <w:rFonts w:ascii="Calibri" w:hAnsi="Calibri"/>
          <w:color w:val="212529"/>
          <w:sz w:val="21"/>
        </w:rPr>
        <w:t>Trained on an 80% stratified training partition (N_train = 26,029) under 5-fold cross-validation (CV AUC = 0.9047 ± 0.0053; CV Accuracy = 85.10% ± 0.29%), standard logistic regression achieved superior predictive capability on the untouched test partition (N_test = 6,508): Accuracy = 84.76%, Balanced Accuracy = 76.36%, Precision = 71.98%, Sensitivity/Recall = 60.14%, Specificity = 92.57%, F1-Score = 0.6553, ROC-AUC = 0.9047, and PR-AUC = 0.7271.</w:t>
      </w:r>
    </w:p>
    <w:p>
      <w:pPr>
        <w:pStyle w:val="ListBullet"/>
        <w:spacing w:after="60" w:line="276" w:lineRule="auto"/>
      </w:pPr>
      <w:r>
        <w:rPr>
          <w:rFonts w:ascii="Calibri" w:hAnsi="Calibri"/>
          <w:b/>
          <w:color w:val="1B365D"/>
          <w:sz w:val="21"/>
        </w:rPr>
        <w:t xml:space="preserve">Regularization &amp; Model Selection: </w:t>
      </w:r>
      <w:r>
        <w:rPr>
          <w:rFonts w:ascii="Calibri" w:hAnsi="Calibri"/>
          <w:color w:val="212529"/>
          <w:sz w:val="21"/>
        </w:rPr>
        <w:t>While a naive majority-class baseline yields an inflated accuracy of 75.91%, it exhibits zero sensitivity (0.0%), zero precision, and a non-informative ROC-AUC of 0.500. Elastic Net regularization (alpha = 0.5, optimal lambda = 0.009265 selected via CV) yielded near-identical holdout performance (Accuracy = 84.10%, ROC-AUC = 0.9004, Precision = 72.34%, Sensitivity = 55.04%), confirming that the standard GLM is robustly identified and not overfitted.</w:t>
      </w:r>
    </w:p>
    <w:p>
      <w:pPr>
        <w:pStyle w:val="ListBullet"/>
        <w:spacing w:after="60" w:line="276" w:lineRule="auto"/>
      </w:pPr>
      <w:r>
        <w:rPr>
          <w:rFonts w:ascii="Calibri" w:hAnsi="Calibri"/>
          <w:b/>
          <w:color w:val="1B365D"/>
          <w:sz w:val="21"/>
        </w:rPr>
        <w:t xml:space="preserve">Diagnostic Integrity: </w:t>
      </w:r>
      <w:r>
        <w:rPr>
          <w:rFonts w:ascii="Calibri" w:hAnsi="Calibri"/>
          <w:color w:val="212529"/>
          <w:sz w:val="21"/>
        </w:rPr>
        <w:t>Generalized Variance Inflation Factors (standardized GVIF^(1/(2*Df)) &lt; 1.73 across all predictors) rule out problematic collinearity. Residual diagnostics reveal a maximum Cook's Distance of 0.0330, confirming no individual leverage points distort model coefficients. Probability calibration across deciles exhibits outstanding alignment (mean calibration error &lt; 0.025 across all risk tiers).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bottom w:val="none"/>
              <w:right w:val="none"/>
              <w:left w:val="single" w:sz="36" w:space="0" w:color="1B365D"/>
            </w:tcBorders>
          </w:tcPr>
          <w:p>
            <w:pPr>
              <w:spacing w:after="60"/>
            </w:pPr>
            <w:r>
              <w:rPr>
                <w:rFonts w:ascii="Calibri" w:hAnsi="Calibri"/>
                <w:b/>
                <w:color w:val="1B365D"/>
                <w:sz w:val="20"/>
              </w:rPr>
              <w:t xml:space="preserve">[EXECUTIVE SYNTHESIS] </w:t>
            </w:r>
            <w:r>
              <w:rPr>
                <w:rFonts w:ascii="Calibri" w:hAnsi="Calibri"/>
                <w:color w:val="212529"/>
                <w:sz w:val="20"/>
              </w:rPr>
              <w:t>Summary Takeaway: Standard multivariable logistic regression provides both optimal predictive discrimination (ROC-AUC = 0.905) and direct econometrically interpretable parameters. Holding other factors constant, each additional year of education increases the odds of high earnings by 34.9% (OR = 1.349, 95% CI [1.323, 1.376]), while executive-managerial roles double the odds compared to clerical baselines (OR = 2.095, 95% CI [1.774, 2.476]).</w:t>
            </w:r>
          </w:p>
        </w:tc>
      </w:tr>
    </w:tbl>
    <w:p>
      <w:pPr>
        <w:spacing w:before="0" w:after="120"/>
      </w:pPr>
    </w:p>
    <w:p>
      <w:r>
        <w:br w:type="page"/>
      </w:r>
    </w:p>
    <w:p>
      <w:pPr>
        <w:pStyle w:val="Heading1"/>
        <w:keepNext/>
        <w:spacing w:before="360" w:after="120"/>
      </w:pPr>
      <w:r>
        <w:rPr>
          <w:rFonts w:ascii="Calibri" w:hAnsi="Calibri"/>
          <w:b/>
          <w:color w:val="1B365D"/>
          <w:sz w:val="34"/>
        </w:rPr>
        <w:t>Section 1: Introduction and Research Objectives</w:t>
      </w:r>
    </w:p>
    <w:p>
      <w:pPr>
        <w:spacing w:after="120" w:line="276" w:lineRule="auto"/>
      </w:pPr>
      <w:r>
        <w:rPr>
          <w:rFonts w:ascii="Calibri" w:hAnsi="Calibri"/>
          <w:color w:val="212529"/>
          <w:sz w:val="22"/>
        </w:rPr>
        <w:t>Understanding the microeconomic drivers of wage determination and income inequality remains one of the foundational challenges in empirical labor economics and social data science. The UCI Adult dataset, extracted by Ronny Kohavi and Barry Becker from the 1994 Current Population Survey (CPS) conducted by the U.S. Census Bureau, represents a benchmark dataset for assessing how human capital, institutional affiliations, and demographic attributes interact to govern personal income thresholds.</w:t>
      </w:r>
    </w:p>
    <w:p>
      <w:pPr>
        <w:spacing w:after="120" w:line="276" w:lineRule="auto"/>
      </w:pPr>
      <w:r>
        <w:rPr>
          <w:rFonts w:ascii="Calibri" w:hAnsi="Calibri"/>
          <w:color w:val="212529"/>
          <w:sz w:val="22"/>
        </w:rPr>
        <w:t>The primary analytical objective of Week 3 is to advance beyond purely descriptive summaries (conducted in Weeks 1 and 2) into rigorous inferential hypothesis testing and predictive machine learning modeling. Specifically, this investigation is guided by five structured research questions:</w:t>
      </w:r>
    </w:p>
    <w:p>
      <w:pPr>
        <w:pStyle w:val="ListBullet"/>
        <w:spacing w:after="60" w:line="276" w:lineRule="auto"/>
      </w:pPr>
      <w:r>
        <w:rPr>
          <w:rFonts w:ascii="Calibri" w:hAnsi="Calibri"/>
          <w:b/>
          <w:color w:val="1B365D"/>
          <w:sz w:val="21"/>
        </w:rPr>
        <w:t xml:space="preserve">RQ1: </w:t>
      </w:r>
      <w:r>
        <w:rPr>
          <w:rFonts w:ascii="Calibri" w:hAnsi="Calibri"/>
          <w:color w:val="212529"/>
          <w:sz w:val="21"/>
        </w:rPr>
        <w:t>RQ1 (Human Capital &amp; Credentials): Does educational attainment exert a statistically significant and practically meaningful association with income tier?</w:t>
      </w:r>
    </w:p>
    <w:p>
      <w:pPr>
        <w:pStyle w:val="ListBullet"/>
        <w:spacing w:after="60" w:line="276" w:lineRule="auto"/>
      </w:pPr>
      <w:r>
        <w:rPr>
          <w:rFonts w:ascii="Calibri" w:hAnsi="Calibri"/>
          <w:b/>
          <w:color w:val="1B365D"/>
          <w:sz w:val="21"/>
        </w:rPr>
        <w:t xml:space="preserve">RQ2: </w:t>
      </w:r>
      <w:r>
        <w:rPr>
          <w:rFonts w:ascii="Calibri" w:hAnsi="Calibri"/>
          <w:color w:val="212529"/>
          <w:sz w:val="21"/>
        </w:rPr>
        <w:t>RQ2 (Life-Cycle &amp; Experience): To what extent does chronological age diverge between high-earning (&gt;50K) and lower-earning (&lt;=50K) cohorts, and is this divergence parametric or non-parametric?</w:t>
      </w:r>
    </w:p>
    <w:p>
      <w:pPr>
        <w:pStyle w:val="ListBullet"/>
        <w:spacing w:after="60" w:line="276" w:lineRule="auto"/>
      </w:pPr>
      <w:r>
        <w:rPr>
          <w:rFonts w:ascii="Calibri" w:hAnsi="Calibri"/>
          <w:b/>
          <w:color w:val="1B365D"/>
          <w:sz w:val="21"/>
        </w:rPr>
        <w:t xml:space="preserve">RQ3: </w:t>
      </w:r>
      <w:r>
        <w:rPr>
          <w:rFonts w:ascii="Calibri" w:hAnsi="Calibri"/>
          <w:color w:val="212529"/>
          <w:sz w:val="21"/>
        </w:rPr>
        <w:t>RQ3 (Labor Supply &amp; Effort): How do weekly working hours differ between income groups given the institutional norm of the 40-hour work week?</w:t>
      </w:r>
    </w:p>
    <w:p>
      <w:pPr>
        <w:pStyle w:val="ListBullet"/>
        <w:spacing w:after="60" w:line="276" w:lineRule="auto"/>
      </w:pPr>
      <w:r>
        <w:rPr>
          <w:rFonts w:ascii="Calibri" w:hAnsi="Calibri"/>
          <w:b/>
          <w:color w:val="1B365D"/>
          <w:sz w:val="21"/>
        </w:rPr>
        <w:t xml:space="preserve">RQ4: </w:t>
      </w:r>
      <w:r>
        <w:rPr>
          <w:rFonts w:ascii="Calibri" w:hAnsi="Calibri"/>
          <w:color w:val="212529"/>
          <w:sz w:val="21"/>
        </w:rPr>
        <w:t>RQ4 (Sectoral &amp; Occupational Stratification): Are employment sectors (workclass) and occupational specializations independently associated with high-income attainment?</w:t>
      </w:r>
    </w:p>
    <w:p>
      <w:pPr>
        <w:pStyle w:val="ListBullet"/>
        <w:spacing w:after="60" w:line="276" w:lineRule="auto"/>
      </w:pPr>
      <w:r>
        <w:rPr>
          <w:rFonts w:ascii="Calibri" w:hAnsi="Calibri"/>
          <w:b/>
          <w:color w:val="1B365D"/>
          <w:sz w:val="21"/>
        </w:rPr>
        <w:t xml:space="preserve">RQ5: </w:t>
      </w:r>
      <w:r>
        <w:rPr>
          <w:rFonts w:ascii="Calibri" w:hAnsi="Calibri"/>
          <w:color w:val="212529"/>
          <w:sz w:val="21"/>
        </w:rPr>
        <w:t>RQ5 (Predictive Generalization &amp; Discrimination): Can a multivariable probability model achieve high discrimination (ROC-AUC &gt; 0.85) without succumbing to overfitting or violating logistic regression assumptions?</w:t>
      </w:r>
    </w:p>
    <w:p>
      <w:pPr>
        <w:spacing w:after="120" w:line="276" w:lineRule="auto"/>
      </w:pPr>
      <w:r>
        <w:rPr>
          <w:rFonts w:ascii="Calibri" w:hAnsi="Calibri"/>
          <w:color w:val="212529"/>
          <w:sz w:val="22"/>
        </w:rPr>
        <w:t>To address these questions with uncompromising academic rigor, this study adheres strictly to reproducible research principles: all code executes via standard R scripts, data splits are conducted using explicit random seeds, and no synthetic or fabricated values are utilized at any stage.</w:t>
      </w:r>
    </w:p>
    <w:p>
      <w:pPr>
        <w:pStyle w:val="Heading1"/>
        <w:keepNext/>
        <w:spacing w:before="360" w:after="120"/>
      </w:pPr>
      <w:r>
        <w:rPr>
          <w:rFonts w:ascii="Calibri" w:hAnsi="Calibri"/>
          <w:b/>
          <w:color w:val="1B365D"/>
          <w:sz w:val="34"/>
        </w:rPr>
        <w:t>Section 2: Dataset Provenance and Preprocessing Verification</w:t>
      </w:r>
    </w:p>
    <w:p>
      <w:pPr>
        <w:spacing w:after="120" w:line="276" w:lineRule="auto"/>
      </w:pPr>
      <w:r>
        <w:rPr>
          <w:rFonts w:ascii="Calibri" w:hAnsi="Calibri"/>
          <w:color w:val="212529"/>
          <w:sz w:val="22"/>
        </w:rPr>
        <w:t>The baseline dataset utilized in Week 3 is the cleaned tabular extract (`data/cleaned/adult_cleaned.csv` and `outputs/adult_cleaned.rds`), which was finalized during the Week 1 data quality pipeline. The raw archive originally contained 32,561 records across 15 attributes.</w:t>
      </w:r>
    </w:p>
    <w:p>
      <w:pPr>
        <w:spacing w:after="120" w:line="276" w:lineRule="auto"/>
      </w:pPr>
      <w:r>
        <w:rPr>
          <w:rFonts w:ascii="Calibri" w:hAnsi="Calibri"/>
          <w:b/>
          <w:color w:val="1B365D"/>
          <w:sz w:val="22"/>
        </w:rPr>
        <w:t xml:space="preserve">Cleaning and Verification Audit: </w:t>
      </w:r>
      <w:r>
        <w:rPr>
          <w:rFonts w:ascii="Calibri" w:hAnsi="Calibri"/>
          <w:color w:val="212529"/>
          <w:sz w:val="22"/>
        </w:rPr>
        <w:t>A summary of data hygiene operations verified prior to modeling includes:</w:t>
      </w:r>
    </w:p>
    <w:p>
      <w:pPr>
        <w:pStyle w:val="ListBullet"/>
        <w:spacing w:after="60" w:line="276" w:lineRule="auto"/>
      </w:pPr>
      <w:r>
        <w:rPr>
          <w:rFonts w:ascii="Calibri" w:hAnsi="Calibri"/>
          <w:b/>
          <w:color w:val="1B365D"/>
          <w:sz w:val="21"/>
        </w:rPr>
        <w:t xml:space="preserve">Missingness: </w:t>
      </w:r>
      <w:r>
        <w:rPr>
          <w:rFonts w:ascii="Calibri" w:hAnsi="Calibri"/>
          <w:color w:val="212529"/>
          <w:sz w:val="21"/>
        </w:rPr>
        <w:t>Missing Value Resolution: The raw census file utilized whitespace-padded question marks (' ?') to denote missing entries across workclass (1,836 missing), occupation (1,843 missing), and native_country (583 missing). As demonstrated in Week 1, mode imputation was applied within homogeneous stratum to maintain complete-case records without discarding 7.4% of the sample.</w:t>
      </w:r>
    </w:p>
    <w:p>
      <w:pPr>
        <w:pStyle w:val="ListBullet"/>
        <w:spacing w:after="60" w:line="276" w:lineRule="auto"/>
      </w:pPr>
      <w:r>
        <w:rPr>
          <w:rFonts w:ascii="Calibri" w:hAnsi="Calibri"/>
          <w:b/>
          <w:color w:val="1B365D"/>
          <w:sz w:val="21"/>
        </w:rPr>
        <w:t xml:space="preserve">Deduplication: </w:t>
      </w:r>
      <w:r>
        <w:rPr>
          <w:rFonts w:ascii="Calibri" w:hAnsi="Calibri"/>
          <w:color w:val="212529"/>
          <w:sz w:val="21"/>
        </w:rPr>
        <w:t>Deduplication: Exactly 24 duplicate records were identified and purged, leaving N = 32,537 unique records.</w:t>
      </w:r>
    </w:p>
    <w:p>
      <w:pPr>
        <w:pStyle w:val="ListBullet"/>
        <w:spacing w:after="60" w:line="276" w:lineRule="auto"/>
      </w:pPr>
      <w:r>
        <w:rPr>
          <w:rFonts w:ascii="Calibri" w:hAnsi="Calibri"/>
          <w:b/>
          <w:color w:val="1B365D"/>
          <w:sz w:val="21"/>
        </w:rPr>
        <w:t xml:space="preserve">Target Coding: </w:t>
      </w:r>
      <w:r>
        <w:rPr>
          <w:rFonts w:ascii="Calibri" w:hAnsi="Calibri"/>
          <w:color w:val="212529"/>
          <w:sz w:val="21"/>
        </w:rPr>
        <w:t>Target Formatting: The target column `income` is encoded as a two-level factor with '&lt;=50K' designated as the reference level (0) and '&gt;50K' designated as the positive class (1). In the full dataset, 24,698 individuals (75.91%) earn &lt;=$50,000, while 7,839 individuals (24.09%) earn &gt;$50,000, establishing a baseline class imbalance ratio of 3.15 to 1.</w:t>
      </w:r>
    </w:p>
    <w:p>
      <w:pPr>
        <w:pStyle w:val="ListBullet"/>
        <w:spacing w:after="60" w:line="276" w:lineRule="auto"/>
      </w:pPr>
      <w:r>
        <w:rPr>
          <w:rFonts w:ascii="Calibri" w:hAnsi="Calibri"/>
          <w:b/>
          <w:color w:val="1B365D"/>
          <w:sz w:val="21"/>
        </w:rPr>
        <w:t xml:space="preserve">Predictor Design: </w:t>
      </w:r>
      <w:r>
        <w:rPr>
          <w:rFonts w:ascii="Calibri" w:hAnsi="Calibri"/>
          <w:color w:val="212529"/>
          <w:sz w:val="21"/>
        </w:rPr>
        <w:t>Predictor Harmonization: The continuous variable `education_num` captures years of formal education (1 to 16) and is retained in lieu of the raw 16-level categorical `education` string to eliminate perfect multicollinearity. The survey sampling weight `fnlwgt` is excluded from predictive modeling to prevent artificial inflation of variance, in accordance with UCI machine learning conventions.</w:t>
      </w:r>
    </w:p>
    <w:p>
      <w:pPr>
        <w:pStyle w:val="ListBullet"/>
        <w:spacing w:after="60" w:line="276" w:lineRule="auto"/>
      </w:pPr>
      <w:r>
        <w:rPr>
          <w:rFonts w:ascii="Calibri" w:hAnsi="Calibri"/>
          <w:b/>
          <w:color w:val="1B365D"/>
          <w:sz w:val="21"/>
        </w:rPr>
        <w:t xml:space="preserve">Sparsity Management: </w:t>
      </w:r>
      <w:r>
        <w:rPr>
          <w:rFonts w:ascii="Calibri" w:hAnsi="Calibri"/>
          <w:color w:val="212529"/>
          <w:sz w:val="21"/>
        </w:rPr>
        <w:t>Native Country Grouping: Given extreme sparsity in non-US origins (583 cases spread across 41 countries), `native_country` was harmonized into a binary factor `native_region` ('United-States' vs. 'Non-US') to prevent quasi-complete separation during logistic regression estimation.</w:t>
      </w:r>
    </w:p>
    <w:p>
      <w:pPr>
        <w:spacing w:before="160" w:after="60"/>
        <w:jc w:val="center"/>
      </w:pPr>
      <w:r>
        <w:drawing>
          <wp:inline xmlns:a="http://schemas.openxmlformats.org/drawingml/2006/main" xmlns:pic="http://schemas.openxmlformats.org/drawingml/2006/picture">
            <wp:extent cx="5303520" cy="3916446"/>
            <wp:docPr id="1" name="Picture 1"/>
            <wp:cNvGraphicFramePr>
              <a:graphicFrameLocks noChangeAspect="1"/>
            </wp:cNvGraphicFramePr>
            <a:graphic>
              <a:graphicData uri="http://schemas.openxmlformats.org/drawingml/2006/picture">
                <pic:pic>
                  <pic:nvPicPr>
                    <pic:cNvPr id="0" name="week3_income_distribution.png"/>
                    <pic:cNvPicPr/>
                  </pic:nvPicPr>
                  <pic:blipFill>
                    <a:blip r:embed="rId11"/>
                    <a:stretch>
                      <a:fillRect/>
                    </a:stretch>
                  </pic:blipFill>
                  <pic:spPr>
                    <a:xfrm>
                      <a:off x="0" y="0"/>
                      <a:ext cx="5303520" cy="3916446"/>
                    </a:xfrm>
                    <a:prstGeom prst="rect"/>
                  </pic:spPr>
                </pic:pic>
              </a:graphicData>
            </a:graphic>
          </wp:inline>
        </w:drawing>
      </w:r>
    </w:p>
    <w:p>
      <w:pPr>
        <w:spacing w:after="160"/>
        <w:jc w:val="center"/>
      </w:pPr>
      <w:r>
        <w:rPr>
          <w:b/>
          <w:color w:val="1B365D"/>
          <w:sz w:val="19"/>
        </w:rPr>
        <w:t xml:space="preserve">Figure 1: </w:t>
      </w:r>
      <w:r>
        <w:rPr>
          <w:b/>
          <w:color w:val="465C7A"/>
          <w:sz w:val="19"/>
        </w:rPr>
        <w:t xml:space="preserve">Target Class Imbalance Distribution. </w:t>
      </w:r>
      <w:r>
        <w:rPr>
          <w:i/>
          <w:color w:val="6C757D"/>
          <w:sz w:val="18"/>
        </w:rPr>
        <w:t>Prevalence of annual income tiers in the cleaned census sample (N = 32,537). Low earners (&lt;=50K) comprise 75.91% while high earners (&gt;50K) represent 24.09%.</w:t>
      </w:r>
    </w:p>
    <w:p>
      <w:pPr>
        <w:pStyle w:val="Heading1"/>
        <w:keepNext/>
        <w:spacing w:before="360" w:after="120"/>
      </w:pPr>
      <w:r>
        <w:rPr>
          <w:rFonts w:ascii="Calibri" w:hAnsi="Calibri"/>
          <w:b/>
          <w:color w:val="1B365D"/>
          <w:sz w:val="34"/>
        </w:rPr>
        <w:t>Section 3: Exploratory Data Analysis &amp; Distributional Diagnostics</w:t>
      </w:r>
    </w:p>
    <w:p>
      <w:pPr>
        <w:spacing w:after="120" w:line="276" w:lineRule="auto"/>
      </w:pPr>
      <w:r>
        <w:rPr>
          <w:rFonts w:ascii="Calibri" w:hAnsi="Calibri"/>
          <w:color w:val="212529"/>
          <w:sz w:val="22"/>
        </w:rPr>
        <w:t>Prior to conducting inferential tests, the distributional properties of all continuous features were systematically evaluated. Normality diagnostics are vital because parametric tests (e.g., Student's t-test) rely on normality assumptions, although the Central Limit Theorem (CLT) provides substantial robustness when sample sizes are large (N &gt; 30,000).</w:t>
      </w:r>
    </w:p>
    <w:p>
      <w:pPr>
        <w:spacing w:after="120" w:line="276" w:lineRule="auto"/>
      </w:pPr>
      <w:r>
        <w:rPr>
          <w:rFonts w:ascii="Calibri" w:hAnsi="Calibri"/>
          <w:color w:val="212529"/>
          <w:sz w:val="22"/>
        </w:rPr>
        <w:t>Table 1 details the summary statistics, skewness, and kurtosis for the numerical attributes in the cleaned dataset:</w:t>
      </w:r>
    </w:p>
    <w:tbl>
      <w:tblPr>
        <w:tblW w:type="auto" w:w="0"/>
        <w:jc w:val="center"/>
        <w:tblLook w:firstColumn="1" w:firstRow="1" w:lastColumn="0" w:lastRow="0" w:noHBand="0" w:noVBand="1" w:val="04A0"/>
        <w:tblBorders>
          <w:top w:val="single" w:sz="6" w:space="0" w:color="D0D7DE"/>
          <w:bottom w:val="single" w:sz="8" w:space="0" w:color="D0D7DE"/>
          <w:insideH w:val="single" w:sz="4" w:space="0" w:color="D0D7DE"/>
          <w:insideV w:val="none"/>
          <w:left w:val="none"/>
          <w:right w:val="none"/>
        </w:tblBorders>
      </w:tblPr>
      <w:tblGrid>
        <w:gridCol w:w="1040"/>
        <w:gridCol w:w="1040"/>
        <w:gridCol w:w="1040"/>
        <w:gridCol w:w="1040"/>
        <w:gridCol w:w="1040"/>
        <w:gridCol w:w="1040"/>
        <w:gridCol w:w="1040"/>
        <w:gridCol w:w="1040"/>
        <w:gridCol w:w="1040"/>
      </w:tblGrid>
      <w:tr>
        <w:tc>
          <w:tcPr>
            <w:tcW w:type="dxa" w:w="1728"/>
            <w:shd w:fill="1B365D"/>
            <w:tcMar>
              <w:top w:w="120" w:type="dxa"/>
              <w:bottom w:w="120" w:type="dxa"/>
              <w:left w:w="120" w:type="dxa"/>
              <w:right w:w="120" w:type="dxa"/>
            </w:tcMar>
          </w:tcPr>
          <w:p>
            <w:pPr>
              <w:spacing w:after="0"/>
              <w:jc w:val="left"/>
            </w:pPr>
            <w:r>
              <w:rPr>
                <w:rFonts w:ascii="Calibri" w:hAnsi="Calibri"/>
                <w:b/>
                <w:color w:val="FFFFFF"/>
                <w:sz w:val="19"/>
              </w:rPr>
              <w:t>Variable</w:t>
            </w:r>
          </w:p>
        </w:tc>
        <w:tc>
          <w:tcPr>
            <w:tcW w:type="dxa" w:w="864"/>
            <w:shd w:fill="1B365D"/>
            <w:tcMar>
              <w:top w:w="120" w:type="dxa"/>
              <w:bottom w:w="120" w:type="dxa"/>
              <w:left w:w="120" w:type="dxa"/>
              <w:right w:w="120" w:type="dxa"/>
            </w:tcMar>
          </w:tcPr>
          <w:p>
            <w:pPr>
              <w:spacing w:after="0"/>
              <w:jc w:val="left"/>
            </w:pPr>
            <w:r>
              <w:rPr>
                <w:rFonts w:ascii="Calibri" w:hAnsi="Calibri"/>
                <w:b/>
                <w:color w:val="FFFFFF"/>
                <w:sz w:val="19"/>
              </w:rPr>
              <w:t>N</w:t>
            </w:r>
          </w:p>
        </w:tc>
        <w:tc>
          <w:tcPr>
            <w:tcW w:type="dxa" w:w="1008"/>
            <w:shd w:fill="1B365D"/>
            <w:tcMar>
              <w:top w:w="120" w:type="dxa"/>
              <w:bottom w:w="120" w:type="dxa"/>
              <w:left w:w="120" w:type="dxa"/>
              <w:right w:w="120" w:type="dxa"/>
            </w:tcMar>
          </w:tcPr>
          <w:p>
            <w:pPr>
              <w:spacing w:after="0"/>
              <w:jc w:val="left"/>
            </w:pPr>
            <w:r>
              <w:rPr>
                <w:rFonts w:ascii="Calibri" w:hAnsi="Calibri"/>
                <w:b/>
                <w:color w:val="FFFFFF"/>
                <w:sz w:val="19"/>
              </w:rPr>
              <w:t>Mean</w:t>
            </w:r>
          </w:p>
        </w:tc>
        <w:tc>
          <w:tcPr>
            <w:tcW w:type="dxa" w:w="1008"/>
            <w:shd w:fill="1B365D"/>
            <w:tcMar>
              <w:top w:w="120" w:type="dxa"/>
              <w:bottom w:w="120" w:type="dxa"/>
              <w:left w:w="120" w:type="dxa"/>
              <w:right w:w="120" w:type="dxa"/>
            </w:tcMar>
          </w:tcPr>
          <w:p>
            <w:pPr>
              <w:spacing w:after="0"/>
              <w:jc w:val="left"/>
            </w:pPr>
            <w:r>
              <w:rPr>
                <w:rFonts w:ascii="Calibri" w:hAnsi="Calibri"/>
                <w:b/>
                <w:color w:val="FFFFFF"/>
                <w:sz w:val="19"/>
              </w:rPr>
              <w:t>SD</w:t>
            </w:r>
          </w:p>
        </w:tc>
        <w:tc>
          <w:tcPr>
            <w:tcW w:type="dxa" w:w="1008"/>
            <w:shd w:fill="1B365D"/>
            <w:tcMar>
              <w:top w:w="120" w:type="dxa"/>
              <w:bottom w:w="120" w:type="dxa"/>
              <w:left w:w="120" w:type="dxa"/>
              <w:right w:w="120" w:type="dxa"/>
            </w:tcMar>
          </w:tcPr>
          <w:p>
            <w:pPr>
              <w:spacing w:after="0"/>
              <w:jc w:val="left"/>
            </w:pPr>
            <w:r>
              <w:rPr>
                <w:rFonts w:ascii="Calibri" w:hAnsi="Calibri"/>
                <w:b/>
                <w:color w:val="FFFFFF"/>
                <w:sz w:val="19"/>
              </w:rPr>
              <w:t>Median</w:t>
            </w:r>
          </w:p>
        </w:tc>
        <w:tc>
          <w:tcPr>
            <w:tcW w:type="dxa" w:w="864"/>
            <w:shd w:fill="1B365D"/>
            <w:tcMar>
              <w:top w:w="120" w:type="dxa"/>
              <w:bottom w:w="120" w:type="dxa"/>
              <w:left w:w="120" w:type="dxa"/>
              <w:right w:w="120" w:type="dxa"/>
            </w:tcMar>
          </w:tcPr>
          <w:p>
            <w:pPr>
              <w:spacing w:after="0"/>
              <w:jc w:val="left"/>
            </w:pPr>
            <w:r>
              <w:rPr>
                <w:rFonts w:ascii="Calibri" w:hAnsi="Calibri"/>
                <w:b/>
                <w:color w:val="FFFFFF"/>
                <w:sz w:val="19"/>
              </w:rPr>
              <w:t>IQR</w:t>
            </w:r>
          </w:p>
        </w:tc>
        <w:tc>
          <w:tcPr>
            <w:tcW w:type="dxa" w:w="1296"/>
            <w:shd w:fill="1B365D"/>
            <w:tcMar>
              <w:top w:w="120" w:type="dxa"/>
              <w:bottom w:w="120" w:type="dxa"/>
              <w:left w:w="120" w:type="dxa"/>
              <w:right w:w="120" w:type="dxa"/>
            </w:tcMar>
          </w:tcPr>
          <w:p>
            <w:pPr>
              <w:spacing w:after="0"/>
              <w:jc w:val="left"/>
            </w:pPr>
            <w:r>
              <w:rPr>
                <w:rFonts w:ascii="Calibri" w:hAnsi="Calibri"/>
                <w:b/>
                <w:color w:val="FFFFFF"/>
                <w:sz w:val="19"/>
              </w:rPr>
              <w:t>Min-Max</w:t>
            </w:r>
          </w:p>
        </w:tc>
        <w:tc>
          <w:tcPr>
            <w:tcW w:type="dxa" w:w="864"/>
            <w:shd w:fill="1B365D"/>
            <w:tcMar>
              <w:top w:w="120" w:type="dxa"/>
              <w:bottom w:w="120" w:type="dxa"/>
              <w:left w:w="120" w:type="dxa"/>
              <w:right w:w="120" w:type="dxa"/>
            </w:tcMar>
          </w:tcPr>
          <w:p>
            <w:pPr>
              <w:spacing w:after="0"/>
              <w:jc w:val="left"/>
            </w:pPr>
            <w:r>
              <w:rPr>
                <w:rFonts w:ascii="Calibri" w:hAnsi="Calibri"/>
                <w:b/>
                <w:color w:val="FFFFFF"/>
                <w:sz w:val="19"/>
              </w:rPr>
              <w:t>Skewness</w:t>
            </w:r>
          </w:p>
        </w:tc>
        <w:tc>
          <w:tcPr>
            <w:tcW w:type="dxa" w:w="864"/>
            <w:shd w:fill="1B365D"/>
            <w:tcMar>
              <w:top w:w="120" w:type="dxa"/>
              <w:bottom w:w="120" w:type="dxa"/>
              <w:left w:w="120" w:type="dxa"/>
              <w:right w:w="120" w:type="dxa"/>
            </w:tcMar>
          </w:tcPr>
          <w:p>
            <w:pPr>
              <w:spacing w:after="0"/>
              <w:jc w:val="left"/>
            </w:pPr>
            <w:r>
              <w:rPr>
                <w:rFonts w:ascii="Calibri" w:hAnsi="Calibri"/>
                <w:b/>
                <w:color w:val="FFFFFF"/>
                <w:sz w:val="19"/>
              </w:rPr>
              <w:t>Kurtosis</w:t>
            </w:r>
          </w:p>
        </w:tc>
      </w:tr>
      <w:tr>
        <w:tc>
          <w:tcPr>
            <w:tcW w:type="dxa" w:w="1728"/>
            <w:shd w:fill="FFFFFF"/>
            <w:tcMar>
              <w:top w:w="80" w:type="dxa"/>
              <w:bottom w:w="80" w:type="dxa"/>
              <w:left w:w="120" w:type="dxa"/>
              <w:right w:w="120" w:type="dxa"/>
            </w:tcMar>
          </w:tcPr>
          <w:p>
            <w:pPr>
              <w:spacing w:after="0"/>
              <w:jc w:val="left"/>
            </w:pPr>
            <w:r>
              <w:rPr>
                <w:rFonts w:ascii="Calibri" w:hAnsi="Calibri"/>
                <w:b/>
                <w:color w:val="212529"/>
                <w:sz w:val="18"/>
              </w:rPr>
              <w:t>age</w:t>
            </w:r>
          </w:p>
        </w:tc>
        <w:tc>
          <w:tcPr>
            <w:tcW w:type="dxa" w:w="864"/>
            <w:shd w:fill="FFFFFF"/>
            <w:tcMar>
              <w:top w:w="80" w:type="dxa"/>
              <w:bottom w:w="80" w:type="dxa"/>
              <w:left w:w="120" w:type="dxa"/>
              <w:right w:w="120" w:type="dxa"/>
            </w:tcMar>
          </w:tcPr>
          <w:p>
            <w:pPr>
              <w:spacing w:after="0"/>
              <w:jc w:val="left"/>
            </w:pPr>
            <w:r>
              <w:rPr>
                <w:rFonts w:ascii="Calibri" w:hAnsi="Calibri"/>
                <w:b w:val="0"/>
                <w:color w:val="212529"/>
                <w:sz w:val="18"/>
              </w:rPr>
              <w:t>32,537</w:t>
            </w:r>
          </w:p>
        </w:tc>
        <w:tc>
          <w:tcPr>
            <w:tcW w:type="dxa" w:w="1008"/>
            <w:shd w:fill="FFFFFF"/>
            <w:tcMar>
              <w:top w:w="80" w:type="dxa"/>
              <w:bottom w:w="80" w:type="dxa"/>
              <w:left w:w="120" w:type="dxa"/>
              <w:right w:w="120" w:type="dxa"/>
            </w:tcMar>
          </w:tcPr>
          <w:p>
            <w:pPr>
              <w:spacing w:after="0"/>
              <w:jc w:val="left"/>
            </w:pPr>
            <w:r>
              <w:rPr>
                <w:rFonts w:ascii="Calibri" w:hAnsi="Calibri"/>
                <w:b w:val="0"/>
                <w:color w:val="212529"/>
                <w:sz w:val="18"/>
              </w:rPr>
              <w:t>38.59</w:t>
            </w:r>
          </w:p>
        </w:tc>
        <w:tc>
          <w:tcPr>
            <w:tcW w:type="dxa" w:w="1008"/>
            <w:shd w:fill="FFFFFF"/>
            <w:tcMar>
              <w:top w:w="80" w:type="dxa"/>
              <w:bottom w:w="80" w:type="dxa"/>
              <w:left w:w="120" w:type="dxa"/>
              <w:right w:w="120" w:type="dxa"/>
            </w:tcMar>
          </w:tcPr>
          <w:p>
            <w:pPr>
              <w:spacing w:after="0"/>
              <w:jc w:val="left"/>
            </w:pPr>
            <w:r>
              <w:rPr>
                <w:rFonts w:ascii="Calibri" w:hAnsi="Calibri"/>
                <w:b w:val="0"/>
                <w:color w:val="212529"/>
                <w:sz w:val="18"/>
              </w:rPr>
              <w:t>13.64</w:t>
            </w:r>
          </w:p>
        </w:tc>
        <w:tc>
          <w:tcPr>
            <w:tcW w:type="dxa" w:w="1008"/>
            <w:shd w:fill="FFFFFF"/>
            <w:tcMar>
              <w:top w:w="80" w:type="dxa"/>
              <w:bottom w:w="80" w:type="dxa"/>
              <w:left w:w="120" w:type="dxa"/>
              <w:right w:w="120" w:type="dxa"/>
            </w:tcMar>
          </w:tcPr>
          <w:p>
            <w:pPr>
              <w:spacing w:after="0"/>
              <w:jc w:val="left"/>
            </w:pPr>
            <w:r>
              <w:rPr>
                <w:rFonts w:ascii="Calibri" w:hAnsi="Calibri"/>
                <w:b w:val="0"/>
                <w:color w:val="212529"/>
                <w:sz w:val="18"/>
              </w:rPr>
              <w:t>37.0</w:t>
            </w:r>
          </w:p>
        </w:tc>
        <w:tc>
          <w:tcPr>
            <w:tcW w:type="dxa" w:w="864"/>
            <w:shd w:fill="FFFFFF"/>
            <w:tcMar>
              <w:top w:w="80" w:type="dxa"/>
              <w:bottom w:w="80" w:type="dxa"/>
              <w:left w:w="120" w:type="dxa"/>
              <w:right w:w="120" w:type="dxa"/>
            </w:tcMar>
          </w:tcPr>
          <w:p>
            <w:pPr>
              <w:spacing w:after="0"/>
              <w:jc w:val="left"/>
            </w:pPr>
            <w:r>
              <w:rPr>
                <w:rFonts w:ascii="Calibri" w:hAnsi="Calibri"/>
                <w:b w:val="0"/>
                <w:color w:val="212529"/>
                <w:sz w:val="18"/>
              </w:rPr>
              <w:t>20.0</w:t>
            </w:r>
          </w:p>
        </w:tc>
        <w:tc>
          <w:tcPr>
            <w:tcW w:type="dxa" w:w="1296"/>
            <w:shd w:fill="FFFFFF"/>
            <w:tcMar>
              <w:top w:w="80" w:type="dxa"/>
              <w:bottom w:w="80" w:type="dxa"/>
              <w:left w:w="120" w:type="dxa"/>
              <w:right w:w="120" w:type="dxa"/>
            </w:tcMar>
          </w:tcPr>
          <w:p>
            <w:pPr>
              <w:spacing w:after="0"/>
              <w:jc w:val="left"/>
            </w:pPr>
            <w:r>
              <w:rPr>
                <w:rFonts w:ascii="Calibri" w:hAnsi="Calibri"/>
                <w:b w:val="0"/>
                <w:color w:val="212529"/>
                <w:sz w:val="18"/>
              </w:rPr>
              <w:t>17 - 90</w:t>
            </w:r>
          </w:p>
        </w:tc>
        <w:tc>
          <w:tcPr>
            <w:tcW w:type="dxa" w:w="864"/>
            <w:shd w:fill="FFFFFF"/>
            <w:tcMar>
              <w:top w:w="80" w:type="dxa"/>
              <w:bottom w:w="80" w:type="dxa"/>
              <w:left w:w="120" w:type="dxa"/>
              <w:right w:w="120" w:type="dxa"/>
            </w:tcMar>
          </w:tcPr>
          <w:p>
            <w:pPr>
              <w:spacing w:after="0"/>
              <w:jc w:val="left"/>
            </w:pPr>
            <w:r>
              <w:rPr>
                <w:rFonts w:ascii="Calibri" w:hAnsi="Calibri"/>
                <w:b w:val="0"/>
                <w:color w:val="212529"/>
                <w:sz w:val="18"/>
              </w:rPr>
              <w:t>+0.56</w:t>
            </w:r>
          </w:p>
        </w:tc>
        <w:tc>
          <w:tcPr>
            <w:tcW w:type="dxa" w:w="864"/>
            <w:shd w:fill="FFFFFF"/>
            <w:tcMar>
              <w:top w:w="80" w:type="dxa"/>
              <w:bottom w:w="80" w:type="dxa"/>
              <w:left w:w="120" w:type="dxa"/>
              <w:right w:w="120" w:type="dxa"/>
            </w:tcMar>
          </w:tcPr>
          <w:p>
            <w:pPr>
              <w:spacing w:after="0"/>
              <w:jc w:val="left"/>
            </w:pPr>
            <w:r>
              <w:rPr>
                <w:rFonts w:ascii="Calibri" w:hAnsi="Calibri"/>
                <w:b w:val="0"/>
                <w:color w:val="212529"/>
                <w:sz w:val="18"/>
              </w:rPr>
              <w:t>2.83</w:t>
            </w:r>
          </w:p>
        </w:tc>
      </w:tr>
      <w:tr>
        <w:tc>
          <w:tcPr>
            <w:tcW w:type="dxa" w:w="1728"/>
            <w:shd w:fill="F9FAFB"/>
            <w:tcMar>
              <w:top w:w="80" w:type="dxa"/>
              <w:bottom w:w="80" w:type="dxa"/>
              <w:left w:w="120" w:type="dxa"/>
              <w:right w:w="120" w:type="dxa"/>
            </w:tcMar>
          </w:tcPr>
          <w:p>
            <w:pPr>
              <w:spacing w:after="0"/>
              <w:jc w:val="left"/>
            </w:pPr>
            <w:r>
              <w:rPr>
                <w:rFonts w:ascii="Calibri" w:hAnsi="Calibri"/>
                <w:b/>
                <w:color w:val="212529"/>
                <w:sz w:val="18"/>
              </w:rPr>
              <w:t>fnlwgt</w:t>
            </w:r>
          </w:p>
        </w:tc>
        <w:tc>
          <w:tcPr>
            <w:tcW w:type="dxa" w:w="864"/>
            <w:shd w:fill="F9FAFB"/>
            <w:tcMar>
              <w:top w:w="80" w:type="dxa"/>
              <w:bottom w:w="80" w:type="dxa"/>
              <w:left w:w="120" w:type="dxa"/>
              <w:right w:w="120" w:type="dxa"/>
            </w:tcMar>
          </w:tcPr>
          <w:p>
            <w:pPr>
              <w:spacing w:after="0"/>
              <w:jc w:val="left"/>
            </w:pPr>
            <w:r>
              <w:rPr>
                <w:rFonts w:ascii="Calibri" w:hAnsi="Calibri"/>
                <w:b w:val="0"/>
                <w:color w:val="212529"/>
                <w:sz w:val="18"/>
              </w:rPr>
              <w:t>32,537</w:t>
            </w:r>
          </w:p>
        </w:tc>
        <w:tc>
          <w:tcPr>
            <w:tcW w:type="dxa" w:w="1008"/>
            <w:shd w:fill="F9FAFB"/>
            <w:tcMar>
              <w:top w:w="80" w:type="dxa"/>
              <w:bottom w:w="80" w:type="dxa"/>
              <w:left w:w="120" w:type="dxa"/>
              <w:right w:w="120" w:type="dxa"/>
            </w:tcMar>
          </w:tcPr>
          <w:p>
            <w:pPr>
              <w:spacing w:after="0"/>
              <w:jc w:val="left"/>
            </w:pPr>
            <w:r>
              <w:rPr>
                <w:rFonts w:ascii="Calibri" w:hAnsi="Calibri"/>
                <w:b w:val="0"/>
                <w:color w:val="212529"/>
                <w:sz w:val="18"/>
              </w:rPr>
              <w:t>189780.85</w:t>
            </w:r>
          </w:p>
        </w:tc>
        <w:tc>
          <w:tcPr>
            <w:tcW w:type="dxa" w:w="1008"/>
            <w:shd w:fill="F9FAFB"/>
            <w:tcMar>
              <w:top w:w="80" w:type="dxa"/>
              <w:bottom w:w="80" w:type="dxa"/>
              <w:left w:w="120" w:type="dxa"/>
              <w:right w:w="120" w:type="dxa"/>
            </w:tcMar>
          </w:tcPr>
          <w:p>
            <w:pPr>
              <w:spacing w:after="0"/>
              <w:jc w:val="left"/>
            </w:pPr>
            <w:r>
              <w:rPr>
                <w:rFonts w:ascii="Calibri" w:hAnsi="Calibri"/>
                <w:b w:val="0"/>
                <w:color w:val="212529"/>
                <w:sz w:val="18"/>
              </w:rPr>
              <w:t>105556.47</w:t>
            </w:r>
          </w:p>
        </w:tc>
        <w:tc>
          <w:tcPr>
            <w:tcW w:type="dxa" w:w="1008"/>
            <w:shd w:fill="F9FAFB"/>
            <w:tcMar>
              <w:top w:w="80" w:type="dxa"/>
              <w:bottom w:w="80" w:type="dxa"/>
              <w:left w:w="120" w:type="dxa"/>
              <w:right w:w="120" w:type="dxa"/>
            </w:tcMar>
          </w:tcPr>
          <w:p>
            <w:pPr>
              <w:spacing w:after="0"/>
              <w:jc w:val="left"/>
            </w:pPr>
            <w:r>
              <w:rPr>
                <w:rFonts w:ascii="Calibri" w:hAnsi="Calibri"/>
                <w:b w:val="0"/>
                <w:color w:val="212529"/>
                <w:sz w:val="18"/>
              </w:rPr>
              <w:t>178356.0</w:t>
            </w:r>
          </w:p>
        </w:tc>
        <w:tc>
          <w:tcPr>
            <w:tcW w:type="dxa" w:w="864"/>
            <w:shd w:fill="F9FAFB"/>
            <w:tcMar>
              <w:top w:w="80" w:type="dxa"/>
              <w:bottom w:w="80" w:type="dxa"/>
              <w:left w:w="120" w:type="dxa"/>
              <w:right w:w="120" w:type="dxa"/>
            </w:tcMar>
          </w:tcPr>
          <w:p>
            <w:pPr>
              <w:spacing w:after="0"/>
              <w:jc w:val="left"/>
            </w:pPr>
            <w:r>
              <w:rPr>
                <w:rFonts w:ascii="Calibri" w:hAnsi="Calibri"/>
                <w:b w:val="0"/>
                <w:color w:val="212529"/>
                <w:sz w:val="18"/>
              </w:rPr>
              <w:t>119166.0</w:t>
            </w:r>
          </w:p>
        </w:tc>
        <w:tc>
          <w:tcPr>
            <w:tcW w:type="dxa" w:w="1296"/>
            <w:shd w:fill="F9FAFB"/>
            <w:tcMar>
              <w:top w:w="80" w:type="dxa"/>
              <w:bottom w:w="80" w:type="dxa"/>
              <w:left w:w="120" w:type="dxa"/>
              <w:right w:w="120" w:type="dxa"/>
            </w:tcMar>
          </w:tcPr>
          <w:p>
            <w:pPr>
              <w:spacing w:after="0"/>
              <w:jc w:val="left"/>
            </w:pPr>
            <w:r>
              <w:rPr>
                <w:rFonts w:ascii="Calibri" w:hAnsi="Calibri"/>
                <w:b w:val="0"/>
                <w:color w:val="212529"/>
                <w:sz w:val="18"/>
              </w:rPr>
              <w:t>12285 - 1484705</w:t>
            </w:r>
          </w:p>
        </w:tc>
        <w:tc>
          <w:tcPr>
            <w:tcW w:type="dxa" w:w="864"/>
            <w:shd w:fill="F9FAFB"/>
            <w:tcMar>
              <w:top w:w="80" w:type="dxa"/>
              <w:bottom w:w="80" w:type="dxa"/>
              <w:left w:w="120" w:type="dxa"/>
              <w:right w:w="120" w:type="dxa"/>
            </w:tcMar>
          </w:tcPr>
          <w:p>
            <w:pPr>
              <w:spacing w:after="0"/>
              <w:jc w:val="left"/>
            </w:pPr>
            <w:r>
              <w:rPr>
                <w:rFonts w:ascii="Calibri" w:hAnsi="Calibri"/>
                <w:b w:val="0"/>
                <w:color w:val="212529"/>
                <w:sz w:val="18"/>
              </w:rPr>
              <w:t>+1.45</w:t>
            </w:r>
          </w:p>
        </w:tc>
        <w:tc>
          <w:tcPr>
            <w:tcW w:type="dxa" w:w="864"/>
            <w:shd w:fill="F9FAFB"/>
            <w:tcMar>
              <w:top w:w="80" w:type="dxa"/>
              <w:bottom w:w="80" w:type="dxa"/>
              <w:left w:w="120" w:type="dxa"/>
              <w:right w:w="120" w:type="dxa"/>
            </w:tcMar>
          </w:tcPr>
          <w:p>
            <w:pPr>
              <w:spacing w:after="0"/>
              <w:jc w:val="left"/>
            </w:pPr>
            <w:r>
              <w:rPr>
                <w:rFonts w:ascii="Calibri" w:hAnsi="Calibri"/>
                <w:b w:val="0"/>
                <w:color w:val="212529"/>
                <w:sz w:val="18"/>
              </w:rPr>
              <w:t>9.22</w:t>
            </w:r>
          </w:p>
        </w:tc>
      </w:tr>
      <w:tr>
        <w:tc>
          <w:tcPr>
            <w:tcW w:type="dxa" w:w="1728"/>
            <w:shd w:fill="FFFFFF"/>
            <w:tcMar>
              <w:top w:w="80" w:type="dxa"/>
              <w:bottom w:w="80" w:type="dxa"/>
              <w:left w:w="120" w:type="dxa"/>
              <w:right w:w="120" w:type="dxa"/>
            </w:tcMar>
          </w:tcPr>
          <w:p>
            <w:pPr>
              <w:spacing w:after="0"/>
              <w:jc w:val="left"/>
            </w:pPr>
            <w:r>
              <w:rPr>
                <w:rFonts w:ascii="Calibri" w:hAnsi="Calibri"/>
                <w:b/>
                <w:color w:val="212529"/>
                <w:sz w:val="18"/>
              </w:rPr>
              <w:t>education_num</w:t>
            </w:r>
          </w:p>
        </w:tc>
        <w:tc>
          <w:tcPr>
            <w:tcW w:type="dxa" w:w="864"/>
            <w:shd w:fill="FFFFFF"/>
            <w:tcMar>
              <w:top w:w="80" w:type="dxa"/>
              <w:bottom w:w="80" w:type="dxa"/>
              <w:left w:w="120" w:type="dxa"/>
              <w:right w:w="120" w:type="dxa"/>
            </w:tcMar>
          </w:tcPr>
          <w:p>
            <w:pPr>
              <w:spacing w:after="0"/>
              <w:jc w:val="left"/>
            </w:pPr>
            <w:r>
              <w:rPr>
                <w:rFonts w:ascii="Calibri" w:hAnsi="Calibri"/>
                <w:b w:val="0"/>
                <w:color w:val="212529"/>
                <w:sz w:val="18"/>
              </w:rPr>
              <w:t>32,537</w:t>
            </w:r>
          </w:p>
        </w:tc>
        <w:tc>
          <w:tcPr>
            <w:tcW w:type="dxa" w:w="1008"/>
            <w:shd w:fill="FFFFFF"/>
            <w:tcMar>
              <w:top w:w="80" w:type="dxa"/>
              <w:bottom w:w="80" w:type="dxa"/>
              <w:left w:w="120" w:type="dxa"/>
              <w:right w:w="120" w:type="dxa"/>
            </w:tcMar>
          </w:tcPr>
          <w:p>
            <w:pPr>
              <w:spacing w:after="0"/>
              <w:jc w:val="left"/>
            </w:pPr>
            <w:r>
              <w:rPr>
                <w:rFonts w:ascii="Calibri" w:hAnsi="Calibri"/>
                <w:b w:val="0"/>
                <w:color w:val="212529"/>
                <w:sz w:val="18"/>
              </w:rPr>
              <w:t>10.08</w:t>
            </w:r>
          </w:p>
        </w:tc>
        <w:tc>
          <w:tcPr>
            <w:tcW w:type="dxa" w:w="1008"/>
            <w:shd w:fill="FFFFFF"/>
            <w:tcMar>
              <w:top w:w="80" w:type="dxa"/>
              <w:bottom w:w="80" w:type="dxa"/>
              <w:left w:w="120" w:type="dxa"/>
              <w:right w:w="120" w:type="dxa"/>
            </w:tcMar>
          </w:tcPr>
          <w:p>
            <w:pPr>
              <w:spacing w:after="0"/>
              <w:jc w:val="left"/>
            </w:pPr>
            <w:r>
              <w:rPr>
                <w:rFonts w:ascii="Calibri" w:hAnsi="Calibri"/>
                <w:b w:val="0"/>
                <w:color w:val="212529"/>
                <w:sz w:val="18"/>
              </w:rPr>
              <w:t>2.57</w:t>
            </w:r>
          </w:p>
        </w:tc>
        <w:tc>
          <w:tcPr>
            <w:tcW w:type="dxa" w:w="1008"/>
            <w:shd w:fill="FFFFFF"/>
            <w:tcMar>
              <w:top w:w="80" w:type="dxa"/>
              <w:bottom w:w="80" w:type="dxa"/>
              <w:left w:w="120" w:type="dxa"/>
              <w:right w:w="120" w:type="dxa"/>
            </w:tcMar>
          </w:tcPr>
          <w:p>
            <w:pPr>
              <w:spacing w:after="0"/>
              <w:jc w:val="left"/>
            </w:pPr>
            <w:r>
              <w:rPr>
                <w:rFonts w:ascii="Calibri" w:hAnsi="Calibri"/>
                <w:b w:val="0"/>
                <w:color w:val="212529"/>
                <w:sz w:val="18"/>
              </w:rPr>
              <w:t>10.0</w:t>
            </w:r>
          </w:p>
        </w:tc>
        <w:tc>
          <w:tcPr>
            <w:tcW w:type="dxa" w:w="864"/>
            <w:shd w:fill="FFFFFF"/>
            <w:tcMar>
              <w:top w:w="80" w:type="dxa"/>
              <w:bottom w:w="80" w:type="dxa"/>
              <w:left w:w="120" w:type="dxa"/>
              <w:right w:w="120" w:type="dxa"/>
            </w:tcMar>
          </w:tcPr>
          <w:p>
            <w:pPr>
              <w:spacing w:after="0"/>
              <w:jc w:val="left"/>
            </w:pPr>
            <w:r>
              <w:rPr>
                <w:rFonts w:ascii="Calibri" w:hAnsi="Calibri"/>
                <w:b w:val="0"/>
                <w:color w:val="212529"/>
                <w:sz w:val="18"/>
              </w:rPr>
              <w:t>3.0</w:t>
            </w:r>
          </w:p>
        </w:tc>
        <w:tc>
          <w:tcPr>
            <w:tcW w:type="dxa" w:w="1296"/>
            <w:shd w:fill="FFFFFF"/>
            <w:tcMar>
              <w:top w:w="80" w:type="dxa"/>
              <w:bottom w:w="80" w:type="dxa"/>
              <w:left w:w="120" w:type="dxa"/>
              <w:right w:w="120" w:type="dxa"/>
            </w:tcMar>
          </w:tcPr>
          <w:p>
            <w:pPr>
              <w:spacing w:after="0"/>
              <w:jc w:val="left"/>
            </w:pPr>
            <w:r>
              <w:rPr>
                <w:rFonts w:ascii="Calibri" w:hAnsi="Calibri"/>
                <w:b w:val="0"/>
                <w:color w:val="212529"/>
                <w:sz w:val="18"/>
              </w:rPr>
              <w:t>1 - 16</w:t>
            </w:r>
          </w:p>
        </w:tc>
        <w:tc>
          <w:tcPr>
            <w:tcW w:type="dxa" w:w="864"/>
            <w:shd w:fill="FFFFFF"/>
            <w:tcMar>
              <w:top w:w="80" w:type="dxa"/>
              <w:bottom w:w="80" w:type="dxa"/>
              <w:left w:w="120" w:type="dxa"/>
              <w:right w:w="120" w:type="dxa"/>
            </w:tcMar>
          </w:tcPr>
          <w:p>
            <w:pPr>
              <w:spacing w:after="0"/>
              <w:jc w:val="left"/>
            </w:pPr>
            <w:r>
              <w:rPr>
                <w:rFonts w:ascii="Calibri" w:hAnsi="Calibri"/>
                <w:b w:val="0"/>
                <w:color w:val="212529"/>
                <w:sz w:val="18"/>
              </w:rPr>
              <w:t>-0.31</w:t>
            </w:r>
          </w:p>
        </w:tc>
        <w:tc>
          <w:tcPr>
            <w:tcW w:type="dxa" w:w="864"/>
            <w:shd w:fill="FFFFFF"/>
            <w:tcMar>
              <w:top w:w="80" w:type="dxa"/>
              <w:bottom w:w="80" w:type="dxa"/>
              <w:left w:w="120" w:type="dxa"/>
              <w:right w:w="120" w:type="dxa"/>
            </w:tcMar>
          </w:tcPr>
          <w:p>
            <w:pPr>
              <w:spacing w:after="0"/>
              <w:jc w:val="left"/>
            </w:pPr>
            <w:r>
              <w:rPr>
                <w:rFonts w:ascii="Calibri" w:hAnsi="Calibri"/>
                <w:b w:val="0"/>
                <w:color w:val="212529"/>
                <w:sz w:val="18"/>
              </w:rPr>
              <w:t>3.62</w:t>
            </w:r>
          </w:p>
        </w:tc>
      </w:tr>
      <w:tr>
        <w:tc>
          <w:tcPr>
            <w:tcW w:type="dxa" w:w="1728"/>
            <w:shd w:fill="F9FAFB"/>
            <w:tcMar>
              <w:top w:w="80" w:type="dxa"/>
              <w:bottom w:w="80" w:type="dxa"/>
              <w:left w:w="120" w:type="dxa"/>
              <w:right w:w="120" w:type="dxa"/>
            </w:tcMar>
          </w:tcPr>
          <w:p>
            <w:pPr>
              <w:spacing w:after="0"/>
              <w:jc w:val="left"/>
            </w:pPr>
            <w:r>
              <w:rPr>
                <w:rFonts w:ascii="Calibri" w:hAnsi="Calibri"/>
                <w:b/>
                <w:color w:val="212529"/>
                <w:sz w:val="18"/>
              </w:rPr>
              <w:t>capital_gain</w:t>
            </w:r>
          </w:p>
        </w:tc>
        <w:tc>
          <w:tcPr>
            <w:tcW w:type="dxa" w:w="864"/>
            <w:shd w:fill="F9FAFB"/>
            <w:tcMar>
              <w:top w:w="80" w:type="dxa"/>
              <w:bottom w:w="80" w:type="dxa"/>
              <w:left w:w="120" w:type="dxa"/>
              <w:right w:w="120" w:type="dxa"/>
            </w:tcMar>
          </w:tcPr>
          <w:p>
            <w:pPr>
              <w:spacing w:after="0"/>
              <w:jc w:val="left"/>
            </w:pPr>
            <w:r>
              <w:rPr>
                <w:rFonts w:ascii="Calibri" w:hAnsi="Calibri"/>
                <w:b w:val="0"/>
                <w:color w:val="212529"/>
                <w:sz w:val="18"/>
              </w:rPr>
              <w:t>32,537</w:t>
            </w:r>
          </w:p>
        </w:tc>
        <w:tc>
          <w:tcPr>
            <w:tcW w:type="dxa" w:w="1008"/>
            <w:shd w:fill="F9FAFB"/>
            <w:tcMar>
              <w:top w:w="80" w:type="dxa"/>
              <w:bottom w:w="80" w:type="dxa"/>
              <w:left w:w="120" w:type="dxa"/>
              <w:right w:w="120" w:type="dxa"/>
            </w:tcMar>
          </w:tcPr>
          <w:p>
            <w:pPr>
              <w:spacing w:after="0"/>
              <w:jc w:val="left"/>
            </w:pPr>
            <w:r>
              <w:rPr>
                <w:rFonts w:ascii="Calibri" w:hAnsi="Calibri"/>
                <w:b w:val="0"/>
                <w:color w:val="212529"/>
                <w:sz w:val="18"/>
              </w:rPr>
              <w:t>1078.44</w:t>
            </w:r>
          </w:p>
        </w:tc>
        <w:tc>
          <w:tcPr>
            <w:tcW w:type="dxa" w:w="1008"/>
            <w:shd w:fill="F9FAFB"/>
            <w:tcMar>
              <w:top w:w="80" w:type="dxa"/>
              <w:bottom w:w="80" w:type="dxa"/>
              <w:left w:w="120" w:type="dxa"/>
              <w:right w:w="120" w:type="dxa"/>
            </w:tcMar>
          </w:tcPr>
          <w:p>
            <w:pPr>
              <w:spacing w:after="0"/>
              <w:jc w:val="left"/>
            </w:pPr>
            <w:r>
              <w:rPr>
                <w:rFonts w:ascii="Calibri" w:hAnsi="Calibri"/>
                <w:b w:val="0"/>
                <w:color w:val="212529"/>
                <w:sz w:val="18"/>
              </w:rPr>
              <w:t>7387.96</w:t>
            </w:r>
          </w:p>
        </w:tc>
        <w:tc>
          <w:tcPr>
            <w:tcW w:type="dxa" w:w="1008"/>
            <w:shd w:fill="F9FAFB"/>
            <w:tcMar>
              <w:top w:w="80" w:type="dxa"/>
              <w:bottom w:w="80" w:type="dxa"/>
              <w:left w:w="120" w:type="dxa"/>
              <w:right w:w="120" w:type="dxa"/>
            </w:tcMar>
          </w:tcPr>
          <w:p>
            <w:pPr>
              <w:spacing w:after="0"/>
              <w:jc w:val="left"/>
            </w:pPr>
            <w:r>
              <w:rPr>
                <w:rFonts w:ascii="Calibri" w:hAnsi="Calibri"/>
                <w:b w:val="0"/>
                <w:color w:val="212529"/>
                <w:sz w:val="18"/>
              </w:rPr>
              <w:t>0.0</w:t>
            </w:r>
          </w:p>
        </w:tc>
        <w:tc>
          <w:tcPr>
            <w:tcW w:type="dxa" w:w="864"/>
            <w:shd w:fill="F9FAFB"/>
            <w:tcMar>
              <w:top w:w="80" w:type="dxa"/>
              <w:bottom w:w="80" w:type="dxa"/>
              <w:left w:w="120" w:type="dxa"/>
              <w:right w:w="120" w:type="dxa"/>
            </w:tcMar>
          </w:tcPr>
          <w:p>
            <w:pPr>
              <w:spacing w:after="0"/>
              <w:jc w:val="left"/>
            </w:pPr>
            <w:r>
              <w:rPr>
                <w:rFonts w:ascii="Calibri" w:hAnsi="Calibri"/>
                <w:b w:val="0"/>
                <w:color w:val="212529"/>
                <w:sz w:val="18"/>
              </w:rPr>
              <w:t>0.0</w:t>
            </w:r>
          </w:p>
        </w:tc>
        <w:tc>
          <w:tcPr>
            <w:tcW w:type="dxa" w:w="1296"/>
            <w:shd w:fill="F9FAFB"/>
            <w:tcMar>
              <w:top w:w="80" w:type="dxa"/>
              <w:bottom w:w="80" w:type="dxa"/>
              <w:left w:w="120" w:type="dxa"/>
              <w:right w:w="120" w:type="dxa"/>
            </w:tcMar>
          </w:tcPr>
          <w:p>
            <w:pPr>
              <w:spacing w:after="0"/>
              <w:jc w:val="left"/>
            </w:pPr>
            <w:r>
              <w:rPr>
                <w:rFonts w:ascii="Calibri" w:hAnsi="Calibri"/>
                <w:b w:val="0"/>
                <w:color w:val="212529"/>
                <w:sz w:val="18"/>
              </w:rPr>
              <w:t>0 - 99999</w:t>
            </w:r>
          </w:p>
        </w:tc>
        <w:tc>
          <w:tcPr>
            <w:tcW w:type="dxa" w:w="864"/>
            <w:shd w:fill="F9FAFB"/>
            <w:tcMar>
              <w:top w:w="80" w:type="dxa"/>
              <w:bottom w:w="80" w:type="dxa"/>
              <w:left w:w="120" w:type="dxa"/>
              <w:right w:w="120" w:type="dxa"/>
            </w:tcMar>
          </w:tcPr>
          <w:p>
            <w:pPr>
              <w:spacing w:after="0"/>
              <w:jc w:val="left"/>
            </w:pPr>
            <w:r>
              <w:rPr>
                <w:rFonts w:ascii="Calibri" w:hAnsi="Calibri"/>
                <w:b w:val="0"/>
                <w:color w:val="212529"/>
                <w:sz w:val="18"/>
              </w:rPr>
              <w:t>+11.95</w:t>
            </w:r>
          </w:p>
        </w:tc>
        <w:tc>
          <w:tcPr>
            <w:tcW w:type="dxa" w:w="864"/>
            <w:shd w:fill="F9FAFB"/>
            <w:tcMar>
              <w:top w:w="80" w:type="dxa"/>
              <w:bottom w:w="80" w:type="dxa"/>
              <w:left w:w="120" w:type="dxa"/>
              <w:right w:w="120" w:type="dxa"/>
            </w:tcMar>
          </w:tcPr>
          <w:p>
            <w:pPr>
              <w:spacing w:after="0"/>
              <w:jc w:val="left"/>
            </w:pPr>
            <w:r>
              <w:rPr>
                <w:rFonts w:ascii="Calibri" w:hAnsi="Calibri"/>
                <w:b w:val="0"/>
                <w:color w:val="212529"/>
                <w:sz w:val="18"/>
              </w:rPr>
              <w:t>157.66</w:t>
            </w:r>
          </w:p>
        </w:tc>
      </w:tr>
      <w:tr>
        <w:tc>
          <w:tcPr>
            <w:tcW w:type="dxa" w:w="1728"/>
            <w:shd w:fill="FFFFFF"/>
            <w:tcMar>
              <w:top w:w="80" w:type="dxa"/>
              <w:bottom w:w="80" w:type="dxa"/>
              <w:left w:w="120" w:type="dxa"/>
              <w:right w:w="120" w:type="dxa"/>
            </w:tcMar>
          </w:tcPr>
          <w:p>
            <w:pPr>
              <w:spacing w:after="0"/>
              <w:jc w:val="left"/>
            </w:pPr>
            <w:r>
              <w:rPr>
                <w:rFonts w:ascii="Calibri" w:hAnsi="Calibri"/>
                <w:b/>
                <w:color w:val="212529"/>
                <w:sz w:val="18"/>
              </w:rPr>
              <w:t>capital_loss</w:t>
            </w:r>
          </w:p>
        </w:tc>
        <w:tc>
          <w:tcPr>
            <w:tcW w:type="dxa" w:w="864"/>
            <w:shd w:fill="FFFFFF"/>
            <w:tcMar>
              <w:top w:w="80" w:type="dxa"/>
              <w:bottom w:w="80" w:type="dxa"/>
              <w:left w:w="120" w:type="dxa"/>
              <w:right w:w="120" w:type="dxa"/>
            </w:tcMar>
          </w:tcPr>
          <w:p>
            <w:pPr>
              <w:spacing w:after="0"/>
              <w:jc w:val="left"/>
            </w:pPr>
            <w:r>
              <w:rPr>
                <w:rFonts w:ascii="Calibri" w:hAnsi="Calibri"/>
                <w:b w:val="0"/>
                <w:color w:val="212529"/>
                <w:sz w:val="18"/>
              </w:rPr>
              <w:t>32,537</w:t>
            </w:r>
          </w:p>
        </w:tc>
        <w:tc>
          <w:tcPr>
            <w:tcW w:type="dxa" w:w="1008"/>
            <w:shd w:fill="FFFFFF"/>
            <w:tcMar>
              <w:top w:w="80" w:type="dxa"/>
              <w:bottom w:w="80" w:type="dxa"/>
              <w:left w:w="120" w:type="dxa"/>
              <w:right w:w="120" w:type="dxa"/>
            </w:tcMar>
          </w:tcPr>
          <w:p>
            <w:pPr>
              <w:spacing w:after="0"/>
              <w:jc w:val="left"/>
            </w:pPr>
            <w:r>
              <w:rPr>
                <w:rFonts w:ascii="Calibri" w:hAnsi="Calibri"/>
                <w:b w:val="0"/>
                <w:color w:val="212529"/>
                <w:sz w:val="18"/>
              </w:rPr>
              <w:t>87.37</w:t>
            </w:r>
          </w:p>
        </w:tc>
        <w:tc>
          <w:tcPr>
            <w:tcW w:type="dxa" w:w="1008"/>
            <w:shd w:fill="FFFFFF"/>
            <w:tcMar>
              <w:top w:w="80" w:type="dxa"/>
              <w:bottom w:w="80" w:type="dxa"/>
              <w:left w:w="120" w:type="dxa"/>
              <w:right w:w="120" w:type="dxa"/>
            </w:tcMar>
          </w:tcPr>
          <w:p>
            <w:pPr>
              <w:spacing w:after="0"/>
              <w:jc w:val="left"/>
            </w:pPr>
            <w:r>
              <w:rPr>
                <w:rFonts w:ascii="Calibri" w:hAnsi="Calibri"/>
                <w:b w:val="0"/>
                <w:color w:val="212529"/>
                <w:sz w:val="18"/>
              </w:rPr>
              <w:t>403.10</w:t>
            </w:r>
          </w:p>
        </w:tc>
        <w:tc>
          <w:tcPr>
            <w:tcW w:type="dxa" w:w="1008"/>
            <w:shd w:fill="FFFFFF"/>
            <w:tcMar>
              <w:top w:w="80" w:type="dxa"/>
              <w:bottom w:w="80" w:type="dxa"/>
              <w:left w:w="120" w:type="dxa"/>
              <w:right w:w="120" w:type="dxa"/>
            </w:tcMar>
          </w:tcPr>
          <w:p>
            <w:pPr>
              <w:spacing w:after="0"/>
              <w:jc w:val="left"/>
            </w:pPr>
            <w:r>
              <w:rPr>
                <w:rFonts w:ascii="Calibri" w:hAnsi="Calibri"/>
                <w:b w:val="0"/>
                <w:color w:val="212529"/>
                <w:sz w:val="18"/>
              </w:rPr>
              <w:t>0.0</w:t>
            </w:r>
          </w:p>
        </w:tc>
        <w:tc>
          <w:tcPr>
            <w:tcW w:type="dxa" w:w="864"/>
            <w:shd w:fill="FFFFFF"/>
            <w:tcMar>
              <w:top w:w="80" w:type="dxa"/>
              <w:bottom w:w="80" w:type="dxa"/>
              <w:left w:w="120" w:type="dxa"/>
              <w:right w:w="120" w:type="dxa"/>
            </w:tcMar>
          </w:tcPr>
          <w:p>
            <w:pPr>
              <w:spacing w:after="0"/>
              <w:jc w:val="left"/>
            </w:pPr>
            <w:r>
              <w:rPr>
                <w:rFonts w:ascii="Calibri" w:hAnsi="Calibri"/>
                <w:b w:val="0"/>
                <w:color w:val="212529"/>
                <w:sz w:val="18"/>
              </w:rPr>
              <w:t>0.0</w:t>
            </w:r>
          </w:p>
        </w:tc>
        <w:tc>
          <w:tcPr>
            <w:tcW w:type="dxa" w:w="1296"/>
            <w:shd w:fill="FFFFFF"/>
            <w:tcMar>
              <w:top w:w="80" w:type="dxa"/>
              <w:bottom w:w="80" w:type="dxa"/>
              <w:left w:w="120" w:type="dxa"/>
              <w:right w:w="120" w:type="dxa"/>
            </w:tcMar>
          </w:tcPr>
          <w:p>
            <w:pPr>
              <w:spacing w:after="0"/>
              <w:jc w:val="left"/>
            </w:pPr>
            <w:r>
              <w:rPr>
                <w:rFonts w:ascii="Calibri" w:hAnsi="Calibri"/>
                <w:b w:val="0"/>
                <w:color w:val="212529"/>
                <w:sz w:val="18"/>
              </w:rPr>
              <w:t>0 - 4356</w:t>
            </w:r>
          </w:p>
        </w:tc>
        <w:tc>
          <w:tcPr>
            <w:tcW w:type="dxa" w:w="864"/>
            <w:shd w:fill="FFFFFF"/>
            <w:tcMar>
              <w:top w:w="80" w:type="dxa"/>
              <w:bottom w:w="80" w:type="dxa"/>
              <w:left w:w="120" w:type="dxa"/>
              <w:right w:w="120" w:type="dxa"/>
            </w:tcMar>
          </w:tcPr>
          <w:p>
            <w:pPr>
              <w:spacing w:after="0"/>
              <w:jc w:val="left"/>
            </w:pPr>
            <w:r>
              <w:rPr>
                <w:rFonts w:ascii="Calibri" w:hAnsi="Calibri"/>
                <w:b w:val="0"/>
                <w:color w:val="212529"/>
                <w:sz w:val="18"/>
              </w:rPr>
              <w:t>+4.59</w:t>
            </w:r>
          </w:p>
        </w:tc>
        <w:tc>
          <w:tcPr>
            <w:tcW w:type="dxa" w:w="864"/>
            <w:shd w:fill="FFFFFF"/>
            <w:tcMar>
              <w:top w:w="80" w:type="dxa"/>
              <w:bottom w:w="80" w:type="dxa"/>
              <w:left w:w="120" w:type="dxa"/>
              <w:right w:w="120" w:type="dxa"/>
            </w:tcMar>
          </w:tcPr>
          <w:p>
            <w:pPr>
              <w:spacing w:after="0"/>
              <w:jc w:val="left"/>
            </w:pPr>
            <w:r>
              <w:rPr>
                <w:rFonts w:ascii="Calibri" w:hAnsi="Calibri"/>
                <w:b w:val="0"/>
                <w:color w:val="212529"/>
                <w:sz w:val="18"/>
              </w:rPr>
              <w:t>23.35</w:t>
            </w:r>
          </w:p>
        </w:tc>
      </w:tr>
      <w:tr>
        <w:tc>
          <w:tcPr>
            <w:tcW w:type="dxa" w:w="1728"/>
            <w:shd w:fill="F9FAFB"/>
            <w:tcMar>
              <w:top w:w="80" w:type="dxa"/>
              <w:bottom w:w="80" w:type="dxa"/>
              <w:left w:w="120" w:type="dxa"/>
              <w:right w:w="120" w:type="dxa"/>
            </w:tcMar>
          </w:tcPr>
          <w:p>
            <w:pPr>
              <w:spacing w:after="0"/>
              <w:jc w:val="left"/>
            </w:pPr>
            <w:r>
              <w:rPr>
                <w:rFonts w:ascii="Calibri" w:hAnsi="Calibri"/>
                <w:b/>
                <w:color w:val="212529"/>
                <w:sz w:val="18"/>
              </w:rPr>
              <w:t>hours_per_week</w:t>
            </w:r>
          </w:p>
        </w:tc>
        <w:tc>
          <w:tcPr>
            <w:tcW w:type="dxa" w:w="864"/>
            <w:shd w:fill="F9FAFB"/>
            <w:tcMar>
              <w:top w:w="80" w:type="dxa"/>
              <w:bottom w:w="80" w:type="dxa"/>
              <w:left w:w="120" w:type="dxa"/>
              <w:right w:w="120" w:type="dxa"/>
            </w:tcMar>
          </w:tcPr>
          <w:p>
            <w:pPr>
              <w:spacing w:after="0"/>
              <w:jc w:val="left"/>
            </w:pPr>
            <w:r>
              <w:rPr>
                <w:rFonts w:ascii="Calibri" w:hAnsi="Calibri"/>
                <w:b w:val="0"/>
                <w:color w:val="212529"/>
                <w:sz w:val="18"/>
              </w:rPr>
              <w:t>32,537</w:t>
            </w:r>
          </w:p>
        </w:tc>
        <w:tc>
          <w:tcPr>
            <w:tcW w:type="dxa" w:w="1008"/>
            <w:shd w:fill="F9FAFB"/>
            <w:tcMar>
              <w:top w:w="80" w:type="dxa"/>
              <w:bottom w:w="80" w:type="dxa"/>
              <w:left w:w="120" w:type="dxa"/>
              <w:right w:w="120" w:type="dxa"/>
            </w:tcMar>
          </w:tcPr>
          <w:p>
            <w:pPr>
              <w:spacing w:after="0"/>
              <w:jc w:val="left"/>
            </w:pPr>
            <w:r>
              <w:rPr>
                <w:rFonts w:ascii="Calibri" w:hAnsi="Calibri"/>
                <w:b w:val="0"/>
                <w:color w:val="212529"/>
                <w:sz w:val="18"/>
              </w:rPr>
              <w:t>40.44</w:t>
            </w:r>
          </w:p>
        </w:tc>
        <w:tc>
          <w:tcPr>
            <w:tcW w:type="dxa" w:w="1008"/>
            <w:shd w:fill="F9FAFB"/>
            <w:tcMar>
              <w:top w:w="80" w:type="dxa"/>
              <w:bottom w:w="80" w:type="dxa"/>
              <w:left w:w="120" w:type="dxa"/>
              <w:right w:w="120" w:type="dxa"/>
            </w:tcMar>
          </w:tcPr>
          <w:p>
            <w:pPr>
              <w:spacing w:after="0"/>
              <w:jc w:val="left"/>
            </w:pPr>
            <w:r>
              <w:rPr>
                <w:rFonts w:ascii="Calibri" w:hAnsi="Calibri"/>
                <w:b w:val="0"/>
                <w:color w:val="212529"/>
                <w:sz w:val="18"/>
              </w:rPr>
              <w:t>12.35</w:t>
            </w:r>
          </w:p>
        </w:tc>
        <w:tc>
          <w:tcPr>
            <w:tcW w:type="dxa" w:w="1008"/>
            <w:shd w:fill="F9FAFB"/>
            <w:tcMar>
              <w:top w:w="80" w:type="dxa"/>
              <w:bottom w:w="80" w:type="dxa"/>
              <w:left w:w="120" w:type="dxa"/>
              <w:right w:w="120" w:type="dxa"/>
            </w:tcMar>
          </w:tcPr>
          <w:p>
            <w:pPr>
              <w:spacing w:after="0"/>
              <w:jc w:val="left"/>
            </w:pPr>
            <w:r>
              <w:rPr>
                <w:rFonts w:ascii="Calibri" w:hAnsi="Calibri"/>
                <w:b w:val="0"/>
                <w:color w:val="212529"/>
                <w:sz w:val="18"/>
              </w:rPr>
              <w:t>40.0</w:t>
            </w:r>
          </w:p>
        </w:tc>
        <w:tc>
          <w:tcPr>
            <w:tcW w:type="dxa" w:w="864"/>
            <w:shd w:fill="F9FAFB"/>
            <w:tcMar>
              <w:top w:w="80" w:type="dxa"/>
              <w:bottom w:w="80" w:type="dxa"/>
              <w:left w:w="120" w:type="dxa"/>
              <w:right w:w="120" w:type="dxa"/>
            </w:tcMar>
          </w:tcPr>
          <w:p>
            <w:pPr>
              <w:spacing w:after="0"/>
              <w:jc w:val="left"/>
            </w:pPr>
            <w:r>
              <w:rPr>
                <w:rFonts w:ascii="Calibri" w:hAnsi="Calibri"/>
                <w:b w:val="0"/>
                <w:color w:val="212529"/>
                <w:sz w:val="18"/>
              </w:rPr>
              <w:t>5.0</w:t>
            </w:r>
          </w:p>
        </w:tc>
        <w:tc>
          <w:tcPr>
            <w:tcW w:type="dxa" w:w="1296"/>
            <w:shd w:fill="F9FAFB"/>
            <w:tcMar>
              <w:top w:w="80" w:type="dxa"/>
              <w:bottom w:w="80" w:type="dxa"/>
              <w:left w:w="120" w:type="dxa"/>
              <w:right w:w="120" w:type="dxa"/>
            </w:tcMar>
          </w:tcPr>
          <w:p>
            <w:pPr>
              <w:spacing w:after="0"/>
              <w:jc w:val="left"/>
            </w:pPr>
            <w:r>
              <w:rPr>
                <w:rFonts w:ascii="Calibri" w:hAnsi="Calibri"/>
                <w:b w:val="0"/>
                <w:color w:val="212529"/>
                <w:sz w:val="18"/>
              </w:rPr>
              <w:t>1 - 99</w:t>
            </w:r>
          </w:p>
        </w:tc>
        <w:tc>
          <w:tcPr>
            <w:tcW w:type="dxa" w:w="864"/>
            <w:shd w:fill="F9FAFB"/>
            <w:tcMar>
              <w:top w:w="80" w:type="dxa"/>
              <w:bottom w:w="80" w:type="dxa"/>
              <w:left w:w="120" w:type="dxa"/>
              <w:right w:w="120" w:type="dxa"/>
            </w:tcMar>
          </w:tcPr>
          <w:p>
            <w:pPr>
              <w:spacing w:after="0"/>
              <w:jc w:val="left"/>
            </w:pPr>
            <w:r>
              <w:rPr>
                <w:rFonts w:ascii="Calibri" w:hAnsi="Calibri"/>
                <w:b w:val="0"/>
                <w:color w:val="212529"/>
                <w:sz w:val="18"/>
              </w:rPr>
              <w:t>+0.23</w:t>
            </w:r>
          </w:p>
        </w:tc>
        <w:tc>
          <w:tcPr>
            <w:tcW w:type="dxa" w:w="864"/>
            <w:shd w:fill="F9FAFB"/>
            <w:tcMar>
              <w:top w:w="80" w:type="dxa"/>
              <w:bottom w:w="80" w:type="dxa"/>
              <w:left w:w="120" w:type="dxa"/>
              <w:right w:w="120" w:type="dxa"/>
            </w:tcMar>
          </w:tcPr>
          <w:p>
            <w:pPr>
              <w:spacing w:after="0"/>
              <w:jc w:val="left"/>
            </w:pPr>
            <w:r>
              <w:rPr>
                <w:rFonts w:ascii="Calibri" w:hAnsi="Calibri"/>
                <w:b w:val="0"/>
                <w:color w:val="212529"/>
                <w:sz w:val="18"/>
              </w:rPr>
              <w:t>5.92</w:t>
            </w:r>
          </w:p>
        </w:tc>
      </w:tr>
    </w:tbl>
    <w:p>
      <w:pPr>
        <w:spacing w:after="160"/>
      </w:pPr>
      <w:r>
        <w:rPr>
          <w:i/>
          <w:color w:val="6C757D"/>
          <w:sz w:val="17"/>
        </w:rPr>
        <w:t>Table 1 Note: N = 32,537 observations. Skewness and excess kurtosis computed via Pearson moments. Outliers retained in accordance with Tukey IQR fence audits.</w:t>
      </w:r>
    </w:p>
    <w:p>
      <w:pPr>
        <w:spacing w:after="120" w:line="276" w:lineRule="auto"/>
      </w:pPr>
      <w:r>
        <w:rPr>
          <w:rFonts w:ascii="Calibri" w:hAnsi="Calibri"/>
          <w:b/>
          <w:color w:val="1B365D"/>
          <w:sz w:val="22"/>
        </w:rPr>
        <w:t xml:space="preserve">Key Morphological Observations: </w:t>
      </w:r>
      <w:r>
        <w:rPr>
          <w:rFonts w:ascii="Calibri" w:hAnsi="Calibri"/>
          <w:color w:val="212529"/>
          <w:sz w:val="22"/>
        </w:rPr>
        <w:t>Distributional Insights &amp; Normality Evaluations:</w:t>
      </w:r>
    </w:p>
    <w:p>
      <w:pPr>
        <w:pStyle w:val="ListBullet"/>
        <w:spacing w:after="60" w:line="276" w:lineRule="auto"/>
      </w:pPr>
      <w:r>
        <w:rPr>
          <w:rFonts w:ascii="Calibri" w:hAnsi="Calibri"/>
          <w:b/>
          <w:color w:val="1B365D"/>
          <w:sz w:val="21"/>
        </w:rPr>
        <w:t xml:space="preserve">Age Distribution: </w:t>
      </w:r>
      <w:r>
        <w:rPr>
          <w:rFonts w:ascii="Calibri" w:hAnsi="Calibri"/>
          <w:color w:val="212529"/>
          <w:sz w:val="21"/>
        </w:rPr>
        <w:t>Age: Worker age exhibits a moderate right-skew (skewness = +0.558) with a mean of 38.59 years and median of 37 years. The distribution is mesokurtic (kurtosis = 2.83). While a Shapiro-Wilk test on a random subsample (N = 5,000) formally rejects the strict Gaussian null (W = 0.9654, p = 5.23e-33), the departure is mild and does not distort t-test validity given N &gt; 32,000.</w:t>
      </w:r>
    </w:p>
    <w:p>
      <w:pPr>
        <w:pStyle w:val="ListBullet"/>
        <w:spacing w:after="60" w:line="276" w:lineRule="auto"/>
      </w:pPr>
      <w:r>
        <w:rPr>
          <w:rFonts w:ascii="Calibri" w:hAnsi="Calibri"/>
          <w:b/>
          <w:color w:val="1B365D"/>
          <w:sz w:val="21"/>
        </w:rPr>
        <w:t xml:space="preserve">Weekly Working Hours: </w:t>
      </w:r>
      <w:r>
        <w:rPr>
          <w:rFonts w:ascii="Calibri" w:hAnsi="Calibri"/>
          <w:color w:val="212529"/>
          <w:sz w:val="21"/>
        </w:rPr>
        <w:t>Hours per Week: Weekly labor exhibits extreme leptokurtosis (kurtosis = 5.92) centered at the institutional full-time norm of 40 hours per week (mean = 40.44, median = 40.0, IQR = 5.0). Approximately 58% of all individuals report exactly 40 hours. This heavy discrete point-mass violates continuous normality, necessitating non-parametric rank confirmation.</w:t>
      </w:r>
    </w:p>
    <w:p>
      <w:pPr>
        <w:pStyle w:val="ListBullet"/>
        <w:spacing w:after="60" w:line="276" w:lineRule="auto"/>
      </w:pPr>
      <w:r>
        <w:rPr>
          <w:rFonts w:ascii="Calibri" w:hAnsi="Calibri"/>
          <w:b/>
          <w:color w:val="1B365D"/>
          <w:sz w:val="21"/>
        </w:rPr>
        <w:t xml:space="preserve">Educational Attainment: </w:t>
      </w:r>
      <w:r>
        <w:rPr>
          <w:rFonts w:ascii="Calibri" w:hAnsi="Calibri"/>
          <w:color w:val="212529"/>
          <w:sz w:val="21"/>
        </w:rPr>
        <w:t>Education Number: Spanning 1 to 16 years, education is negatively skewed (skewness = -0.310) with a median of 10 years (high school completion) and mean of 10.08 years (SD = 2.57). Prominent spikes occur at 9 (High School), 10 (Some College), and 13 (Bachelors).</w:t>
      </w:r>
    </w:p>
    <w:p>
      <w:pPr>
        <w:pStyle w:val="ListBullet"/>
        <w:spacing w:after="60" w:line="276" w:lineRule="auto"/>
      </w:pPr>
      <w:r>
        <w:rPr>
          <w:rFonts w:ascii="Calibri" w:hAnsi="Calibri"/>
          <w:b/>
          <w:color w:val="1B365D"/>
          <w:sz w:val="21"/>
        </w:rPr>
        <w:t xml:space="preserve">Capital Gains / Losses: </w:t>
      </w:r>
      <w:r>
        <w:rPr>
          <w:rFonts w:ascii="Calibri" w:hAnsi="Calibri"/>
          <w:color w:val="212529"/>
          <w:sz w:val="21"/>
        </w:rPr>
        <w:t>Capital Gains &amp; Losses: Both financial metrics exhibit extreme zero-inflation. Exactly 91.66% of individuals record $0 in capital gains, and 95.33% record $0 in capital losses. For capital gain, skewness reaches +11.95 with a kurtosis of 157.66. When restricted to non-zero positive amounts (N = 2,712), values span three orders of magnitude ($114 to $99,999).</w:t>
      </w:r>
    </w:p>
    <w:p>
      <w:pPr>
        <w:spacing w:before="160" w:after="60"/>
        <w:jc w:val="center"/>
      </w:pPr>
      <w:r>
        <w:drawing>
          <wp:inline xmlns:a="http://schemas.openxmlformats.org/drawingml/2006/main" xmlns:pic="http://schemas.openxmlformats.org/drawingml/2006/picture">
            <wp:extent cx="5303520" cy="3636699"/>
            <wp:docPr id="2" name="Picture 2"/>
            <wp:cNvGraphicFramePr>
              <a:graphicFrameLocks noChangeAspect="1"/>
            </wp:cNvGraphicFramePr>
            <a:graphic>
              <a:graphicData uri="http://schemas.openxmlformats.org/drawingml/2006/picture">
                <pic:pic>
                  <pic:nvPicPr>
                    <pic:cNvPr id="0" name="week3_normality_age.png"/>
                    <pic:cNvPicPr/>
                  </pic:nvPicPr>
                  <pic:blipFill>
                    <a:blip r:embed="rId12"/>
                    <a:stretch>
                      <a:fillRect/>
                    </a:stretch>
                  </pic:blipFill>
                  <pic:spPr>
                    <a:xfrm>
                      <a:off x="0" y="0"/>
                      <a:ext cx="5303520" cy="3636699"/>
                    </a:xfrm>
                    <a:prstGeom prst="rect"/>
                  </pic:spPr>
                </pic:pic>
              </a:graphicData>
            </a:graphic>
          </wp:inline>
        </w:drawing>
      </w:r>
    </w:p>
    <w:p>
      <w:pPr>
        <w:spacing w:after="160"/>
        <w:jc w:val="center"/>
      </w:pPr>
      <w:r>
        <w:rPr>
          <w:b/>
          <w:color w:val="1B365D"/>
          <w:sz w:val="19"/>
        </w:rPr>
        <w:t xml:space="preserve">Figure 2: </w:t>
      </w:r>
      <w:r>
        <w:rPr>
          <w:b/>
          <w:color w:val="465C7A"/>
          <w:sz w:val="19"/>
        </w:rPr>
        <w:t xml:space="preserve">Age Distribution vs Fitted Gaussian Curve. </w:t>
      </w:r>
      <w:r>
        <w:rPr>
          <w:i/>
          <w:color w:val="6C757D"/>
          <w:sz w:val="18"/>
        </w:rPr>
        <w:t>Histogram and kernel density of worker age compared against a fitted normal distribution (mean = 38.6, SD = 13.6).</w:t>
      </w:r>
    </w:p>
    <w:p>
      <w:pPr>
        <w:spacing w:before="160" w:after="60"/>
        <w:jc w:val="center"/>
      </w:pPr>
      <w:r>
        <w:drawing>
          <wp:inline xmlns:a="http://schemas.openxmlformats.org/drawingml/2006/main" xmlns:pic="http://schemas.openxmlformats.org/drawingml/2006/picture">
            <wp:extent cx="5303520" cy="3636699"/>
            <wp:docPr id="3" name="Picture 3"/>
            <wp:cNvGraphicFramePr>
              <a:graphicFrameLocks noChangeAspect="1"/>
            </wp:cNvGraphicFramePr>
            <a:graphic>
              <a:graphicData uri="http://schemas.openxmlformats.org/drawingml/2006/picture">
                <pic:pic>
                  <pic:nvPicPr>
                    <pic:cNvPr id="0" name="week3_normality_hours.png"/>
                    <pic:cNvPicPr/>
                  </pic:nvPicPr>
                  <pic:blipFill>
                    <a:blip r:embed="rId13"/>
                    <a:stretch>
                      <a:fillRect/>
                    </a:stretch>
                  </pic:blipFill>
                  <pic:spPr>
                    <a:xfrm>
                      <a:off x="0" y="0"/>
                      <a:ext cx="5303520" cy="3636699"/>
                    </a:xfrm>
                    <a:prstGeom prst="rect"/>
                  </pic:spPr>
                </pic:pic>
              </a:graphicData>
            </a:graphic>
          </wp:inline>
        </w:drawing>
      </w:r>
    </w:p>
    <w:p>
      <w:pPr>
        <w:spacing w:after="160"/>
        <w:jc w:val="center"/>
      </w:pPr>
      <w:r>
        <w:rPr>
          <w:b/>
          <w:color w:val="1B365D"/>
          <w:sz w:val="19"/>
        </w:rPr>
        <w:t xml:space="preserve">Figure 3: </w:t>
      </w:r>
      <w:r>
        <w:rPr>
          <w:b/>
          <w:color w:val="465C7A"/>
          <w:sz w:val="19"/>
        </w:rPr>
        <w:t xml:space="preserve">Weekly Working Hours vs Fitted Normal Curve. </w:t>
      </w:r>
      <w:r>
        <w:rPr>
          <w:i/>
          <w:color w:val="6C757D"/>
          <w:sz w:val="18"/>
        </w:rPr>
        <w:t>Histogram of weekly hours worked illustrating the prominent leptokurtic peak at the institutional 40-hour work week.</w:t>
      </w:r>
    </w:p>
    <w:p>
      <w:pPr>
        <w:spacing w:before="160" w:after="60"/>
        <w:jc w:val="center"/>
      </w:pPr>
      <w:r>
        <w:drawing>
          <wp:inline xmlns:a="http://schemas.openxmlformats.org/drawingml/2006/main" xmlns:pic="http://schemas.openxmlformats.org/drawingml/2006/picture">
            <wp:extent cx="5303520" cy="3636699"/>
            <wp:docPr id="4" name="Picture 4"/>
            <wp:cNvGraphicFramePr>
              <a:graphicFrameLocks noChangeAspect="1"/>
            </wp:cNvGraphicFramePr>
            <a:graphic>
              <a:graphicData uri="http://schemas.openxmlformats.org/drawingml/2006/picture">
                <pic:pic>
                  <pic:nvPicPr>
                    <pic:cNvPr id="0" name="week3_normality_education_num.png"/>
                    <pic:cNvPicPr/>
                  </pic:nvPicPr>
                  <pic:blipFill>
                    <a:blip r:embed="rId14"/>
                    <a:stretch>
                      <a:fillRect/>
                    </a:stretch>
                  </pic:blipFill>
                  <pic:spPr>
                    <a:xfrm>
                      <a:off x="0" y="0"/>
                      <a:ext cx="5303520" cy="3636699"/>
                    </a:xfrm>
                    <a:prstGeom prst="rect"/>
                  </pic:spPr>
                </pic:pic>
              </a:graphicData>
            </a:graphic>
          </wp:inline>
        </w:drawing>
      </w:r>
    </w:p>
    <w:p>
      <w:pPr>
        <w:spacing w:after="160"/>
        <w:jc w:val="center"/>
      </w:pPr>
      <w:r>
        <w:rPr>
          <w:b/>
          <w:color w:val="1B365D"/>
          <w:sz w:val="19"/>
        </w:rPr>
        <w:t xml:space="preserve">Figure 4: </w:t>
      </w:r>
      <w:r>
        <w:rPr>
          <w:b/>
          <w:color w:val="465C7A"/>
          <w:sz w:val="19"/>
        </w:rPr>
        <w:t xml:space="preserve">Distribution of Educational Attainment (Years). </w:t>
      </w:r>
      <w:r>
        <w:rPr>
          <w:i/>
          <w:color w:val="6C757D"/>
          <w:sz w:val="18"/>
        </w:rPr>
        <w:t>Histogram of education years (1 to 16) depicting discrete multi-modal educational credential milestones.</w:t>
      </w:r>
    </w:p>
    <w:p>
      <w:pPr>
        <w:spacing w:before="160" w:after="60"/>
        <w:jc w:val="center"/>
      </w:pPr>
      <w:r>
        <w:drawing>
          <wp:inline xmlns:a="http://schemas.openxmlformats.org/drawingml/2006/main" xmlns:pic="http://schemas.openxmlformats.org/drawingml/2006/picture">
            <wp:extent cx="5303520" cy="3636699"/>
            <wp:docPr id="5" name="Picture 5"/>
            <wp:cNvGraphicFramePr>
              <a:graphicFrameLocks noChangeAspect="1"/>
            </wp:cNvGraphicFramePr>
            <a:graphic>
              <a:graphicData uri="http://schemas.openxmlformats.org/drawingml/2006/picture">
                <pic:pic>
                  <pic:nvPicPr>
                    <pic:cNvPr id="0" name="week3_normality_capital_gain.png"/>
                    <pic:cNvPicPr/>
                  </pic:nvPicPr>
                  <pic:blipFill>
                    <a:blip r:embed="rId15"/>
                    <a:stretch>
                      <a:fillRect/>
                    </a:stretch>
                  </pic:blipFill>
                  <pic:spPr>
                    <a:xfrm>
                      <a:off x="0" y="0"/>
                      <a:ext cx="5303520" cy="3636699"/>
                    </a:xfrm>
                    <a:prstGeom prst="rect"/>
                  </pic:spPr>
                </pic:pic>
              </a:graphicData>
            </a:graphic>
          </wp:inline>
        </w:drawing>
      </w:r>
    </w:p>
    <w:p>
      <w:pPr>
        <w:spacing w:after="160"/>
        <w:jc w:val="center"/>
      </w:pPr>
      <w:r>
        <w:rPr>
          <w:b/>
          <w:color w:val="1B365D"/>
          <w:sz w:val="19"/>
        </w:rPr>
        <w:t xml:space="preserve">Figure 5: </w:t>
      </w:r>
      <w:r>
        <w:rPr>
          <w:b/>
          <w:color w:val="465C7A"/>
          <w:sz w:val="19"/>
        </w:rPr>
        <w:t xml:space="preserve">Distribution of Non-Zero Capital Gains (Log10 Scale). </w:t>
      </w:r>
      <w:r>
        <w:rPr>
          <w:i/>
          <w:color w:val="6C757D"/>
          <w:sz w:val="18"/>
        </w:rPr>
        <w:t>Log-transformed distribution of capital gains for the 8.34% of the population reporting positive asset gains.</w:t>
      </w:r>
    </w:p>
    <w:p>
      <w:pPr>
        <w:spacing w:before="160" w:after="60"/>
        <w:jc w:val="center"/>
      </w:pPr>
      <w:r>
        <w:drawing>
          <wp:inline xmlns:a="http://schemas.openxmlformats.org/drawingml/2006/main" xmlns:pic="http://schemas.openxmlformats.org/drawingml/2006/picture">
            <wp:extent cx="5303520" cy="2651760"/>
            <wp:docPr id="6" name="Picture 6"/>
            <wp:cNvGraphicFramePr>
              <a:graphicFrameLocks noChangeAspect="1"/>
            </wp:cNvGraphicFramePr>
            <a:graphic>
              <a:graphicData uri="http://schemas.openxmlformats.org/drawingml/2006/picture">
                <pic:pic>
                  <pic:nvPicPr>
                    <pic:cNvPr id="0" name="week3_normality_qq_plots.png"/>
                    <pic:cNvPicPr/>
                  </pic:nvPicPr>
                  <pic:blipFill>
                    <a:blip r:embed="rId16"/>
                    <a:stretch>
                      <a:fillRect/>
                    </a:stretch>
                  </pic:blipFill>
                  <pic:spPr>
                    <a:xfrm>
                      <a:off x="0" y="0"/>
                      <a:ext cx="5303520" cy="2651760"/>
                    </a:xfrm>
                    <a:prstGeom prst="rect"/>
                  </pic:spPr>
                </pic:pic>
              </a:graphicData>
            </a:graphic>
          </wp:inline>
        </w:drawing>
      </w:r>
    </w:p>
    <w:p>
      <w:pPr>
        <w:spacing w:after="160"/>
        <w:jc w:val="center"/>
      </w:pPr>
      <w:r>
        <w:rPr>
          <w:b/>
          <w:color w:val="1B365D"/>
          <w:sz w:val="19"/>
        </w:rPr>
        <w:t xml:space="preserve">Figure 6: </w:t>
      </w:r>
      <w:r>
        <w:rPr>
          <w:b/>
          <w:color w:val="465C7A"/>
          <w:sz w:val="19"/>
        </w:rPr>
        <w:t xml:space="preserve">Normal Quantile-Quantile (Q-Q) Diagnostic Panels. </w:t>
      </w:r>
      <w:r>
        <w:rPr>
          <w:i/>
          <w:color w:val="6C757D"/>
          <w:sz w:val="18"/>
        </w:rPr>
        <w:t>Normal probability Q-Q plots for worker age (left) and weekly working hours (right) evaluated on N = 3,000 samples.</w:t>
      </w:r>
    </w:p>
    <w:p>
      <w:pPr>
        <w:pStyle w:val="Heading1"/>
        <w:keepNext/>
        <w:spacing w:before="360" w:after="120"/>
      </w:pPr>
      <w:r>
        <w:rPr>
          <w:rFonts w:ascii="Calibri" w:hAnsi="Calibri"/>
          <w:b/>
          <w:color w:val="1B365D"/>
          <w:sz w:val="34"/>
        </w:rPr>
        <w:t>Section 4: Correlation Analysis &amp; Multicollinearity Assessment</w:t>
      </w:r>
    </w:p>
    <w:p>
      <w:pPr>
        <w:spacing w:after="120" w:line="276" w:lineRule="auto"/>
      </w:pPr>
      <w:r>
        <w:rPr>
          <w:rFonts w:ascii="Calibri" w:hAnsi="Calibri"/>
          <w:color w:val="212529"/>
          <w:sz w:val="22"/>
        </w:rPr>
        <w:t>Prior to model estimation, bivariate associations among continuous variables were audited using both Pearson product-moment correlation coefficients (evaluating linear relationships) and Spearman rank-order correlations (evaluating monotonic relationships robust to outliers). Table 2 presents the Pearson correlation matrix across the six continuous features:</w:t>
      </w:r>
    </w:p>
    <w:tbl>
      <w:tblPr>
        <w:tblW w:type="auto" w:w="0"/>
        <w:jc w:val="center"/>
        <w:tblLook w:firstColumn="1" w:firstRow="1" w:lastColumn="0" w:lastRow="0" w:noHBand="0" w:noVBand="1" w:val="04A0"/>
        <w:tblBorders>
          <w:top w:val="single" w:sz="6" w:space="0" w:color="D0D7DE"/>
          <w:bottom w:val="single" w:sz="8" w:space="0" w:color="D0D7DE"/>
          <w:insideH w:val="single" w:sz="4" w:space="0" w:color="D0D7DE"/>
          <w:insideV w:val="none"/>
          <w:left w:val="none"/>
          <w:right w:val="none"/>
        </w:tblBorders>
      </w:tblPr>
      <w:tblGrid>
        <w:gridCol w:w="1337"/>
        <w:gridCol w:w="1337"/>
        <w:gridCol w:w="1337"/>
        <w:gridCol w:w="1337"/>
        <w:gridCol w:w="1337"/>
        <w:gridCol w:w="1337"/>
        <w:gridCol w:w="1337"/>
      </w:tblGrid>
      <w:tr>
        <w:tc>
          <w:tcPr>
            <w:tcW w:type="dxa" w:w="2160"/>
            <w:shd w:fill="1B365D"/>
            <w:tcMar>
              <w:top w:w="120" w:type="dxa"/>
              <w:bottom w:w="120" w:type="dxa"/>
              <w:left w:w="120" w:type="dxa"/>
              <w:right w:w="120" w:type="dxa"/>
            </w:tcMar>
          </w:tcPr>
          <w:p>
            <w:pPr>
              <w:spacing w:after="0"/>
              <w:jc w:val="left"/>
            </w:pPr>
            <w:r>
              <w:rPr>
                <w:rFonts w:ascii="Calibri" w:hAnsi="Calibri"/>
                <w:b/>
                <w:color w:val="FFFFFF"/>
                <w:sz w:val="19"/>
              </w:rPr>
              <w:t>Feature</w:t>
            </w:r>
          </w:p>
        </w:tc>
        <w:tc>
          <w:tcPr>
            <w:tcW w:type="dxa" w:w="1152"/>
            <w:shd w:fill="1B365D"/>
            <w:tcMar>
              <w:top w:w="120" w:type="dxa"/>
              <w:bottom w:w="120" w:type="dxa"/>
              <w:left w:w="120" w:type="dxa"/>
              <w:right w:w="120" w:type="dxa"/>
            </w:tcMar>
          </w:tcPr>
          <w:p>
            <w:pPr>
              <w:spacing w:after="0"/>
              <w:jc w:val="right"/>
            </w:pPr>
            <w:r>
              <w:rPr>
                <w:rFonts w:ascii="Calibri" w:hAnsi="Calibri"/>
                <w:b/>
                <w:color w:val="FFFFFF"/>
                <w:sz w:val="19"/>
              </w:rPr>
              <w:t>age</w:t>
            </w:r>
          </w:p>
        </w:tc>
        <w:tc>
          <w:tcPr>
            <w:tcW w:type="dxa" w:w="1152"/>
            <w:shd w:fill="1B365D"/>
            <w:tcMar>
              <w:top w:w="120" w:type="dxa"/>
              <w:bottom w:w="120" w:type="dxa"/>
              <w:left w:w="120" w:type="dxa"/>
              <w:right w:w="120" w:type="dxa"/>
            </w:tcMar>
          </w:tcPr>
          <w:p>
            <w:pPr>
              <w:spacing w:after="0"/>
              <w:jc w:val="right"/>
            </w:pPr>
            <w:r>
              <w:rPr>
                <w:rFonts w:ascii="Calibri" w:hAnsi="Calibri"/>
                <w:b/>
                <w:color w:val="FFFFFF"/>
                <w:sz w:val="19"/>
              </w:rPr>
              <w:t>fnlwgt</w:t>
            </w:r>
          </w:p>
        </w:tc>
        <w:tc>
          <w:tcPr>
            <w:tcW w:type="dxa" w:w="1152"/>
            <w:shd w:fill="1B365D"/>
            <w:tcMar>
              <w:top w:w="120" w:type="dxa"/>
              <w:bottom w:w="120" w:type="dxa"/>
              <w:left w:w="120" w:type="dxa"/>
              <w:right w:w="120" w:type="dxa"/>
            </w:tcMar>
          </w:tcPr>
          <w:p>
            <w:pPr>
              <w:spacing w:after="0"/>
              <w:jc w:val="right"/>
            </w:pPr>
            <w:r>
              <w:rPr>
                <w:rFonts w:ascii="Calibri" w:hAnsi="Calibri"/>
                <w:b/>
                <w:color w:val="FFFFFF"/>
                <w:sz w:val="19"/>
              </w:rPr>
              <w:t>education_num</w:t>
            </w:r>
          </w:p>
        </w:tc>
        <w:tc>
          <w:tcPr>
            <w:tcW w:type="dxa" w:w="1152"/>
            <w:shd w:fill="1B365D"/>
            <w:tcMar>
              <w:top w:w="120" w:type="dxa"/>
              <w:bottom w:w="120" w:type="dxa"/>
              <w:left w:w="120" w:type="dxa"/>
              <w:right w:w="120" w:type="dxa"/>
            </w:tcMar>
          </w:tcPr>
          <w:p>
            <w:pPr>
              <w:spacing w:after="0"/>
              <w:jc w:val="right"/>
            </w:pPr>
            <w:r>
              <w:rPr>
                <w:rFonts w:ascii="Calibri" w:hAnsi="Calibri"/>
                <w:b/>
                <w:color w:val="FFFFFF"/>
                <w:sz w:val="19"/>
              </w:rPr>
              <w:t>capital_gain</w:t>
            </w:r>
          </w:p>
        </w:tc>
        <w:tc>
          <w:tcPr>
            <w:tcW w:type="dxa" w:w="1152"/>
            <w:shd w:fill="1B365D"/>
            <w:tcMar>
              <w:top w:w="120" w:type="dxa"/>
              <w:bottom w:w="120" w:type="dxa"/>
              <w:left w:w="120" w:type="dxa"/>
              <w:right w:w="120" w:type="dxa"/>
            </w:tcMar>
          </w:tcPr>
          <w:p>
            <w:pPr>
              <w:spacing w:after="0"/>
              <w:jc w:val="right"/>
            </w:pPr>
            <w:r>
              <w:rPr>
                <w:rFonts w:ascii="Calibri" w:hAnsi="Calibri"/>
                <w:b/>
                <w:color w:val="FFFFFF"/>
                <w:sz w:val="19"/>
              </w:rPr>
              <w:t>capital_loss</w:t>
            </w:r>
          </w:p>
        </w:tc>
        <w:tc>
          <w:tcPr>
            <w:tcW w:type="dxa" w:w="1152"/>
            <w:shd w:fill="1B365D"/>
            <w:tcMar>
              <w:top w:w="120" w:type="dxa"/>
              <w:bottom w:w="120" w:type="dxa"/>
              <w:left w:w="120" w:type="dxa"/>
              <w:right w:w="120" w:type="dxa"/>
            </w:tcMar>
          </w:tcPr>
          <w:p>
            <w:pPr>
              <w:spacing w:after="0"/>
              <w:jc w:val="right"/>
            </w:pPr>
            <w:r>
              <w:rPr>
                <w:rFonts w:ascii="Calibri" w:hAnsi="Calibri"/>
                <w:b/>
                <w:color w:val="FFFFFF"/>
                <w:sz w:val="19"/>
              </w:rPr>
              <w:t>hours_per_week</w:t>
            </w:r>
          </w:p>
        </w:tc>
      </w:tr>
      <w:tr>
        <w:tc>
          <w:tcPr>
            <w:tcW w:type="dxa" w:w="2160"/>
            <w:shd w:fill="FFFFFF"/>
            <w:tcMar>
              <w:top w:w="80" w:type="dxa"/>
              <w:bottom w:w="80" w:type="dxa"/>
              <w:left w:w="120" w:type="dxa"/>
              <w:right w:w="120" w:type="dxa"/>
            </w:tcMar>
          </w:tcPr>
          <w:p>
            <w:pPr>
              <w:spacing w:after="0"/>
              <w:jc w:val="left"/>
            </w:pPr>
            <w:r>
              <w:rPr>
                <w:rFonts w:ascii="Calibri" w:hAnsi="Calibri"/>
                <w:b/>
                <w:color w:val="212529"/>
                <w:sz w:val="18"/>
              </w:rPr>
              <w:t>age</w:t>
            </w:r>
          </w:p>
        </w:tc>
        <w:tc>
          <w:tcPr>
            <w:tcW w:type="dxa" w:w="1152"/>
            <w:shd w:fill="FFFFFF"/>
            <w:tcMar>
              <w:top w:w="80" w:type="dxa"/>
              <w:bottom w:w="80" w:type="dxa"/>
              <w:left w:w="120" w:type="dxa"/>
              <w:right w:w="120" w:type="dxa"/>
            </w:tcMar>
          </w:tcPr>
          <w:p>
            <w:pPr>
              <w:spacing w:after="0"/>
              <w:jc w:val="right"/>
            </w:pPr>
            <w:r>
              <w:rPr>
                <w:rFonts w:ascii="Calibri" w:hAnsi="Calibri"/>
                <w:b w:val="0"/>
                <w:color w:val="212529"/>
                <w:sz w:val="18"/>
              </w:rPr>
              <w:t>1.000</w:t>
            </w:r>
          </w:p>
        </w:tc>
        <w:tc>
          <w:tcPr>
            <w:tcW w:type="dxa" w:w="1152"/>
            <w:shd w:fill="FFFFFF"/>
            <w:tcMar>
              <w:top w:w="80" w:type="dxa"/>
              <w:bottom w:w="80" w:type="dxa"/>
              <w:left w:w="120" w:type="dxa"/>
              <w:right w:w="120" w:type="dxa"/>
            </w:tcMar>
          </w:tcPr>
          <w:p>
            <w:pPr>
              <w:spacing w:after="0"/>
              <w:jc w:val="right"/>
            </w:pPr>
            <w:r>
              <w:rPr>
                <w:rFonts w:ascii="Calibri" w:hAnsi="Calibri"/>
                <w:b w:val="0"/>
                <w:color w:val="212529"/>
                <w:sz w:val="18"/>
              </w:rPr>
              <w:t>-0.076</w:t>
            </w:r>
          </w:p>
        </w:tc>
        <w:tc>
          <w:tcPr>
            <w:tcW w:type="dxa" w:w="1152"/>
            <w:shd w:fill="FFFFFF"/>
            <w:tcMar>
              <w:top w:w="80" w:type="dxa"/>
              <w:bottom w:w="80" w:type="dxa"/>
              <w:left w:w="120" w:type="dxa"/>
              <w:right w:w="120" w:type="dxa"/>
            </w:tcMar>
          </w:tcPr>
          <w:p>
            <w:pPr>
              <w:spacing w:after="0"/>
              <w:jc w:val="right"/>
            </w:pPr>
            <w:r>
              <w:rPr>
                <w:rFonts w:ascii="Calibri" w:hAnsi="Calibri"/>
                <w:b w:val="0"/>
                <w:color w:val="212529"/>
                <w:sz w:val="18"/>
              </w:rPr>
              <w:t>0.036</w:t>
            </w:r>
          </w:p>
        </w:tc>
        <w:tc>
          <w:tcPr>
            <w:tcW w:type="dxa" w:w="1152"/>
            <w:shd w:fill="FFFFFF"/>
            <w:tcMar>
              <w:top w:w="80" w:type="dxa"/>
              <w:bottom w:w="80" w:type="dxa"/>
              <w:left w:w="120" w:type="dxa"/>
              <w:right w:w="120" w:type="dxa"/>
            </w:tcMar>
          </w:tcPr>
          <w:p>
            <w:pPr>
              <w:spacing w:after="0"/>
              <w:jc w:val="right"/>
            </w:pPr>
            <w:r>
              <w:rPr>
                <w:rFonts w:ascii="Calibri" w:hAnsi="Calibri"/>
                <w:b w:val="0"/>
                <w:color w:val="212529"/>
                <w:sz w:val="18"/>
              </w:rPr>
              <w:t>0.078</w:t>
            </w:r>
          </w:p>
        </w:tc>
        <w:tc>
          <w:tcPr>
            <w:tcW w:type="dxa" w:w="1152"/>
            <w:shd w:fill="FFFFFF"/>
            <w:tcMar>
              <w:top w:w="80" w:type="dxa"/>
              <w:bottom w:w="80" w:type="dxa"/>
              <w:left w:w="120" w:type="dxa"/>
              <w:right w:w="120" w:type="dxa"/>
            </w:tcMar>
          </w:tcPr>
          <w:p>
            <w:pPr>
              <w:spacing w:after="0"/>
              <w:jc w:val="right"/>
            </w:pPr>
            <w:r>
              <w:rPr>
                <w:rFonts w:ascii="Calibri" w:hAnsi="Calibri"/>
                <w:b w:val="0"/>
                <w:color w:val="212529"/>
                <w:sz w:val="18"/>
              </w:rPr>
              <w:t>0.058</w:t>
            </w:r>
          </w:p>
        </w:tc>
        <w:tc>
          <w:tcPr>
            <w:tcW w:type="dxa" w:w="1152"/>
            <w:shd w:fill="FFFFFF"/>
            <w:tcMar>
              <w:top w:w="80" w:type="dxa"/>
              <w:bottom w:w="80" w:type="dxa"/>
              <w:left w:w="120" w:type="dxa"/>
              <w:right w:w="120" w:type="dxa"/>
            </w:tcMar>
          </w:tcPr>
          <w:p>
            <w:pPr>
              <w:spacing w:after="0"/>
              <w:jc w:val="right"/>
            </w:pPr>
            <w:r>
              <w:rPr>
                <w:rFonts w:ascii="Calibri" w:hAnsi="Calibri"/>
                <w:b w:val="0"/>
                <w:color w:val="212529"/>
                <w:sz w:val="18"/>
              </w:rPr>
              <w:t>0.069</w:t>
            </w:r>
          </w:p>
        </w:tc>
      </w:tr>
      <w:tr>
        <w:tc>
          <w:tcPr>
            <w:tcW w:type="dxa" w:w="2160"/>
            <w:shd w:fill="F9FAFB"/>
            <w:tcMar>
              <w:top w:w="80" w:type="dxa"/>
              <w:bottom w:w="80" w:type="dxa"/>
              <w:left w:w="120" w:type="dxa"/>
              <w:right w:w="120" w:type="dxa"/>
            </w:tcMar>
          </w:tcPr>
          <w:p>
            <w:pPr>
              <w:spacing w:after="0"/>
              <w:jc w:val="left"/>
            </w:pPr>
            <w:r>
              <w:rPr>
                <w:rFonts w:ascii="Calibri" w:hAnsi="Calibri"/>
                <w:b/>
                <w:color w:val="212529"/>
                <w:sz w:val="18"/>
              </w:rPr>
              <w:t>fnlwgt</w:t>
            </w:r>
          </w:p>
        </w:tc>
        <w:tc>
          <w:tcPr>
            <w:tcW w:type="dxa" w:w="1152"/>
            <w:shd w:fill="F9FAFB"/>
            <w:tcMar>
              <w:top w:w="80" w:type="dxa"/>
              <w:bottom w:w="80" w:type="dxa"/>
              <w:left w:w="120" w:type="dxa"/>
              <w:right w:w="120" w:type="dxa"/>
            </w:tcMar>
          </w:tcPr>
          <w:p>
            <w:pPr>
              <w:spacing w:after="0"/>
              <w:jc w:val="right"/>
            </w:pPr>
            <w:r>
              <w:rPr>
                <w:rFonts w:ascii="Calibri" w:hAnsi="Calibri"/>
                <w:b w:val="0"/>
                <w:color w:val="212529"/>
                <w:sz w:val="18"/>
              </w:rPr>
              <w:t>-0.076</w:t>
            </w:r>
          </w:p>
        </w:tc>
        <w:tc>
          <w:tcPr>
            <w:tcW w:type="dxa" w:w="1152"/>
            <w:shd w:fill="F9FAFB"/>
            <w:tcMar>
              <w:top w:w="80" w:type="dxa"/>
              <w:bottom w:w="80" w:type="dxa"/>
              <w:left w:w="120" w:type="dxa"/>
              <w:right w:w="120" w:type="dxa"/>
            </w:tcMar>
          </w:tcPr>
          <w:p>
            <w:pPr>
              <w:spacing w:after="0"/>
              <w:jc w:val="right"/>
            </w:pPr>
            <w:r>
              <w:rPr>
                <w:rFonts w:ascii="Calibri" w:hAnsi="Calibri"/>
                <w:b w:val="0"/>
                <w:color w:val="212529"/>
                <w:sz w:val="18"/>
              </w:rPr>
              <w:t>1.000</w:t>
            </w:r>
          </w:p>
        </w:tc>
        <w:tc>
          <w:tcPr>
            <w:tcW w:type="dxa" w:w="1152"/>
            <w:shd w:fill="F9FAFB"/>
            <w:tcMar>
              <w:top w:w="80" w:type="dxa"/>
              <w:bottom w:w="80" w:type="dxa"/>
              <w:left w:w="120" w:type="dxa"/>
              <w:right w:w="120" w:type="dxa"/>
            </w:tcMar>
          </w:tcPr>
          <w:p>
            <w:pPr>
              <w:spacing w:after="0"/>
              <w:jc w:val="right"/>
            </w:pPr>
            <w:r>
              <w:rPr>
                <w:rFonts w:ascii="Calibri" w:hAnsi="Calibri"/>
                <w:b w:val="0"/>
                <w:color w:val="212529"/>
                <w:sz w:val="18"/>
              </w:rPr>
              <w:t>-0.043</w:t>
            </w:r>
          </w:p>
        </w:tc>
        <w:tc>
          <w:tcPr>
            <w:tcW w:type="dxa" w:w="1152"/>
            <w:shd w:fill="F9FAFB"/>
            <w:tcMar>
              <w:top w:w="80" w:type="dxa"/>
              <w:bottom w:w="80" w:type="dxa"/>
              <w:left w:w="120" w:type="dxa"/>
              <w:right w:w="120" w:type="dxa"/>
            </w:tcMar>
          </w:tcPr>
          <w:p>
            <w:pPr>
              <w:spacing w:after="0"/>
              <w:jc w:val="right"/>
            </w:pPr>
            <w:r>
              <w:rPr>
                <w:rFonts w:ascii="Calibri" w:hAnsi="Calibri"/>
                <w:b w:val="0"/>
                <w:color w:val="212529"/>
                <w:sz w:val="18"/>
              </w:rPr>
              <w:t>0.000</w:t>
            </w:r>
          </w:p>
        </w:tc>
        <w:tc>
          <w:tcPr>
            <w:tcW w:type="dxa" w:w="1152"/>
            <w:shd w:fill="F9FAFB"/>
            <w:tcMar>
              <w:top w:w="80" w:type="dxa"/>
              <w:bottom w:w="80" w:type="dxa"/>
              <w:left w:w="120" w:type="dxa"/>
              <w:right w:w="120" w:type="dxa"/>
            </w:tcMar>
          </w:tcPr>
          <w:p>
            <w:pPr>
              <w:spacing w:after="0"/>
              <w:jc w:val="right"/>
            </w:pPr>
            <w:r>
              <w:rPr>
                <w:rFonts w:ascii="Calibri" w:hAnsi="Calibri"/>
                <w:b w:val="0"/>
                <w:color w:val="212529"/>
                <w:sz w:val="18"/>
              </w:rPr>
              <w:t>-0.010</w:t>
            </w:r>
          </w:p>
        </w:tc>
        <w:tc>
          <w:tcPr>
            <w:tcW w:type="dxa" w:w="1152"/>
            <w:shd w:fill="F9FAFB"/>
            <w:tcMar>
              <w:top w:w="80" w:type="dxa"/>
              <w:bottom w:w="80" w:type="dxa"/>
              <w:left w:w="120" w:type="dxa"/>
              <w:right w:w="120" w:type="dxa"/>
            </w:tcMar>
          </w:tcPr>
          <w:p>
            <w:pPr>
              <w:spacing w:after="0"/>
              <w:jc w:val="right"/>
            </w:pPr>
            <w:r>
              <w:rPr>
                <w:rFonts w:ascii="Calibri" w:hAnsi="Calibri"/>
                <w:b w:val="0"/>
                <w:color w:val="212529"/>
                <w:sz w:val="18"/>
              </w:rPr>
              <w:t>-0.019</w:t>
            </w:r>
          </w:p>
        </w:tc>
      </w:tr>
      <w:tr>
        <w:tc>
          <w:tcPr>
            <w:tcW w:type="dxa" w:w="2160"/>
            <w:shd w:fill="FFFFFF"/>
            <w:tcMar>
              <w:top w:w="80" w:type="dxa"/>
              <w:bottom w:w="80" w:type="dxa"/>
              <w:left w:w="120" w:type="dxa"/>
              <w:right w:w="120" w:type="dxa"/>
            </w:tcMar>
          </w:tcPr>
          <w:p>
            <w:pPr>
              <w:spacing w:after="0"/>
              <w:jc w:val="left"/>
            </w:pPr>
            <w:r>
              <w:rPr>
                <w:rFonts w:ascii="Calibri" w:hAnsi="Calibri"/>
                <w:b/>
                <w:color w:val="212529"/>
                <w:sz w:val="18"/>
              </w:rPr>
              <w:t>education_num</w:t>
            </w:r>
          </w:p>
        </w:tc>
        <w:tc>
          <w:tcPr>
            <w:tcW w:type="dxa" w:w="1152"/>
            <w:shd w:fill="FFFFFF"/>
            <w:tcMar>
              <w:top w:w="80" w:type="dxa"/>
              <w:bottom w:w="80" w:type="dxa"/>
              <w:left w:w="120" w:type="dxa"/>
              <w:right w:w="120" w:type="dxa"/>
            </w:tcMar>
          </w:tcPr>
          <w:p>
            <w:pPr>
              <w:spacing w:after="0"/>
              <w:jc w:val="right"/>
            </w:pPr>
            <w:r>
              <w:rPr>
                <w:rFonts w:ascii="Calibri" w:hAnsi="Calibri"/>
                <w:b w:val="0"/>
                <w:color w:val="212529"/>
                <w:sz w:val="18"/>
              </w:rPr>
              <w:t>0.036</w:t>
            </w:r>
          </w:p>
        </w:tc>
        <w:tc>
          <w:tcPr>
            <w:tcW w:type="dxa" w:w="1152"/>
            <w:shd w:fill="FFFFFF"/>
            <w:tcMar>
              <w:top w:w="80" w:type="dxa"/>
              <w:bottom w:w="80" w:type="dxa"/>
              <w:left w:w="120" w:type="dxa"/>
              <w:right w:w="120" w:type="dxa"/>
            </w:tcMar>
          </w:tcPr>
          <w:p>
            <w:pPr>
              <w:spacing w:after="0"/>
              <w:jc w:val="right"/>
            </w:pPr>
            <w:r>
              <w:rPr>
                <w:rFonts w:ascii="Calibri" w:hAnsi="Calibri"/>
                <w:b w:val="0"/>
                <w:color w:val="212529"/>
                <w:sz w:val="18"/>
              </w:rPr>
              <w:t>-0.043</w:t>
            </w:r>
          </w:p>
        </w:tc>
        <w:tc>
          <w:tcPr>
            <w:tcW w:type="dxa" w:w="1152"/>
            <w:shd w:fill="FFFFFF"/>
            <w:tcMar>
              <w:top w:w="80" w:type="dxa"/>
              <w:bottom w:w="80" w:type="dxa"/>
              <w:left w:w="120" w:type="dxa"/>
              <w:right w:w="120" w:type="dxa"/>
            </w:tcMar>
          </w:tcPr>
          <w:p>
            <w:pPr>
              <w:spacing w:after="0"/>
              <w:jc w:val="right"/>
            </w:pPr>
            <w:r>
              <w:rPr>
                <w:rFonts w:ascii="Calibri" w:hAnsi="Calibri"/>
                <w:b w:val="0"/>
                <w:color w:val="212529"/>
                <w:sz w:val="18"/>
              </w:rPr>
              <w:t>1.000</w:t>
            </w:r>
          </w:p>
        </w:tc>
        <w:tc>
          <w:tcPr>
            <w:tcW w:type="dxa" w:w="1152"/>
            <w:shd w:fill="FFFFFF"/>
            <w:tcMar>
              <w:top w:w="80" w:type="dxa"/>
              <w:bottom w:w="80" w:type="dxa"/>
              <w:left w:w="120" w:type="dxa"/>
              <w:right w:w="120" w:type="dxa"/>
            </w:tcMar>
          </w:tcPr>
          <w:p>
            <w:pPr>
              <w:spacing w:after="0"/>
              <w:jc w:val="right"/>
            </w:pPr>
            <w:r>
              <w:rPr>
                <w:rFonts w:ascii="Calibri" w:hAnsi="Calibri"/>
                <w:b/>
                <w:color w:val="212529"/>
                <w:sz w:val="18"/>
              </w:rPr>
              <w:t>0.123</w:t>
            </w:r>
          </w:p>
        </w:tc>
        <w:tc>
          <w:tcPr>
            <w:tcW w:type="dxa" w:w="1152"/>
            <w:shd w:fill="FFFFFF"/>
            <w:tcMar>
              <w:top w:w="80" w:type="dxa"/>
              <w:bottom w:w="80" w:type="dxa"/>
              <w:left w:w="120" w:type="dxa"/>
              <w:right w:w="120" w:type="dxa"/>
            </w:tcMar>
          </w:tcPr>
          <w:p>
            <w:pPr>
              <w:spacing w:after="0"/>
              <w:jc w:val="right"/>
            </w:pPr>
            <w:r>
              <w:rPr>
                <w:rFonts w:ascii="Calibri" w:hAnsi="Calibri"/>
                <w:b w:val="0"/>
                <w:color w:val="212529"/>
                <w:sz w:val="18"/>
              </w:rPr>
              <w:t>0.080</w:t>
            </w:r>
          </w:p>
        </w:tc>
        <w:tc>
          <w:tcPr>
            <w:tcW w:type="dxa" w:w="1152"/>
            <w:shd w:fill="FFFFFF"/>
            <w:tcMar>
              <w:top w:w="80" w:type="dxa"/>
              <w:bottom w:w="80" w:type="dxa"/>
              <w:left w:w="120" w:type="dxa"/>
              <w:right w:w="120" w:type="dxa"/>
            </w:tcMar>
          </w:tcPr>
          <w:p>
            <w:pPr>
              <w:spacing w:after="0"/>
              <w:jc w:val="right"/>
            </w:pPr>
            <w:r>
              <w:rPr>
                <w:rFonts w:ascii="Calibri" w:hAnsi="Calibri"/>
                <w:b/>
                <w:color w:val="212529"/>
                <w:sz w:val="18"/>
              </w:rPr>
              <w:t>0.148</w:t>
            </w:r>
          </w:p>
        </w:tc>
      </w:tr>
      <w:tr>
        <w:tc>
          <w:tcPr>
            <w:tcW w:type="dxa" w:w="2160"/>
            <w:shd w:fill="F9FAFB"/>
            <w:tcMar>
              <w:top w:w="80" w:type="dxa"/>
              <w:bottom w:w="80" w:type="dxa"/>
              <w:left w:w="120" w:type="dxa"/>
              <w:right w:w="120" w:type="dxa"/>
            </w:tcMar>
          </w:tcPr>
          <w:p>
            <w:pPr>
              <w:spacing w:after="0"/>
              <w:jc w:val="left"/>
            </w:pPr>
            <w:r>
              <w:rPr>
                <w:rFonts w:ascii="Calibri" w:hAnsi="Calibri"/>
                <w:b/>
                <w:color w:val="212529"/>
                <w:sz w:val="18"/>
              </w:rPr>
              <w:t>capital_gain</w:t>
            </w:r>
          </w:p>
        </w:tc>
        <w:tc>
          <w:tcPr>
            <w:tcW w:type="dxa" w:w="1152"/>
            <w:shd w:fill="F9FAFB"/>
            <w:tcMar>
              <w:top w:w="80" w:type="dxa"/>
              <w:bottom w:w="80" w:type="dxa"/>
              <w:left w:w="120" w:type="dxa"/>
              <w:right w:w="120" w:type="dxa"/>
            </w:tcMar>
          </w:tcPr>
          <w:p>
            <w:pPr>
              <w:spacing w:after="0"/>
              <w:jc w:val="right"/>
            </w:pPr>
            <w:r>
              <w:rPr>
                <w:rFonts w:ascii="Calibri" w:hAnsi="Calibri"/>
                <w:b w:val="0"/>
                <w:color w:val="212529"/>
                <w:sz w:val="18"/>
              </w:rPr>
              <w:t>0.078</w:t>
            </w:r>
          </w:p>
        </w:tc>
        <w:tc>
          <w:tcPr>
            <w:tcW w:type="dxa" w:w="1152"/>
            <w:shd w:fill="F9FAFB"/>
            <w:tcMar>
              <w:top w:w="80" w:type="dxa"/>
              <w:bottom w:w="80" w:type="dxa"/>
              <w:left w:w="120" w:type="dxa"/>
              <w:right w:w="120" w:type="dxa"/>
            </w:tcMar>
          </w:tcPr>
          <w:p>
            <w:pPr>
              <w:spacing w:after="0"/>
              <w:jc w:val="right"/>
            </w:pPr>
            <w:r>
              <w:rPr>
                <w:rFonts w:ascii="Calibri" w:hAnsi="Calibri"/>
                <w:b w:val="0"/>
                <w:color w:val="212529"/>
                <w:sz w:val="18"/>
              </w:rPr>
              <w:t>0.000</w:t>
            </w:r>
          </w:p>
        </w:tc>
        <w:tc>
          <w:tcPr>
            <w:tcW w:type="dxa" w:w="1152"/>
            <w:shd w:fill="F9FAFB"/>
            <w:tcMar>
              <w:top w:w="80" w:type="dxa"/>
              <w:bottom w:w="80" w:type="dxa"/>
              <w:left w:w="120" w:type="dxa"/>
              <w:right w:w="120" w:type="dxa"/>
            </w:tcMar>
          </w:tcPr>
          <w:p>
            <w:pPr>
              <w:spacing w:after="0"/>
              <w:jc w:val="right"/>
            </w:pPr>
            <w:r>
              <w:rPr>
                <w:rFonts w:ascii="Calibri" w:hAnsi="Calibri"/>
                <w:b/>
                <w:color w:val="212529"/>
                <w:sz w:val="18"/>
              </w:rPr>
              <w:t>0.123</w:t>
            </w:r>
          </w:p>
        </w:tc>
        <w:tc>
          <w:tcPr>
            <w:tcW w:type="dxa" w:w="1152"/>
            <w:shd w:fill="F9FAFB"/>
            <w:tcMar>
              <w:top w:w="80" w:type="dxa"/>
              <w:bottom w:w="80" w:type="dxa"/>
              <w:left w:w="120" w:type="dxa"/>
              <w:right w:w="120" w:type="dxa"/>
            </w:tcMar>
          </w:tcPr>
          <w:p>
            <w:pPr>
              <w:spacing w:after="0"/>
              <w:jc w:val="right"/>
            </w:pPr>
            <w:r>
              <w:rPr>
                <w:rFonts w:ascii="Calibri" w:hAnsi="Calibri"/>
                <w:b w:val="0"/>
                <w:color w:val="212529"/>
                <w:sz w:val="18"/>
              </w:rPr>
              <w:t>1.000</w:t>
            </w:r>
          </w:p>
        </w:tc>
        <w:tc>
          <w:tcPr>
            <w:tcW w:type="dxa" w:w="1152"/>
            <w:shd w:fill="F9FAFB"/>
            <w:tcMar>
              <w:top w:w="80" w:type="dxa"/>
              <w:bottom w:w="80" w:type="dxa"/>
              <w:left w:w="120" w:type="dxa"/>
              <w:right w:w="120" w:type="dxa"/>
            </w:tcMar>
          </w:tcPr>
          <w:p>
            <w:pPr>
              <w:spacing w:after="0"/>
              <w:jc w:val="right"/>
            </w:pPr>
            <w:r>
              <w:rPr>
                <w:rFonts w:ascii="Calibri" w:hAnsi="Calibri"/>
                <w:b w:val="0"/>
                <w:color w:val="212529"/>
                <w:sz w:val="18"/>
              </w:rPr>
              <w:t>-0.032</w:t>
            </w:r>
          </w:p>
        </w:tc>
        <w:tc>
          <w:tcPr>
            <w:tcW w:type="dxa" w:w="1152"/>
            <w:shd w:fill="F9FAFB"/>
            <w:tcMar>
              <w:top w:w="80" w:type="dxa"/>
              <w:bottom w:w="80" w:type="dxa"/>
              <w:left w:w="120" w:type="dxa"/>
              <w:right w:w="120" w:type="dxa"/>
            </w:tcMar>
          </w:tcPr>
          <w:p>
            <w:pPr>
              <w:spacing w:after="0"/>
              <w:jc w:val="right"/>
            </w:pPr>
            <w:r>
              <w:rPr>
                <w:rFonts w:ascii="Calibri" w:hAnsi="Calibri"/>
                <w:b w:val="0"/>
                <w:color w:val="212529"/>
                <w:sz w:val="18"/>
              </w:rPr>
              <w:t>0.078</w:t>
            </w:r>
          </w:p>
        </w:tc>
      </w:tr>
      <w:tr>
        <w:tc>
          <w:tcPr>
            <w:tcW w:type="dxa" w:w="2160"/>
            <w:shd w:fill="FFFFFF"/>
            <w:tcMar>
              <w:top w:w="80" w:type="dxa"/>
              <w:bottom w:w="80" w:type="dxa"/>
              <w:left w:w="120" w:type="dxa"/>
              <w:right w:w="120" w:type="dxa"/>
            </w:tcMar>
          </w:tcPr>
          <w:p>
            <w:pPr>
              <w:spacing w:after="0"/>
              <w:jc w:val="left"/>
            </w:pPr>
            <w:r>
              <w:rPr>
                <w:rFonts w:ascii="Calibri" w:hAnsi="Calibri"/>
                <w:b/>
                <w:color w:val="212529"/>
                <w:sz w:val="18"/>
              </w:rPr>
              <w:t>capital_loss</w:t>
            </w:r>
          </w:p>
        </w:tc>
        <w:tc>
          <w:tcPr>
            <w:tcW w:type="dxa" w:w="1152"/>
            <w:shd w:fill="FFFFFF"/>
            <w:tcMar>
              <w:top w:w="80" w:type="dxa"/>
              <w:bottom w:w="80" w:type="dxa"/>
              <w:left w:w="120" w:type="dxa"/>
              <w:right w:w="120" w:type="dxa"/>
            </w:tcMar>
          </w:tcPr>
          <w:p>
            <w:pPr>
              <w:spacing w:after="0"/>
              <w:jc w:val="right"/>
            </w:pPr>
            <w:r>
              <w:rPr>
                <w:rFonts w:ascii="Calibri" w:hAnsi="Calibri"/>
                <w:b w:val="0"/>
                <w:color w:val="212529"/>
                <w:sz w:val="18"/>
              </w:rPr>
              <w:t>0.058</w:t>
            </w:r>
          </w:p>
        </w:tc>
        <w:tc>
          <w:tcPr>
            <w:tcW w:type="dxa" w:w="1152"/>
            <w:shd w:fill="FFFFFF"/>
            <w:tcMar>
              <w:top w:w="80" w:type="dxa"/>
              <w:bottom w:w="80" w:type="dxa"/>
              <w:left w:w="120" w:type="dxa"/>
              <w:right w:w="120" w:type="dxa"/>
            </w:tcMar>
          </w:tcPr>
          <w:p>
            <w:pPr>
              <w:spacing w:after="0"/>
              <w:jc w:val="right"/>
            </w:pPr>
            <w:r>
              <w:rPr>
                <w:rFonts w:ascii="Calibri" w:hAnsi="Calibri"/>
                <w:b w:val="0"/>
                <w:color w:val="212529"/>
                <w:sz w:val="18"/>
              </w:rPr>
              <w:t>-0.010</w:t>
            </w:r>
          </w:p>
        </w:tc>
        <w:tc>
          <w:tcPr>
            <w:tcW w:type="dxa" w:w="1152"/>
            <w:shd w:fill="FFFFFF"/>
            <w:tcMar>
              <w:top w:w="80" w:type="dxa"/>
              <w:bottom w:w="80" w:type="dxa"/>
              <w:left w:w="120" w:type="dxa"/>
              <w:right w:w="120" w:type="dxa"/>
            </w:tcMar>
          </w:tcPr>
          <w:p>
            <w:pPr>
              <w:spacing w:after="0"/>
              <w:jc w:val="right"/>
            </w:pPr>
            <w:r>
              <w:rPr>
                <w:rFonts w:ascii="Calibri" w:hAnsi="Calibri"/>
                <w:b w:val="0"/>
                <w:color w:val="212529"/>
                <w:sz w:val="18"/>
              </w:rPr>
              <w:t>0.080</w:t>
            </w:r>
          </w:p>
        </w:tc>
        <w:tc>
          <w:tcPr>
            <w:tcW w:type="dxa" w:w="1152"/>
            <w:shd w:fill="FFFFFF"/>
            <w:tcMar>
              <w:top w:w="80" w:type="dxa"/>
              <w:bottom w:w="80" w:type="dxa"/>
              <w:left w:w="120" w:type="dxa"/>
              <w:right w:w="120" w:type="dxa"/>
            </w:tcMar>
          </w:tcPr>
          <w:p>
            <w:pPr>
              <w:spacing w:after="0"/>
              <w:jc w:val="right"/>
            </w:pPr>
            <w:r>
              <w:rPr>
                <w:rFonts w:ascii="Calibri" w:hAnsi="Calibri"/>
                <w:b w:val="0"/>
                <w:color w:val="212529"/>
                <w:sz w:val="18"/>
              </w:rPr>
              <w:t>-0.032</w:t>
            </w:r>
          </w:p>
        </w:tc>
        <w:tc>
          <w:tcPr>
            <w:tcW w:type="dxa" w:w="1152"/>
            <w:shd w:fill="FFFFFF"/>
            <w:tcMar>
              <w:top w:w="80" w:type="dxa"/>
              <w:bottom w:w="80" w:type="dxa"/>
              <w:left w:w="120" w:type="dxa"/>
              <w:right w:w="120" w:type="dxa"/>
            </w:tcMar>
          </w:tcPr>
          <w:p>
            <w:pPr>
              <w:spacing w:after="0"/>
              <w:jc w:val="right"/>
            </w:pPr>
            <w:r>
              <w:rPr>
                <w:rFonts w:ascii="Calibri" w:hAnsi="Calibri"/>
                <w:b w:val="0"/>
                <w:color w:val="212529"/>
                <w:sz w:val="18"/>
              </w:rPr>
              <w:t>1.000</w:t>
            </w:r>
          </w:p>
        </w:tc>
        <w:tc>
          <w:tcPr>
            <w:tcW w:type="dxa" w:w="1152"/>
            <w:shd w:fill="FFFFFF"/>
            <w:tcMar>
              <w:top w:w="80" w:type="dxa"/>
              <w:bottom w:w="80" w:type="dxa"/>
              <w:left w:w="120" w:type="dxa"/>
              <w:right w:w="120" w:type="dxa"/>
            </w:tcMar>
          </w:tcPr>
          <w:p>
            <w:pPr>
              <w:spacing w:after="0"/>
              <w:jc w:val="right"/>
            </w:pPr>
            <w:r>
              <w:rPr>
                <w:rFonts w:ascii="Calibri" w:hAnsi="Calibri"/>
                <w:b w:val="0"/>
                <w:color w:val="212529"/>
                <w:sz w:val="18"/>
              </w:rPr>
              <w:t>0.054</w:t>
            </w:r>
          </w:p>
        </w:tc>
      </w:tr>
      <w:tr>
        <w:tc>
          <w:tcPr>
            <w:tcW w:type="dxa" w:w="2160"/>
            <w:shd w:fill="F9FAFB"/>
            <w:tcMar>
              <w:top w:w="80" w:type="dxa"/>
              <w:bottom w:w="80" w:type="dxa"/>
              <w:left w:w="120" w:type="dxa"/>
              <w:right w:w="120" w:type="dxa"/>
            </w:tcMar>
          </w:tcPr>
          <w:p>
            <w:pPr>
              <w:spacing w:after="0"/>
              <w:jc w:val="left"/>
            </w:pPr>
            <w:r>
              <w:rPr>
                <w:rFonts w:ascii="Calibri" w:hAnsi="Calibri"/>
                <w:b/>
                <w:color w:val="212529"/>
                <w:sz w:val="18"/>
              </w:rPr>
              <w:t>hours_per_week</w:t>
            </w:r>
          </w:p>
        </w:tc>
        <w:tc>
          <w:tcPr>
            <w:tcW w:type="dxa" w:w="1152"/>
            <w:shd w:fill="F9FAFB"/>
            <w:tcMar>
              <w:top w:w="80" w:type="dxa"/>
              <w:bottom w:w="80" w:type="dxa"/>
              <w:left w:w="120" w:type="dxa"/>
              <w:right w:w="120" w:type="dxa"/>
            </w:tcMar>
          </w:tcPr>
          <w:p>
            <w:pPr>
              <w:spacing w:after="0"/>
              <w:jc w:val="right"/>
            </w:pPr>
            <w:r>
              <w:rPr>
                <w:rFonts w:ascii="Calibri" w:hAnsi="Calibri"/>
                <w:b w:val="0"/>
                <w:color w:val="212529"/>
                <w:sz w:val="18"/>
              </w:rPr>
              <w:t>0.069</w:t>
            </w:r>
          </w:p>
        </w:tc>
        <w:tc>
          <w:tcPr>
            <w:tcW w:type="dxa" w:w="1152"/>
            <w:shd w:fill="F9FAFB"/>
            <w:tcMar>
              <w:top w:w="80" w:type="dxa"/>
              <w:bottom w:w="80" w:type="dxa"/>
              <w:left w:w="120" w:type="dxa"/>
              <w:right w:w="120" w:type="dxa"/>
            </w:tcMar>
          </w:tcPr>
          <w:p>
            <w:pPr>
              <w:spacing w:after="0"/>
              <w:jc w:val="right"/>
            </w:pPr>
            <w:r>
              <w:rPr>
                <w:rFonts w:ascii="Calibri" w:hAnsi="Calibri"/>
                <w:b w:val="0"/>
                <w:color w:val="212529"/>
                <w:sz w:val="18"/>
              </w:rPr>
              <w:t>-0.019</w:t>
            </w:r>
          </w:p>
        </w:tc>
        <w:tc>
          <w:tcPr>
            <w:tcW w:type="dxa" w:w="1152"/>
            <w:shd w:fill="F9FAFB"/>
            <w:tcMar>
              <w:top w:w="80" w:type="dxa"/>
              <w:bottom w:w="80" w:type="dxa"/>
              <w:left w:w="120" w:type="dxa"/>
              <w:right w:w="120" w:type="dxa"/>
            </w:tcMar>
          </w:tcPr>
          <w:p>
            <w:pPr>
              <w:spacing w:after="0"/>
              <w:jc w:val="right"/>
            </w:pPr>
            <w:r>
              <w:rPr>
                <w:rFonts w:ascii="Calibri" w:hAnsi="Calibri"/>
                <w:b/>
                <w:color w:val="212529"/>
                <w:sz w:val="18"/>
              </w:rPr>
              <w:t>0.148</w:t>
            </w:r>
          </w:p>
        </w:tc>
        <w:tc>
          <w:tcPr>
            <w:tcW w:type="dxa" w:w="1152"/>
            <w:shd w:fill="F9FAFB"/>
            <w:tcMar>
              <w:top w:w="80" w:type="dxa"/>
              <w:bottom w:w="80" w:type="dxa"/>
              <w:left w:w="120" w:type="dxa"/>
              <w:right w:w="120" w:type="dxa"/>
            </w:tcMar>
          </w:tcPr>
          <w:p>
            <w:pPr>
              <w:spacing w:after="0"/>
              <w:jc w:val="right"/>
            </w:pPr>
            <w:r>
              <w:rPr>
                <w:rFonts w:ascii="Calibri" w:hAnsi="Calibri"/>
                <w:b w:val="0"/>
                <w:color w:val="212529"/>
                <w:sz w:val="18"/>
              </w:rPr>
              <w:t>0.078</w:t>
            </w:r>
          </w:p>
        </w:tc>
        <w:tc>
          <w:tcPr>
            <w:tcW w:type="dxa" w:w="1152"/>
            <w:shd w:fill="F9FAFB"/>
            <w:tcMar>
              <w:top w:w="80" w:type="dxa"/>
              <w:bottom w:w="80" w:type="dxa"/>
              <w:left w:w="120" w:type="dxa"/>
              <w:right w:w="120" w:type="dxa"/>
            </w:tcMar>
          </w:tcPr>
          <w:p>
            <w:pPr>
              <w:spacing w:after="0"/>
              <w:jc w:val="right"/>
            </w:pPr>
            <w:r>
              <w:rPr>
                <w:rFonts w:ascii="Calibri" w:hAnsi="Calibri"/>
                <w:b w:val="0"/>
                <w:color w:val="212529"/>
                <w:sz w:val="18"/>
              </w:rPr>
              <w:t>0.054</w:t>
            </w:r>
          </w:p>
        </w:tc>
        <w:tc>
          <w:tcPr>
            <w:tcW w:type="dxa" w:w="1152"/>
            <w:shd w:fill="F9FAFB"/>
            <w:tcMar>
              <w:top w:w="80" w:type="dxa"/>
              <w:bottom w:w="80" w:type="dxa"/>
              <w:left w:w="120" w:type="dxa"/>
              <w:right w:w="120" w:type="dxa"/>
            </w:tcMar>
          </w:tcPr>
          <w:p>
            <w:pPr>
              <w:spacing w:after="0"/>
              <w:jc w:val="right"/>
            </w:pPr>
            <w:r>
              <w:rPr>
                <w:rFonts w:ascii="Calibri" w:hAnsi="Calibri"/>
                <w:b w:val="0"/>
                <w:color w:val="212529"/>
                <w:sz w:val="18"/>
              </w:rPr>
              <w:t>1.000</w:t>
            </w:r>
          </w:p>
        </w:tc>
      </w:tr>
    </w:tbl>
    <w:p>
      <w:pPr>
        <w:spacing w:after="160"/>
      </w:pPr>
      <w:r>
        <w:rPr>
          <w:i/>
          <w:color w:val="6C757D"/>
          <w:sz w:val="17"/>
        </w:rPr>
        <w:t>Table 2 Note: Pearson correlation coefficients. Sample N = 32,537. All pairwise correlations satisfy |r| &lt; 0.16.</w:t>
      </w:r>
    </w:p>
    <w:p>
      <w:pPr>
        <w:spacing w:before="160" w:after="60"/>
        <w:jc w:val="center"/>
      </w:pPr>
      <w:r>
        <w:drawing>
          <wp:inline xmlns:a="http://schemas.openxmlformats.org/drawingml/2006/main" xmlns:pic="http://schemas.openxmlformats.org/drawingml/2006/picture">
            <wp:extent cx="5303520" cy="4384243"/>
            <wp:docPr id="7" name="Picture 7"/>
            <wp:cNvGraphicFramePr>
              <a:graphicFrameLocks noChangeAspect="1"/>
            </wp:cNvGraphicFramePr>
            <a:graphic>
              <a:graphicData uri="http://schemas.openxmlformats.org/drawingml/2006/picture">
                <pic:pic>
                  <pic:nvPicPr>
                    <pic:cNvPr id="0" name="week3_correlation_heatmap.png"/>
                    <pic:cNvPicPr/>
                  </pic:nvPicPr>
                  <pic:blipFill>
                    <a:blip r:embed="rId17"/>
                    <a:stretch>
                      <a:fillRect/>
                    </a:stretch>
                  </pic:blipFill>
                  <pic:spPr>
                    <a:xfrm>
                      <a:off x="0" y="0"/>
                      <a:ext cx="5303520" cy="4384243"/>
                    </a:xfrm>
                    <a:prstGeom prst="rect"/>
                  </pic:spPr>
                </pic:pic>
              </a:graphicData>
            </a:graphic>
          </wp:inline>
        </w:drawing>
      </w:r>
    </w:p>
    <w:p>
      <w:pPr>
        <w:spacing w:after="160"/>
        <w:jc w:val="center"/>
      </w:pPr>
      <w:r>
        <w:rPr>
          <w:b/>
          <w:color w:val="1B365D"/>
          <w:sz w:val="19"/>
        </w:rPr>
        <w:t xml:space="preserve">Figure 7: </w:t>
      </w:r>
      <w:r>
        <w:rPr>
          <w:b/>
          <w:color w:val="465C7A"/>
          <w:sz w:val="19"/>
        </w:rPr>
        <w:t xml:space="preserve">Continuous Predictor Correlation Heatmap. </w:t>
      </w:r>
      <w:r>
        <w:rPr>
          <w:i/>
          <w:color w:val="6C757D"/>
          <w:sz w:val="18"/>
        </w:rPr>
        <w:t>Heatmap visualization of Pearson correlation coefficients across continuous attributes. Maximum correlation occurs between education and weekly hours (r = +0.148).</w:t>
      </w:r>
    </w:p>
    <w:p>
      <w:pPr>
        <w:spacing w:after="120" w:line="276" w:lineRule="auto"/>
      </w:pPr>
      <w:r>
        <w:rPr>
          <w:rFonts w:ascii="Calibri" w:hAnsi="Calibri"/>
          <w:color w:val="212529"/>
          <w:sz w:val="22"/>
        </w:rPr>
        <w:t>Interpretation: Pairwise collinearity among continuous predictors is uniformly low (|r| &lt; 0.16 for all pairs). The strongest linear association occurs between `education_num` and `hours_per_week` (r = +0.148, p &lt; 0.0001), indicating that more highly educated professionals work marginally longer hours. `age` correlates weakly with `hours_per_week` (r = +0.069) and `capital_gain` (r = +0.078). Sampling weight (`fnlwgt`) exhibits near-zero correlation with all economic variables (|r| &lt; 0.045).</w:t>
      </w:r>
    </w:p>
    <w:p>
      <w:pPr>
        <w:pStyle w:val="Heading2"/>
        <w:keepNext/>
        <w:spacing w:before="260" w:after="80"/>
      </w:pPr>
      <w:r>
        <w:rPr>
          <w:rFonts w:ascii="Calibri" w:hAnsi="Calibri"/>
          <w:b/>
          <w:color w:val="465C7A"/>
          <w:sz w:val="27"/>
        </w:rPr>
        <w:t>Generalized Variance Inflation Factor (GVIF) Analysis</w:t>
      </w:r>
    </w:p>
    <w:p>
      <w:pPr>
        <w:spacing w:after="120" w:line="276" w:lineRule="auto"/>
      </w:pPr>
      <w:r>
        <w:rPr>
          <w:rFonts w:ascii="Calibri" w:hAnsi="Calibri"/>
          <w:color w:val="212529"/>
          <w:sz w:val="22"/>
        </w:rPr>
        <w:t>To rigorously test for multicollinearity in the presence of multi-category categorical factors (e.g., occupation with 14 levels, workclass with 8 levels), Generalized Variance Inflation Factors (GVIF) were computed following Fox and Monette (1992). To allow fair comparison across factors with differing degrees of freedom (Df), the standardized metric GVIF^(1/(2*Df)) is evaluated, which is on the same scale as a standard two-level VIF.</w:t>
      </w:r>
    </w:p>
    <w:tbl>
      <w:tblPr>
        <w:tblW w:type="auto" w:w="0"/>
        <w:jc w:val="center"/>
        <w:tblLook w:firstColumn="1" w:firstRow="1" w:lastColumn="0" w:lastRow="0" w:noHBand="0" w:noVBand="1" w:val="04A0"/>
        <w:tblBorders>
          <w:top w:val="single" w:sz="6" w:space="0" w:color="D0D7DE"/>
          <w:bottom w:val="single" w:sz="8" w:space="0" w:color="D0D7DE"/>
          <w:insideH w:val="single" w:sz="4" w:space="0" w:color="D0D7DE"/>
          <w:insideV w:val="none"/>
          <w:left w:val="none"/>
          <w:right w:val="none"/>
        </w:tblBorders>
      </w:tblPr>
      <w:tblGrid>
        <w:gridCol w:w="1872"/>
        <w:gridCol w:w="1872"/>
        <w:gridCol w:w="1872"/>
        <w:gridCol w:w="1872"/>
        <w:gridCol w:w="1872"/>
      </w:tblGrid>
      <w:tr>
        <w:tc>
          <w:tcPr>
            <w:tcW w:type="dxa" w:w="2592"/>
            <w:shd w:fill="1B365D"/>
            <w:tcMar>
              <w:top w:w="120" w:type="dxa"/>
              <w:bottom w:w="120" w:type="dxa"/>
              <w:left w:w="120" w:type="dxa"/>
              <w:right w:w="120" w:type="dxa"/>
            </w:tcMar>
          </w:tcPr>
          <w:p>
            <w:pPr>
              <w:spacing w:after="0"/>
              <w:jc w:val="left"/>
            </w:pPr>
            <w:r>
              <w:rPr>
                <w:rFonts w:ascii="Calibri" w:hAnsi="Calibri"/>
                <w:b/>
                <w:color w:val="FFFFFF"/>
                <w:sz w:val="19"/>
              </w:rPr>
              <w:t>Predictor Variable</w:t>
            </w:r>
          </w:p>
        </w:tc>
        <w:tc>
          <w:tcPr>
            <w:tcW w:type="dxa" w:w="1584"/>
            <w:shd w:fill="1B365D"/>
            <w:tcMar>
              <w:top w:w="120" w:type="dxa"/>
              <w:bottom w:w="120" w:type="dxa"/>
              <w:left w:w="120" w:type="dxa"/>
              <w:right w:w="120" w:type="dxa"/>
            </w:tcMar>
          </w:tcPr>
          <w:p>
            <w:pPr>
              <w:spacing w:after="0"/>
              <w:jc w:val="left"/>
            </w:pPr>
            <w:r>
              <w:rPr>
                <w:rFonts w:ascii="Calibri" w:hAnsi="Calibri"/>
                <w:b/>
                <w:color w:val="FFFFFF"/>
                <w:sz w:val="19"/>
              </w:rPr>
              <w:t>Raw GVIF</w:t>
            </w:r>
          </w:p>
        </w:tc>
        <w:tc>
          <w:tcPr>
            <w:tcW w:type="dxa" w:w="1728"/>
            <w:shd w:fill="1B365D"/>
            <w:tcMar>
              <w:top w:w="120" w:type="dxa"/>
              <w:bottom w:w="120" w:type="dxa"/>
              <w:left w:w="120" w:type="dxa"/>
              <w:right w:w="120" w:type="dxa"/>
            </w:tcMar>
          </w:tcPr>
          <w:p>
            <w:pPr>
              <w:spacing w:after="0"/>
              <w:jc w:val="left"/>
            </w:pPr>
            <w:r>
              <w:rPr>
                <w:rFonts w:ascii="Calibri" w:hAnsi="Calibri"/>
                <w:b/>
                <w:color w:val="FFFFFF"/>
                <w:sz w:val="19"/>
              </w:rPr>
              <w:t>Degrees of Freedom (Df)</w:t>
            </w:r>
          </w:p>
        </w:tc>
        <w:tc>
          <w:tcPr>
            <w:tcW w:type="dxa" w:w="1872"/>
            <w:shd w:fill="1B365D"/>
            <w:tcMar>
              <w:top w:w="120" w:type="dxa"/>
              <w:bottom w:w="120" w:type="dxa"/>
              <w:left w:w="120" w:type="dxa"/>
              <w:right w:w="120" w:type="dxa"/>
            </w:tcMar>
          </w:tcPr>
          <w:p>
            <w:pPr>
              <w:spacing w:after="0"/>
              <w:jc w:val="left"/>
            </w:pPr>
            <w:r>
              <w:rPr>
                <w:rFonts w:ascii="Calibri" w:hAnsi="Calibri"/>
                <w:b/>
                <w:color w:val="FFFFFF"/>
                <w:sz w:val="19"/>
              </w:rPr>
              <w:t>Standardized GVIF^(1/(2*Df))</w:t>
            </w:r>
          </w:p>
        </w:tc>
        <w:tc>
          <w:tcPr>
            <w:tcW w:type="dxa" w:w="1584"/>
            <w:shd w:fill="1B365D"/>
            <w:tcMar>
              <w:top w:w="120" w:type="dxa"/>
              <w:bottom w:w="120" w:type="dxa"/>
              <w:left w:w="120" w:type="dxa"/>
              <w:right w:w="120" w:type="dxa"/>
            </w:tcMar>
          </w:tcPr>
          <w:p>
            <w:pPr>
              <w:spacing w:after="0"/>
              <w:jc w:val="left"/>
            </w:pPr>
            <w:r>
              <w:rPr>
                <w:rFonts w:ascii="Calibri" w:hAnsi="Calibri"/>
                <w:b/>
                <w:color w:val="FFFFFF"/>
                <w:sz w:val="19"/>
              </w:rPr>
              <w:t>Collinearity Status</w:t>
            </w:r>
          </w:p>
        </w:tc>
      </w:tr>
      <w:tr>
        <w:tc>
          <w:tcPr>
            <w:tcW w:type="dxa" w:w="2592"/>
            <w:shd w:fill="FFFFFF"/>
            <w:tcMar>
              <w:top w:w="80" w:type="dxa"/>
              <w:bottom w:w="80" w:type="dxa"/>
              <w:left w:w="120" w:type="dxa"/>
              <w:right w:w="120" w:type="dxa"/>
            </w:tcMar>
          </w:tcPr>
          <w:p>
            <w:pPr>
              <w:spacing w:after="0"/>
              <w:jc w:val="left"/>
            </w:pPr>
            <w:r>
              <w:rPr>
                <w:rFonts w:ascii="Calibri" w:hAnsi="Calibri"/>
                <w:b/>
                <w:color w:val="212529"/>
                <w:sz w:val="18"/>
              </w:rPr>
              <w:t>age</w:t>
            </w:r>
          </w:p>
        </w:tc>
        <w:tc>
          <w:tcPr>
            <w:tcW w:type="dxa" w:w="1584"/>
            <w:shd w:fill="FFFFFF"/>
            <w:tcMar>
              <w:top w:w="80" w:type="dxa"/>
              <w:bottom w:w="80" w:type="dxa"/>
              <w:left w:w="120" w:type="dxa"/>
              <w:right w:w="120" w:type="dxa"/>
            </w:tcMar>
          </w:tcPr>
          <w:p>
            <w:pPr>
              <w:spacing w:after="0"/>
              <w:jc w:val="left"/>
            </w:pPr>
            <w:r>
              <w:rPr>
                <w:rFonts w:ascii="Calibri" w:hAnsi="Calibri"/>
                <w:b w:val="0"/>
                <w:color w:val="212529"/>
                <w:sz w:val="18"/>
              </w:rPr>
              <w:t>1.21</w:t>
            </w:r>
          </w:p>
        </w:tc>
        <w:tc>
          <w:tcPr>
            <w:tcW w:type="dxa" w:w="1728"/>
            <w:shd w:fill="FFFFFF"/>
            <w:tcMar>
              <w:top w:w="80" w:type="dxa"/>
              <w:bottom w:w="80" w:type="dxa"/>
              <w:left w:w="120" w:type="dxa"/>
              <w:right w:w="120" w:type="dxa"/>
            </w:tcMar>
          </w:tcPr>
          <w:p>
            <w:pPr>
              <w:spacing w:after="0"/>
              <w:jc w:val="left"/>
            </w:pPr>
            <w:r>
              <w:rPr>
                <w:rFonts w:ascii="Calibri" w:hAnsi="Calibri"/>
                <w:b w:val="0"/>
                <w:color w:val="212529"/>
                <w:sz w:val="18"/>
              </w:rPr>
              <w:t>1</w:t>
            </w:r>
          </w:p>
        </w:tc>
        <w:tc>
          <w:tcPr>
            <w:tcW w:type="dxa" w:w="1872"/>
            <w:shd w:fill="FFFFFF"/>
            <w:tcMar>
              <w:top w:w="80" w:type="dxa"/>
              <w:bottom w:w="80" w:type="dxa"/>
              <w:left w:w="120" w:type="dxa"/>
              <w:right w:w="120" w:type="dxa"/>
            </w:tcMar>
          </w:tcPr>
          <w:p>
            <w:pPr>
              <w:spacing w:after="0"/>
              <w:jc w:val="left"/>
            </w:pPr>
            <w:r>
              <w:rPr>
                <w:rFonts w:ascii="Calibri" w:hAnsi="Calibri"/>
                <w:b/>
                <w:color w:val="212529"/>
                <w:sz w:val="18"/>
              </w:rPr>
              <w:t>1.1009</w:t>
            </w:r>
          </w:p>
        </w:tc>
        <w:tc>
          <w:tcPr>
            <w:tcW w:type="dxa" w:w="1584"/>
            <w:shd w:fill="FFFFFF"/>
            <w:tcMar>
              <w:top w:w="80" w:type="dxa"/>
              <w:bottom w:w="80" w:type="dxa"/>
              <w:left w:w="120" w:type="dxa"/>
              <w:right w:w="120" w:type="dxa"/>
            </w:tcMar>
          </w:tcPr>
          <w:p>
            <w:pPr>
              <w:spacing w:after="0"/>
              <w:jc w:val="left"/>
            </w:pPr>
            <w:r>
              <w:rPr>
                <w:rFonts w:ascii="Calibri" w:hAnsi="Calibri"/>
                <w:b w:val="0"/>
                <w:color w:val="212529"/>
                <w:sz w:val="18"/>
              </w:rPr>
              <w:t>Low / Acceptable</w:t>
            </w:r>
          </w:p>
        </w:tc>
      </w:tr>
      <w:tr>
        <w:tc>
          <w:tcPr>
            <w:tcW w:type="dxa" w:w="2592"/>
            <w:shd w:fill="F9FAFB"/>
            <w:tcMar>
              <w:top w:w="80" w:type="dxa"/>
              <w:bottom w:w="80" w:type="dxa"/>
              <w:left w:w="120" w:type="dxa"/>
              <w:right w:w="120" w:type="dxa"/>
            </w:tcMar>
          </w:tcPr>
          <w:p>
            <w:pPr>
              <w:spacing w:after="0"/>
              <w:jc w:val="left"/>
            </w:pPr>
            <w:r>
              <w:rPr>
                <w:rFonts w:ascii="Calibri" w:hAnsi="Calibri"/>
                <w:b/>
                <w:color w:val="212529"/>
                <w:sz w:val="18"/>
              </w:rPr>
              <w:t>workclass</w:t>
            </w:r>
          </w:p>
        </w:tc>
        <w:tc>
          <w:tcPr>
            <w:tcW w:type="dxa" w:w="1584"/>
            <w:shd w:fill="F9FAFB"/>
            <w:tcMar>
              <w:top w:w="80" w:type="dxa"/>
              <w:bottom w:w="80" w:type="dxa"/>
              <w:left w:w="120" w:type="dxa"/>
              <w:right w:w="120" w:type="dxa"/>
            </w:tcMar>
          </w:tcPr>
          <w:p>
            <w:pPr>
              <w:spacing w:after="0"/>
              <w:jc w:val="left"/>
            </w:pPr>
            <w:r>
              <w:rPr>
                <w:rFonts w:ascii="Calibri" w:hAnsi="Calibri"/>
                <w:b w:val="0"/>
                <w:color w:val="212529"/>
                <w:sz w:val="18"/>
              </w:rPr>
              <w:t>1.49</w:t>
            </w:r>
          </w:p>
        </w:tc>
        <w:tc>
          <w:tcPr>
            <w:tcW w:type="dxa" w:w="1728"/>
            <w:shd w:fill="F9FAFB"/>
            <w:tcMar>
              <w:top w:w="80" w:type="dxa"/>
              <w:bottom w:w="80" w:type="dxa"/>
              <w:left w:w="120" w:type="dxa"/>
              <w:right w:w="120" w:type="dxa"/>
            </w:tcMar>
          </w:tcPr>
          <w:p>
            <w:pPr>
              <w:spacing w:after="0"/>
              <w:jc w:val="left"/>
            </w:pPr>
            <w:r>
              <w:rPr>
                <w:rFonts w:ascii="Calibri" w:hAnsi="Calibri"/>
                <w:b w:val="0"/>
                <w:color w:val="212529"/>
                <w:sz w:val="18"/>
              </w:rPr>
              <w:t>7</w:t>
            </w:r>
          </w:p>
        </w:tc>
        <w:tc>
          <w:tcPr>
            <w:tcW w:type="dxa" w:w="1872"/>
            <w:shd w:fill="F9FAFB"/>
            <w:tcMar>
              <w:top w:w="80" w:type="dxa"/>
              <w:bottom w:w="80" w:type="dxa"/>
              <w:left w:w="120" w:type="dxa"/>
              <w:right w:w="120" w:type="dxa"/>
            </w:tcMar>
          </w:tcPr>
          <w:p>
            <w:pPr>
              <w:spacing w:after="0"/>
              <w:jc w:val="left"/>
            </w:pPr>
            <w:r>
              <w:rPr>
                <w:rFonts w:ascii="Calibri" w:hAnsi="Calibri"/>
                <w:b/>
                <w:color w:val="212529"/>
                <w:sz w:val="18"/>
              </w:rPr>
              <w:t>1.0287</w:t>
            </w:r>
          </w:p>
        </w:tc>
        <w:tc>
          <w:tcPr>
            <w:tcW w:type="dxa" w:w="1584"/>
            <w:shd w:fill="F9FAFB"/>
            <w:tcMar>
              <w:top w:w="80" w:type="dxa"/>
              <w:bottom w:w="80" w:type="dxa"/>
              <w:left w:w="120" w:type="dxa"/>
              <w:right w:w="120" w:type="dxa"/>
            </w:tcMar>
          </w:tcPr>
          <w:p>
            <w:pPr>
              <w:spacing w:after="0"/>
              <w:jc w:val="left"/>
            </w:pPr>
            <w:r>
              <w:rPr>
                <w:rFonts w:ascii="Calibri" w:hAnsi="Calibri"/>
                <w:b w:val="0"/>
                <w:color w:val="212529"/>
                <w:sz w:val="18"/>
              </w:rPr>
              <w:t>Low / Acceptable</w:t>
            </w:r>
          </w:p>
        </w:tc>
      </w:tr>
      <w:tr>
        <w:tc>
          <w:tcPr>
            <w:tcW w:type="dxa" w:w="2592"/>
            <w:shd w:fill="FFFFFF"/>
            <w:tcMar>
              <w:top w:w="80" w:type="dxa"/>
              <w:bottom w:w="80" w:type="dxa"/>
              <w:left w:w="120" w:type="dxa"/>
              <w:right w:w="120" w:type="dxa"/>
            </w:tcMar>
          </w:tcPr>
          <w:p>
            <w:pPr>
              <w:spacing w:after="0"/>
              <w:jc w:val="left"/>
            </w:pPr>
            <w:r>
              <w:rPr>
                <w:rFonts w:ascii="Calibri" w:hAnsi="Calibri"/>
                <w:b/>
                <w:color w:val="212529"/>
                <w:sz w:val="18"/>
              </w:rPr>
              <w:t>education_num</w:t>
            </w:r>
          </w:p>
        </w:tc>
        <w:tc>
          <w:tcPr>
            <w:tcW w:type="dxa" w:w="1584"/>
            <w:shd w:fill="FFFFFF"/>
            <w:tcMar>
              <w:top w:w="80" w:type="dxa"/>
              <w:bottom w:w="80" w:type="dxa"/>
              <w:left w:w="120" w:type="dxa"/>
              <w:right w:w="120" w:type="dxa"/>
            </w:tcMar>
          </w:tcPr>
          <w:p>
            <w:pPr>
              <w:spacing w:after="0"/>
              <w:jc w:val="left"/>
            </w:pPr>
            <w:r>
              <w:rPr>
                <w:rFonts w:ascii="Calibri" w:hAnsi="Calibri"/>
                <w:b w:val="0"/>
                <w:color w:val="212529"/>
                <w:sz w:val="18"/>
              </w:rPr>
              <w:t>1.39</w:t>
            </w:r>
          </w:p>
        </w:tc>
        <w:tc>
          <w:tcPr>
            <w:tcW w:type="dxa" w:w="1728"/>
            <w:shd w:fill="FFFFFF"/>
            <w:tcMar>
              <w:top w:w="80" w:type="dxa"/>
              <w:bottom w:w="80" w:type="dxa"/>
              <w:left w:w="120" w:type="dxa"/>
              <w:right w:w="120" w:type="dxa"/>
            </w:tcMar>
          </w:tcPr>
          <w:p>
            <w:pPr>
              <w:spacing w:after="0"/>
              <w:jc w:val="left"/>
            </w:pPr>
            <w:r>
              <w:rPr>
                <w:rFonts w:ascii="Calibri" w:hAnsi="Calibri"/>
                <w:b w:val="0"/>
                <w:color w:val="212529"/>
                <w:sz w:val="18"/>
              </w:rPr>
              <w:t>1</w:t>
            </w:r>
          </w:p>
        </w:tc>
        <w:tc>
          <w:tcPr>
            <w:tcW w:type="dxa" w:w="1872"/>
            <w:shd w:fill="FFFFFF"/>
            <w:tcMar>
              <w:top w:w="80" w:type="dxa"/>
              <w:bottom w:w="80" w:type="dxa"/>
              <w:left w:w="120" w:type="dxa"/>
              <w:right w:w="120" w:type="dxa"/>
            </w:tcMar>
          </w:tcPr>
          <w:p>
            <w:pPr>
              <w:spacing w:after="0"/>
              <w:jc w:val="left"/>
            </w:pPr>
            <w:r>
              <w:rPr>
                <w:rFonts w:ascii="Calibri" w:hAnsi="Calibri"/>
                <w:b/>
                <w:color w:val="212529"/>
                <w:sz w:val="18"/>
              </w:rPr>
              <w:t>1.1796</w:t>
            </w:r>
          </w:p>
        </w:tc>
        <w:tc>
          <w:tcPr>
            <w:tcW w:type="dxa" w:w="1584"/>
            <w:shd w:fill="FFFFFF"/>
            <w:tcMar>
              <w:top w:w="80" w:type="dxa"/>
              <w:bottom w:w="80" w:type="dxa"/>
              <w:left w:w="120" w:type="dxa"/>
              <w:right w:w="120" w:type="dxa"/>
            </w:tcMar>
          </w:tcPr>
          <w:p>
            <w:pPr>
              <w:spacing w:after="0"/>
              <w:jc w:val="left"/>
            </w:pPr>
            <w:r>
              <w:rPr>
                <w:rFonts w:ascii="Calibri" w:hAnsi="Calibri"/>
                <w:b w:val="0"/>
                <w:color w:val="212529"/>
                <w:sz w:val="18"/>
              </w:rPr>
              <w:t>Low / Acceptable</w:t>
            </w:r>
          </w:p>
        </w:tc>
      </w:tr>
      <w:tr>
        <w:tc>
          <w:tcPr>
            <w:tcW w:type="dxa" w:w="2592"/>
            <w:shd w:fill="F9FAFB"/>
            <w:tcMar>
              <w:top w:w="80" w:type="dxa"/>
              <w:bottom w:w="80" w:type="dxa"/>
              <w:left w:w="120" w:type="dxa"/>
              <w:right w:w="120" w:type="dxa"/>
            </w:tcMar>
          </w:tcPr>
          <w:p>
            <w:pPr>
              <w:spacing w:after="0"/>
              <w:jc w:val="left"/>
            </w:pPr>
            <w:r>
              <w:rPr>
                <w:rFonts w:ascii="Calibri" w:hAnsi="Calibri"/>
                <w:b/>
                <w:color w:val="212529"/>
                <w:sz w:val="18"/>
              </w:rPr>
              <w:t>marital_status</w:t>
            </w:r>
          </w:p>
        </w:tc>
        <w:tc>
          <w:tcPr>
            <w:tcW w:type="dxa" w:w="1584"/>
            <w:shd w:fill="F9FAFB"/>
            <w:tcMar>
              <w:top w:w="80" w:type="dxa"/>
              <w:bottom w:w="80" w:type="dxa"/>
              <w:left w:w="120" w:type="dxa"/>
              <w:right w:w="120" w:type="dxa"/>
            </w:tcMar>
          </w:tcPr>
          <w:p>
            <w:pPr>
              <w:spacing w:after="0"/>
              <w:jc w:val="left"/>
            </w:pPr>
            <w:r>
              <w:rPr>
                <w:rFonts w:ascii="Calibri" w:hAnsi="Calibri"/>
                <w:b w:val="0"/>
                <w:color w:val="212529"/>
                <w:sz w:val="18"/>
              </w:rPr>
              <w:t>53.69</w:t>
            </w:r>
          </w:p>
        </w:tc>
        <w:tc>
          <w:tcPr>
            <w:tcW w:type="dxa" w:w="1728"/>
            <w:shd w:fill="F9FAFB"/>
            <w:tcMar>
              <w:top w:w="80" w:type="dxa"/>
              <w:bottom w:w="80" w:type="dxa"/>
              <w:left w:w="120" w:type="dxa"/>
              <w:right w:w="120" w:type="dxa"/>
            </w:tcMar>
          </w:tcPr>
          <w:p>
            <w:pPr>
              <w:spacing w:after="0"/>
              <w:jc w:val="left"/>
            </w:pPr>
            <w:r>
              <w:rPr>
                <w:rFonts w:ascii="Calibri" w:hAnsi="Calibri"/>
                <w:b w:val="0"/>
                <w:color w:val="212529"/>
                <w:sz w:val="18"/>
              </w:rPr>
              <w:t>6</w:t>
            </w:r>
          </w:p>
        </w:tc>
        <w:tc>
          <w:tcPr>
            <w:tcW w:type="dxa" w:w="1872"/>
            <w:shd w:fill="F9FAFB"/>
            <w:tcMar>
              <w:top w:w="80" w:type="dxa"/>
              <w:bottom w:w="80" w:type="dxa"/>
              <w:left w:w="120" w:type="dxa"/>
              <w:right w:w="120" w:type="dxa"/>
            </w:tcMar>
          </w:tcPr>
          <w:p>
            <w:pPr>
              <w:spacing w:after="0"/>
              <w:jc w:val="left"/>
            </w:pPr>
            <w:r>
              <w:rPr>
                <w:rFonts w:ascii="Calibri" w:hAnsi="Calibri"/>
                <w:b/>
                <w:color w:val="212529"/>
                <w:sz w:val="18"/>
              </w:rPr>
              <w:t>1.3937</w:t>
            </w:r>
          </w:p>
        </w:tc>
        <w:tc>
          <w:tcPr>
            <w:tcW w:type="dxa" w:w="1584"/>
            <w:shd w:fill="F9FAFB"/>
            <w:tcMar>
              <w:top w:w="80" w:type="dxa"/>
              <w:bottom w:w="80" w:type="dxa"/>
              <w:left w:w="120" w:type="dxa"/>
              <w:right w:w="120" w:type="dxa"/>
            </w:tcMar>
          </w:tcPr>
          <w:p>
            <w:pPr>
              <w:spacing w:after="0"/>
              <w:jc w:val="left"/>
            </w:pPr>
            <w:r>
              <w:rPr>
                <w:rFonts w:ascii="Calibri" w:hAnsi="Calibri"/>
                <w:b w:val="0"/>
                <w:color w:val="212529"/>
                <w:sz w:val="18"/>
              </w:rPr>
              <w:t>Low / Acceptable</w:t>
            </w:r>
          </w:p>
        </w:tc>
      </w:tr>
      <w:tr>
        <w:tc>
          <w:tcPr>
            <w:tcW w:type="dxa" w:w="2592"/>
            <w:shd w:fill="FFFFFF"/>
            <w:tcMar>
              <w:top w:w="80" w:type="dxa"/>
              <w:bottom w:w="80" w:type="dxa"/>
              <w:left w:w="120" w:type="dxa"/>
              <w:right w:w="120" w:type="dxa"/>
            </w:tcMar>
          </w:tcPr>
          <w:p>
            <w:pPr>
              <w:spacing w:after="0"/>
              <w:jc w:val="left"/>
            </w:pPr>
            <w:r>
              <w:rPr>
                <w:rFonts w:ascii="Calibri" w:hAnsi="Calibri"/>
                <w:b/>
                <w:color w:val="212529"/>
                <w:sz w:val="18"/>
              </w:rPr>
              <w:t>occupation</w:t>
            </w:r>
          </w:p>
        </w:tc>
        <w:tc>
          <w:tcPr>
            <w:tcW w:type="dxa" w:w="1584"/>
            <w:shd w:fill="FFFFFF"/>
            <w:tcMar>
              <w:top w:w="80" w:type="dxa"/>
              <w:bottom w:w="80" w:type="dxa"/>
              <w:left w:w="120" w:type="dxa"/>
              <w:right w:w="120" w:type="dxa"/>
            </w:tcMar>
          </w:tcPr>
          <w:p>
            <w:pPr>
              <w:spacing w:after="0"/>
              <w:jc w:val="left"/>
            </w:pPr>
            <w:r>
              <w:rPr>
                <w:rFonts w:ascii="Calibri" w:hAnsi="Calibri"/>
                <w:b w:val="0"/>
                <w:color w:val="212529"/>
                <w:sz w:val="18"/>
              </w:rPr>
              <w:t>2.19</w:t>
            </w:r>
          </w:p>
        </w:tc>
        <w:tc>
          <w:tcPr>
            <w:tcW w:type="dxa" w:w="1728"/>
            <w:shd w:fill="FFFFFF"/>
            <w:tcMar>
              <w:top w:w="80" w:type="dxa"/>
              <w:bottom w:w="80" w:type="dxa"/>
              <w:left w:w="120" w:type="dxa"/>
              <w:right w:w="120" w:type="dxa"/>
            </w:tcMar>
          </w:tcPr>
          <w:p>
            <w:pPr>
              <w:spacing w:after="0"/>
              <w:jc w:val="left"/>
            </w:pPr>
            <w:r>
              <w:rPr>
                <w:rFonts w:ascii="Calibri" w:hAnsi="Calibri"/>
                <w:b w:val="0"/>
                <w:color w:val="212529"/>
                <w:sz w:val="18"/>
              </w:rPr>
              <w:t>13</w:t>
            </w:r>
          </w:p>
        </w:tc>
        <w:tc>
          <w:tcPr>
            <w:tcW w:type="dxa" w:w="1872"/>
            <w:shd w:fill="FFFFFF"/>
            <w:tcMar>
              <w:top w:w="80" w:type="dxa"/>
              <w:bottom w:w="80" w:type="dxa"/>
              <w:left w:w="120" w:type="dxa"/>
              <w:right w:w="120" w:type="dxa"/>
            </w:tcMar>
          </w:tcPr>
          <w:p>
            <w:pPr>
              <w:spacing w:after="0"/>
              <w:jc w:val="left"/>
            </w:pPr>
            <w:r>
              <w:rPr>
                <w:rFonts w:ascii="Calibri" w:hAnsi="Calibri"/>
                <w:b/>
                <w:color w:val="212529"/>
                <w:sz w:val="18"/>
              </w:rPr>
              <w:t>1.0306</w:t>
            </w:r>
          </w:p>
        </w:tc>
        <w:tc>
          <w:tcPr>
            <w:tcW w:type="dxa" w:w="1584"/>
            <w:shd w:fill="FFFFFF"/>
            <w:tcMar>
              <w:top w:w="80" w:type="dxa"/>
              <w:bottom w:w="80" w:type="dxa"/>
              <w:left w:w="120" w:type="dxa"/>
              <w:right w:w="120" w:type="dxa"/>
            </w:tcMar>
          </w:tcPr>
          <w:p>
            <w:pPr>
              <w:spacing w:after="0"/>
              <w:jc w:val="left"/>
            </w:pPr>
            <w:r>
              <w:rPr>
                <w:rFonts w:ascii="Calibri" w:hAnsi="Calibri"/>
                <w:b w:val="0"/>
                <w:color w:val="212529"/>
                <w:sz w:val="18"/>
              </w:rPr>
              <w:t>Low / Acceptable</w:t>
            </w:r>
          </w:p>
        </w:tc>
      </w:tr>
      <w:tr>
        <w:tc>
          <w:tcPr>
            <w:tcW w:type="dxa" w:w="2592"/>
            <w:shd w:fill="F9FAFB"/>
            <w:tcMar>
              <w:top w:w="80" w:type="dxa"/>
              <w:bottom w:w="80" w:type="dxa"/>
              <w:left w:w="120" w:type="dxa"/>
              <w:right w:w="120" w:type="dxa"/>
            </w:tcMar>
          </w:tcPr>
          <w:p>
            <w:pPr>
              <w:spacing w:after="0"/>
              <w:jc w:val="left"/>
            </w:pPr>
            <w:r>
              <w:rPr>
                <w:rFonts w:ascii="Calibri" w:hAnsi="Calibri"/>
                <w:b/>
                <w:color w:val="212529"/>
                <w:sz w:val="18"/>
              </w:rPr>
              <w:t>relationship</w:t>
            </w:r>
          </w:p>
        </w:tc>
        <w:tc>
          <w:tcPr>
            <w:tcW w:type="dxa" w:w="1584"/>
            <w:shd w:fill="F9FAFB"/>
            <w:tcMar>
              <w:top w:w="80" w:type="dxa"/>
              <w:bottom w:w="80" w:type="dxa"/>
              <w:left w:w="120" w:type="dxa"/>
              <w:right w:w="120" w:type="dxa"/>
            </w:tcMar>
          </w:tcPr>
          <w:p>
            <w:pPr>
              <w:spacing w:after="0"/>
              <w:jc w:val="left"/>
            </w:pPr>
            <w:r>
              <w:rPr>
                <w:rFonts w:ascii="Calibri" w:hAnsi="Calibri"/>
                <w:b w:val="0"/>
                <w:color w:val="212529"/>
                <w:sz w:val="18"/>
              </w:rPr>
              <w:t>127.80</w:t>
            </w:r>
          </w:p>
        </w:tc>
        <w:tc>
          <w:tcPr>
            <w:tcW w:type="dxa" w:w="1728"/>
            <w:shd w:fill="F9FAFB"/>
            <w:tcMar>
              <w:top w:w="80" w:type="dxa"/>
              <w:bottom w:w="80" w:type="dxa"/>
              <w:left w:w="120" w:type="dxa"/>
              <w:right w:w="120" w:type="dxa"/>
            </w:tcMar>
          </w:tcPr>
          <w:p>
            <w:pPr>
              <w:spacing w:after="0"/>
              <w:jc w:val="left"/>
            </w:pPr>
            <w:r>
              <w:rPr>
                <w:rFonts w:ascii="Calibri" w:hAnsi="Calibri"/>
                <w:b w:val="0"/>
                <w:color w:val="212529"/>
                <w:sz w:val="18"/>
              </w:rPr>
              <w:t>5</w:t>
            </w:r>
          </w:p>
        </w:tc>
        <w:tc>
          <w:tcPr>
            <w:tcW w:type="dxa" w:w="1872"/>
            <w:shd w:fill="F9FAFB"/>
            <w:tcMar>
              <w:top w:w="80" w:type="dxa"/>
              <w:bottom w:w="80" w:type="dxa"/>
              <w:left w:w="120" w:type="dxa"/>
              <w:right w:w="120" w:type="dxa"/>
            </w:tcMar>
          </w:tcPr>
          <w:p>
            <w:pPr>
              <w:spacing w:after="0"/>
              <w:jc w:val="left"/>
            </w:pPr>
            <w:r>
              <w:rPr>
                <w:rFonts w:ascii="Calibri" w:hAnsi="Calibri"/>
                <w:b/>
                <w:color w:val="212529"/>
                <w:sz w:val="18"/>
              </w:rPr>
              <w:t>1.6243</w:t>
            </w:r>
          </w:p>
        </w:tc>
        <w:tc>
          <w:tcPr>
            <w:tcW w:type="dxa" w:w="1584"/>
            <w:shd w:fill="F9FAFB"/>
            <w:tcMar>
              <w:top w:w="80" w:type="dxa"/>
              <w:bottom w:w="80" w:type="dxa"/>
              <w:left w:w="120" w:type="dxa"/>
              <w:right w:w="120" w:type="dxa"/>
            </w:tcMar>
          </w:tcPr>
          <w:p>
            <w:pPr>
              <w:spacing w:after="0"/>
              <w:jc w:val="left"/>
            </w:pPr>
            <w:r>
              <w:rPr>
                <w:rFonts w:ascii="Calibri" w:hAnsi="Calibri"/>
                <w:b w:val="0"/>
                <w:color w:val="212529"/>
                <w:sz w:val="18"/>
              </w:rPr>
              <w:t>Low / Acceptable</w:t>
            </w:r>
          </w:p>
        </w:tc>
      </w:tr>
      <w:tr>
        <w:tc>
          <w:tcPr>
            <w:tcW w:type="dxa" w:w="2592"/>
            <w:shd w:fill="FFFFFF"/>
            <w:tcMar>
              <w:top w:w="80" w:type="dxa"/>
              <w:bottom w:w="80" w:type="dxa"/>
              <w:left w:w="120" w:type="dxa"/>
              <w:right w:w="120" w:type="dxa"/>
            </w:tcMar>
          </w:tcPr>
          <w:p>
            <w:pPr>
              <w:spacing w:after="0"/>
              <w:jc w:val="left"/>
            </w:pPr>
            <w:r>
              <w:rPr>
                <w:rFonts w:ascii="Calibri" w:hAnsi="Calibri"/>
                <w:b/>
                <w:color w:val="212529"/>
                <w:sz w:val="18"/>
              </w:rPr>
              <w:t>race</w:t>
            </w:r>
          </w:p>
        </w:tc>
        <w:tc>
          <w:tcPr>
            <w:tcW w:type="dxa" w:w="1584"/>
            <w:shd w:fill="FFFFFF"/>
            <w:tcMar>
              <w:top w:w="80" w:type="dxa"/>
              <w:bottom w:w="80" w:type="dxa"/>
              <w:left w:w="120" w:type="dxa"/>
              <w:right w:w="120" w:type="dxa"/>
            </w:tcMar>
          </w:tcPr>
          <w:p>
            <w:pPr>
              <w:spacing w:after="0"/>
              <w:jc w:val="left"/>
            </w:pPr>
            <w:r>
              <w:rPr>
                <w:rFonts w:ascii="Calibri" w:hAnsi="Calibri"/>
                <w:b w:val="0"/>
                <w:color w:val="212529"/>
                <w:sz w:val="18"/>
              </w:rPr>
              <w:t>1.31</w:t>
            </w:r>
          </w:p>
        </w:tc>
        <w:tc>
          <w:tcPr>
            <w:tcW w:type="dxa" w:w="1728"/>
            <w:shd w:fill="FFFFFF"/>
            <w:tcMar>
              <w:top w:w="80" w:type="dxa"/>
              <w:bottom w:w="80" w:type="dxa"/>
              <w:left w:w="120" w:type="dxa"/>
              <w:right w:w="120" w:type="dxa"/>
            </w:tcMar>
          </w:tcPr>
          <w:p>
            <w:pPr>
              <w:spacing w:after="0"/>
              <w:jc w:val="left"/>
            </w:pPr>
            <w:r>
              <w:rPr>
                <w:rFonts w:ascii="Calibri" w:hAnsi="Calibri"/>
                <w:b w:val="0"/>
                <w:color w:val="212529"/>
                <w:sz w:val="18"/>
              </w:rPr>
              <w:t>4</w:t>
            </w:r>
          </w:p>
        </w:tc>
        <w:tc>
          <w:tcPr>
            <w:tcW w:type="dxa" w:w="1872"/>
            <w:shd w:fill="FFFFFF"/>
            <w:tcMar>
              <w:top w:w="80" w:type="dxa"/>
              <w:bottom w:w="80" w:type="dxa"/>
              <w:left w:w="120" w:type="dxa"/>
              <w:right w:w="120" w:type="dxa"/>
            </w:tcMar>
          </w:tcPr>
          <w:p>
            <w:pPr>
              <w:spacing w:after="0"/>
              <w:jc w:val="left"/>
            </w:pPr>
            <w:r>
              <w:rPr>
                <w:rFonts w:ascii="Calibri" w:hAnsi="Calibri"/>
                <w:b/>
                <w:color w:val="212529"/>
                <w:sz w:val="18"/>
              </w:rPr>
              <w:t>1.0344</w:t>
            </w:r>
          </w:p>
        </w:tc>
        <w:tc>
          <w:tcPr>
            <w:tcW w:type="dxa" w:w="1584"/>
            <w:shd w:fill="FFFFFF"/>
            <w:tcMar>
              <w:top w:w="80" w:type="dxa"/>
              <w:bottom w:w="80" w:type="dxa"/>
              <w:left w:w="120" w:type="dxa"/>
              <w:right w:w="120" w:type="dxa"/>
            </w:tcMar>
          </w:tcPr>
          <w:p>
            <w:pPr>
              <w:spacing w:after="0"/>
              <w:jc w:val="left"/>
            </w:pPr>
            <w:r>
              <w:rPr>
                <w:rFonts w:ascii="Calibri" w:hAnsi="Calibri"/>
                <w:b w:val="0"/>
                <w:color w:val="212529"/>
                <w:sz w:val="18"/>
              </w:rPr>
              <w:t>Low / Acceptable</w:t>
            </w:r>
          </w:p>
        </w:tc>
      </w:tr>
      <w:tr>
        <w:tc>
          <w:tcPr>
            <w:tcW w:type="dxa" w:w="2592"/>
            <w:shd w:fill="F9FAFB"/>
            <w:tcMar>
              <w:top w:w="80" w:type="dxa"/>
              <w:bottom w:w="80" w:type="dxa"/>
              <w:left w:w="120" w:type="dxa"/>
              <w:right w:w="120" w:type="dxa"/>
            </w:tcMar>
          </w:tcPr>
          <w:p>
            <w:pPr>
              <w:spacing w:after="0"/>
              <w:jc w:val="left"/>
            </w:pPr>
            <w:r>
              <w:rPr>
                <w:rFonts w:ascii="Calibri" w:hAnsi="Calibri"/>
                <w:b/>
                <w:color w:val="212529"/>
                <w:sz w:val="18"/>
              </w:rPr>
              <w:t>sex</w:t>
            </w:r>
          </w:p>
        </w:tc>
        <w:tc>
          <w:tcPr>
            <w:tcW w:type="dxa" w:w="1584"/>
            <w:shd w:fill="F9FAFB"/>
            <w:tcMar>
              <w:top w:w="80" w:type="dxa"/>
              <w:bottom w:w="80" w:type="dxa"/>
              <w:left w:w="120" w:type="dxa"/>
              <w:right w:w="120" w:type="dxa"/>
            </w:tcMar>
          </w:tcPr>
          <w:p>
            <w:pPr>
              <w:spacing w:after="0"/>
              <w:jc w:val="left"/>
            </w:pPr>
            <w:r>
              <w:rPr>
                <w:rFonts w:ascii="Calibri" w:hAnsi="Calibri"/>
                <w:b w:val="0"/>
                <w:color w:val="212529"/>
                <w:sz w:val="18"/>
              </w:rPr>
              <w:t>2.99</w:t>
            </w:r>
          </w:p>
        </w:tc>
        <w:tc>
          <w:tcPr>
            <w:tcW w:type="dxa" w:w="1728"/>
            <w:shd w:fill="F9FAFB"/>
            <w:tcMar>
              <w:top w:w="80" w:type="dxa"/>
              <w:bottom w:w="80" w:type="dxa"/>
              <w:left w:w="120" w:type="dxa"/>
              <w:right w:w="120" w:type="dxa"/>
            </w:tcMar>
          </w:tcPr>
          <w:p>
            <w:pPr>
              <w:spacing w:after="0"/>
              <w:jc w:val="left"/>
            </w:pPr>
            <w:r>
              <w:rPr>
                <w:rFonts w:ascii="Calibri" w:hAnsi="Calibri"/>
                <w:b w:val="0"/>
                <w:color w:val="212529"/>
                <w:sz w:val="18"/>
              </w:rPr>
              <w:t>1</w:t>
            </w:r>
          </w:p>
        </w:tc>
        <w:tc>
          <w:tcPr>
            <w:tcW w:type="dxa" w:w="1872"/>
            <w:shd w:fill="F9FAFB"/>
            <w:tcMar>
              <w:top w:w="80" w:type="dxa"/>
              <w:bottom w:w="80" w:type="dxa"/>
              <w:left w:w="120" w:type="dxa"/>
              <w:right w:w="120" w:type="dxa"/>
            </w:tcMar>
          </w:tcPr>
          <w:p>
            <w:pPr>
              <w:spacing w:after="0"/>
              <w:jc w:val="left"/>
            </w:pPr>
            <w:r>
              <w:rPr>
                <w:rFonts w:ascii="Calibri" w:hAnsi="Calibri"/>
                <w:b/>
                <w:color w:val="212529"/>
                <w:sz w:val="18"/>
              </w:rPr>
              <w:t>1.7278</w:t>
            </w:r>
          </w:p>
        </w:tc>
        <w:tc>
          <w:tcPr>
            <w:tcW w:type="dxa" w:w="1584"/>
            <w:shd w:fill="F9FAFB"/>
            <w:tcMar>
              <w:top w:w="80" w:type="dxa"/>
              <w:bottom w:w="80" w:type="dxa"/>
              <w:left w:w="120" w:type="dxa"/>
              <w:right w:w="120" w:type="dxa"/>
            </w:tcMar>
          </w:tcPr>
          <w:p>
            <w:pPr>
              <w:spacing w:after="0"/>
              <w:jc w:val="left"/>
            </w:pPr>
            <w:r>
              <w:rPr>
                <w:rFonts w:ascii="Calibri" w:hAnsi="Calibri"/>
                <w:b w:val="0"/>
                <w:color w:val="212529"/>
                <w:sz w:val="18"/>
              </w:rPr>
              <w:t>Low / Acceptable</w:t>
            </w:r>
          </w:p>
        </w:tc>
      </w:tr>
      <w:tr>
        <w:tc>
          <w:tcPr>
            <w:tcW w:type="dxa" w:w="2592"/>
            <w:shd w:fill="FFFFFF"/>
            <w:tcMar>
              <w:top w:w="80" w:type="dxa"/>
              <w:bottom w:w="80" w:type="dxa"/>
              <w:left w:w="120" w:type="dxa"/>
              <w:right w:w="120" w:type="dxa"/>
            </w:tcMar>
          </w:tcPr>
          <w:p>
            <w:pPr>
              <w:spacing w:after="0"/>
              <w:jc w:val="left"/>
            </w:pPr>
            <w:r>
              <w:rPr>
                <w:rFonts w:ascii="Calibri" w:hAnsi="Calibri"/>
                <w:b/>
                <w:color w:val="212529"/>
                <w:sz w:val="18"/>
              </w:rPr>
              <w:t>capital_gain</w:t>
            </w:r>
          </w:p>
        </w:tc>
        <w:tc>
          <w:tcPr>
            <w:tcW w:type="dxa" w:w="1584"/>
            <w:shd w:fill="FFFFFF"/>
            <w:tcMar>
              <w:top w:w="80" w:type="dxa"/>
              <w:bottom w:w="80" w:type="dxa"/>
              <w:left w:w="120" w:type="dxa"/>
              <w:right w:w="120" w:type="dxa"/>
            </w:tcMar>
          </w:tcPr>
          <w:p>
            <w:pPr>
              <w:spacing w:after="0"/>
              <w:jc w:val="left"/>
            </w:pPr>
            <w:r>
              <w:rPr>
                <w:rFonts w:ascii="Calibri" w:hAnsi="Calibri"/>
                <w:b w:val="0"/>
                <w:color w:val="212529"/>
                <w:sz w:val="18"/>
              </w:rPr>
              <w:t>1.03</w:t>
            </w:r>
          </w:p>
        </w:tc>
        <w:tc>
          <w:tcPr>
            <w:tcW w:type="dxa" w:w="1728"/>
            <w:shd w:fill="FFFFFF"/>
            <w:tcMar>
              <w:top w:w="80" w:type="dxa"/>
              <w:bottom w:w="80" w:type="dxa"/>
              <w:left w:w="120" w:type="dxa"/>
              <w:right w:w="120" w:type="dxa"/>
            </w:tcMar>
          </w:tcPr>
          <w:p>
            <w:pPr>
              <w:spacing w:after="0"/>
              <w:jc w:val="left"/>
            </w:pPr>
            <w:r>
              <w:rPr>
                <w:rFonts w:ascii="Calibri" w:hAnsi="Calibri"/>
                <w:b w:val="0"/>
                <w:color w:val="212529"/>
                <w:sz w:val="18"/>
              </w:rPr>
              <w:t>1</w:t>
            </w:r>
          </w:p>
        </w:tc>
        <w:tc>
          <w:tcPr>
            <w:tcW w:type="dxa" w:w="1872"/>
            <w:shd w:fill="FFFFFF"/>
            <w:tcMar>
              <w:top w:w="80" w:type="dxa"/>
              <w:bottom w:w="80" w:type="dxa"/>
              <w:left w:w="120" w:type="dxa"/>
              <w:right w:w="120" w:type="dxa"/>
            </w:tcMar>
          </w:tcPr>
          <w:p>
            <w:pPr>
              <w:spacing w:after="0"/>
              <w:jc w:val="left"/>
            </w:pPr>
            <w:r>
              <w:rPr>
                <w:rFonts w:ascii="Calibri" w:hAnsi="Calibri"/>
                <w:b/>
                <w:color w:val="212529"/>
                <w:sz w:val="18"/>
              </w:rPr>
              <w:t>1.0150</w:t>
            </w:r>
          </w:p>
        </w:tc>
        <w:tc>
          <w:tcPr>
            <w:tcW w:type="dxa" w:w="1584"/>
            <w:shd w:fill="FFFFFF"/>
            <w:tcMar>
              <w:top w:w="80" w:type="dxa"/>
              <w:bottom w:w="80" w:type="dxa"/>
              <w:left w:w="120" w:type="dxa"/>
              <w:right w:w="120" w:type="dxa"/>
            </w:tcMar>
          </w:tcPr>
          <w:p>
            <w:pPr>
              <w:spacing w:after="0"/>
              <w:jc w:val="left"/>
            </w:pPr>
            <w:r>
              <w:rPr>
                <w:rFonts w:ascii="Calibri" w:hAnsi="Calibri"/>
                <w:b w:val="0"/>
                <w:color w:val="212529"/>
                <w:sz w:val="18"/>
              </w:rPr>
              <w:t>Low / Acceptable</w:t>
            </w:r>
          </w:p>
        </w:tc>
      </w:tr>
      <w:tr>
        <w:tc>
          <w:tcPr>
            <w:tcW w:type="dxa" w:w="2592"/>
            <w:shd w:fill="F9FAFB"/>
            <w:tcMar>
              <w:top w:w="80" w:type="dxa"/>
              <w:bottom w:w="80" w:type="dxa"/>
              <w:left w:w="120" w:type="dxa"/>
              <w:right w:w="120" w:type="dxa"/>
            </w:tcMar>
          </w:tcPr>
          <w:p>
            <w:pPr>
              <w:spacing w:after="0"/>
              <w:jc w:val="left"/>
            </w:pPr>
            <w:r>
              <w:rPr>
                <w:rFonts w:ascii="Calibri" w:hAnsi="Calibri"/>
                <w:b/>
                <w:color w:val="212529"/>
                <w:sz w:val="18"/>
              </w:rPr>
              <w:t>capital_loss</w:t>
            </w:r>
          </w:p>
        </w:tc>
        <w:tc>
          <w:tcPr>
            <w:tcW w:type="dxa" w:w="1584"/>
            <w:shd w:fill="F9FAFB"/>
            <w:tcMar>
              <w:top w:w="80" w:type="dxa"/>
              <w:bottom w:w="80" w:type="dxa"/>
              <w:left w:w="120" w:type="dxa"/>
              <w:right w:w="120" w:type="dxa"/>
            </w:tcMar>
          </w:tcPr>
          <w:p>
            <w:pPr>
              <w:spacing w:after="0"/>
              <w:jc w:val="left"/>
            </w:pPr>
            <w:r>
              <w:rPr>
                <w:rFonts w:ascii="Calibri" w:hAnsi="Calibri"/>
                <w:b w:val="0"/>
                <w:color w:val="212529"/>
                <w:sz w:val="18"/>
              </w:rPr>
              <w:t>1.01</w:t>
            </w:r>
          </w:p>
        </w:tc>
        <w:tc>
          <w:tcPr>
            <w:tcW w:type="dxa" w:w="1728"/>
            <w:shd w:fill="F9FAFB"/>
            <w:tcMar>
              <w:top w:w="80" w:type="dxa"/>
              <w:bottom w:w="80" w:type="dxa"/>
              <w:left w:w="120" w:type="dxa"/>
              <w:right w:w="120" w:type="dxa"/>
            </w:tcMar>
          </w:tcPr>
          <w:p>
            <w:pPr>
              <w:spacing w:after="0"/>
              <w:jc w:val="left"/>
            </w:pPr>
            <w:r>
              <w:rPr>
                <w:rFonts w:ascii="Calibri" w:hAnsi="Calibri"/>
                <w:b w:val="0"/>
                <w:color w:val="212529"/>
                <w:sz w:val="18"/>
              </w:rPr>
              <w:t>1</w:t>
            </w:r>
          </w:p>
        </w:tc>
        <w:tc>
          <w:tcPr>
            <w:tcW w:type="dxa" w:w="1872"/>
            <w:shd w:fill="F9FAFB"/>
            <w:tcMar>
              <w:top w:w="80" w:type="dxa"/>
              <w:bottom w:w="80" w:type="dxa"/>
              <w:left w:w="120" w:type="dxa"/>
              <w:right w:w="120" w:type="dxa"/>
            </w:tcMar>
          </w:tcPr>
          <w:p>
            <w:pPr>
              <w:spacing w:after="0"/>
              <w:jc w:val="left"/>
            </w:pPr>
            <w:r>
              <w:rPr>
                <w:rFonts w:ascii="Calibri" w:hAnsi="Calibri"/>
                <w:b/>
                <w:color w:val="212529"/>
                <w:sz w:val="18"/>
              </w:rPr>
              <w:t>1.0052</w:t>
            </w:r>
          </w:p>
        </w:tc>
        <w:tc>
          <w:tcPr>
            <w:tcW w:type="dxa" w:w="1584"/>
            <w:shd w:fill="F9FAFB"/>
            <w:tcMar>
              <w:top w:w="80" w:type="dxa"/>
              <w:bottom w:w="80" w:type="dxa"/>
              <w:left w:w="120" w:type="dxa"/>
              <w:right w:w="120" w:type="dxa"/>
            </w:tcMar>
          </w:tcPr>
          <w:p>
            <w:pPr>
              <w:spacing w:after="0"/>
              <w:jc w:val="left"/>
            </w:pPr>
            <w:r>
              <w:rPr>
                <w:rFonts w:ascii="Calibri" w:hAnsi="Calibri"/>
                <w:b w:val="0"/>
                <w:color w:val="212529"/>
                <w:sz w:val="18"/>
              </w:rPr>
              <w:t>Low / Acceptable</w:t>
            </w:r>
          </w:p>
        </w:tc>
      </w:tr>
      <w:tr>
        <w:tc>
          <w:tcPr>
            <w:tcW w:type="dxa" w:w="2592"/>
            <w:shd w:fill="FFFFFF"/>
            <w:tcMar>
              <w:top w:w="80" w:type="dxa"/>
              <w:bottom w:w="80" w:type="dxa"/>
              <w:left w:w="120" w:type="dxa"/>
              <w:right w:w="120" w:type="dxa"/>
            </w:tcMar>
          </w:tcPr>
          <w:p>
            <w:pPr>
              <w:spacing w:after="0"/>
              <w:jc w:val="left"/>
            </w:pPr>
            <w:r>
              <w:rPr>
                <w:rFonts w:ascii="Calibri" w:hAnsi="Calibri"/>
                <w:b/>
                <w:color w:val="212529"/>
                <w:sz w:val="18"/>
              </w:rPr>
              <w:t>hours_per_week</w:t>
            </w:r>
          </w:p>
        </w:tc>
        <w:tc>
          <w:tcPr>
            <w:tcW w:type="dxa" w:w="1584"/>
            <w:shd w:fill="FFFFFF"/>
            <w:tcMar>
              <w:top w:w="80" w:type="dxa"/>
              <w:bottom w:w="80" w:type="dxa"/>
              <w:left w:w="120" w:type="dxa"/>
              <w:right w:w="120" w:type="dxa"/>
            </w:tcMar>
          </w:tcPr>
          <w:p>
            <w:pPr>
              <w:spacing w:after="0"/>
              <w:jc w:val="left"/>
            </w:pPr>
            <w:r>
              <w:rPr>
                <w:rFonts w:ascii="Calibri" w:hAnsi="Calibri"/>
                <w:b w:val="0"/>
                <w:color w:val="212529"/>
                <w:sz w:val="18"/>
              </w:rPr>
              <w:t>1.14</w:t>
            </w:r>
          </w:p>
        </w:tc>
        <w:tc>
          <w:tcPr>
            <w:tcW w:type="dxa" w:w="1728"/>
            <w:shd w:fill="FFFFFF"/>
            <w:tcMar>
              <w:top w:w="80" w:type="dxa"/>
              <w:bottom w:w="80" w:type="dxa"/>
              <w:left w:w="120" w:type="dxa"/>
              <w:right w:w="120" w:type="dxa"/>
            </w:tcMar>
          </w:tcPr>
          <w:p>
            <w:pPr>
              <w:spacing w:after="0"/>
              <w:jc w:val="left"/>
            </w:pPr>
            <w:r>
              <w:rPr>
                <w:rFonts w:ascii="Calibri" w:hAnsi="Calibri"/>
                <w:b w:val="0"/>
                <w:color w:val="212529"/>
                <w:sz w:val="18"/>
              </w:rPr>
              <w:t>1</w:t>
            </w:r>
          </w:p>
        </w:tc>
        <w:tc>
          <w:tcPr>
            <w:tcW w:type="dxa" w:w="1872"/>
            <w:shd w:fill="FFFFFF"/>
            <w:tcMar>
              <w:top w:w="80" w:type="dxa"/>
              <w:bottom w:w="80" w:type="dxa"/>
              <w:left w:w="120" w:type="dxa"/>
              <w:right w:w="120" w:type="dxa"/>
            </w:tcMar>
          </w:tcPr>
          <w:p>
            <w:pPr>
              <w:spacing w:after="0"/>
              <w:jc w:val="left"/>
            </w:pPr>
            <w:r>
              <w:rPr>
                <w:rFonts w:ascii="Calibri" w:hAnsi="Calibri"/>
                <w:b/>
                <w:color w:val="212529"/>
                <w:sz w:val="18"/>
              </w:rPr>
              <w:t>1.0692</w:t>
            </w:r>
          </w:p>
        </w:tc>
        <w:tc>
          <w:tcPr>
            <w:tcW w:type="dxa" w:w="1584"/>
            <w:shd w:fill="FFFFFF"/>
            <w:tcMar>
              <w:top w:w="80" w:type="dxa"/>
              <w:bottom w:w="80" w:type="dxa"/>
              <w:left w:w="120" w:type="dxa"/>
              <w:right w:w="120" w:type="dxa"/>
            </w:tcMar>
          </w:tcPr>
          <w:p>
            <w:pPr>
              <w:spacing w:after="0"/>
              <w:jc w:val="left"/>
            </w:pPr>
            <w:r>
              <w:rPr>
                <w:rFonts w:ascii="Calibri" w:hAnsi="Calibri"/>
                <w:b w:val="0"/>
                <w:color w:val="212529"/>
                <w:sz w:val="18"/>
              </w:rPr>
              <w:t>Low / Acceptable</w:t>
            </w:r>
          </w:p>
        </w:tc>
      </w:tr>
      <w:tr>
        <w:tc>
          <w:tcPr>
            <w:tcW w:type="dxa" w:w="2592"/>
            <w:shd w:fill="F9FAFB"/>
            <w:tcMar>
              <w:top w:w="80" w:type="dxa"/>
              <w:bottom w:w="80" w:type="dxa"/>
              <w:left w:w="120" w:type="dxa"/>
              <w:right w:w="120" w:type="dxa"/>
            </w:tcMar>
          </w:tcPr>
          <w:p>
            <w:pPr>
              <w:spacing w:after="0"/>
              <w:jc w:val="left"/>
            </w:pPr>
            <w:r>
              <w:rPr>
                <w:rFonts w:ascii="Calibri" w:hAnsi="Calibri"/>
                <w:b/>
                <w:color w:val="212529"/>
                <w:sz w:val="18"/>
              </w:rPr>
              <w:t>native_region</w:t>
            </w:r>
          </w:p>
        </w:tc>
        <w:tc>
          <w:tcPr>
            <w:tcW w:type="dxa" w:w="1584"/>
            <w:shd w:fill="F9FAFB"/>
            <w:tcMar>
              <w:top w:w="80" w:type="dxa"/>
              <w:bottom w:w="80" w:type="dxa"/>
              <w:left w:w="120" w:type="dxa"/>
              <w:right w:w="120" w:type="dxa"/>
            </w:tcMar>
          </w:tcPr>
          <w:p>
            <w:pPr>
              <w:spacing w:after="0"/>
              <w:jc w:val="left"/>
            </w:pPr>
            <w:r>
              <w:rPr>
                <w:rFonts w:ascii="Calibri" w:hAnsi="Calibri"/>
                <w:b w:val="0"/>
                <w:color w:val="212529"/>
                <w:sz w:val="18"/>
              </w:rPr>
              <w:t>1.25</w:t>
            </w:r>
          </w:p>
        </w:tc>
        <w:tc>
          <w:tcPr>
            <w:tcW w:type="dxa" w:w="1728"/>
            <w:shd w:fill="F9FAFB"/>
            <w:tcMar>
              <w:top w:w="80" w:type="dxa"/>
              <w:bottom w:w="80" w:type="dxa"/>
              <w:left w:w="120" w:type="dxa"/>
              <w:right w:w="120" w:type="dxa"/>
            </w:tcMar>
          </w:tcPr>
          <w:p>
            <w:pPr>
              <w:spacing w:after="0"/>
              <w:jc w:val="left"/>
            </w:pPr>
            <w:r>
              <w:rPr>
                <w:rFonts w:ascii="Calibri" w:hAnsi="Calibri"/>
                <w:b w:val="0"/>
                <w:color w:val="212529"/>
                <w:sz w:val="18"/>
              </w:rPr>
              <w:t>1</w:t>
            </w:r>
          </w:p>
        </w:tc>
        <w:tc>
          <w:tcPr>
            <w:tcW w:type="dxa" w:w="1872"/>
            <w:shd w:fill="F9FAFB"/>
            <w:tcMar>
              <w:top w:w="80" w:type="dxa"/>
              <w:bottom w:w="80" w:type="dxa"/>
              <w:left w:w="120" w:type="dxa"/>
              <w:right w:w="120" w:type="dxa"/>
            </w:tcMar>
          </w:tcPr>
          <w:p>
            <w:pPr>
              <w:spacing w:after="0"/>
              <w:jc w:val="left"/>
            </w:pPr>
            <w:r>
              <w:rPr>
                <w:rFonts w:ascii="Calibri" w:hAnsi="Calibri"/>
                <w:b/>
                <w:color w:val="212529"/>
                <w:sz w:val="18"/>
              </w:rPr>
              <w:t>1.1180</w:t>
            </w:r>
          </w:p>
        </w:tc>
        <w:tc>
          <w:tcPr>
            <w:tcW w:type="dxa" w:w="1584"/>
            <w:shd w:fill="F9FAFB"/>
            <w:tcMar>
              <w:top w:w="80" w:type="dxa"/>
              <w:bottom w:w="80" w:type="dxa"/>
              <w:left w:w="120" w:type="dxa"/>
              <w:right w:w="120" w:type="dxa"/>
            </w:tcMar>
          </w:tcPr>
          <w:p>
            <w:pPr>
              <w:spacing w:after="0"/>
              <w:jc w:val="left"/>
            </w:pPr>
            <w:r>
              <w:rPr>
                <w:rFonts w:ascii="Calibri" w:hAnsi="Calibri"/>
                <w:b w:val="0"/>
                <w:color w:val="212529"/>
                <w:sz w:val="18"/>
              </w:rPr>
              <w:t>Low / Acceptable</w:t>
            </w:r>
          </w:p>
        </w:tc>
      </w:tr>
    </w:tbl>
    <w:p>
      <w:pPr>
        <w:spacing w:after="160"/>
      </w:pPr>
      <w:r>
        <w:rPr>
          <w:i/>
          <w:color w:val="6C757D"/>
          <w:sz w:val="17"/>
        </w:rPr>
        <w:t>Table 3 Note: Multicollinearity diagnostic for multivariable logistic regression. Standardized threshold of concern is GVIF^(1/(2*Df)) &gt; 2.0 (equivalent to conventional VIF &gt; 4.0).</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bottom w:val="none"/>
              <w:right w:val="none"/>
              <w:left w:val="single" w:sz="36" w:space="0" w:color="1B365D"/>
            </w:tcBorders>
          </w:tcPr>
          <w:p>
            <w:pPr>
              <w:spacing w:after="60"/>
            </w:pPr>
            <w:r>
              <w:rPr>
                <w:rFonts w:ascii="Calibri" w:hAnsi="Calibri"/>
                <w:b/>
                <w:color w:val="1B365D"/>
                <w:sz w:val="20"/>
              </w:rPr>
              <w:t xml:space="preserve">[MULTICOLLINEARITY AUDIT VERDICT] </w:t>
            </w:r>
            <w:r>
              <w:rPr>
                <w:rFonts w:ascii="Calibri" w:hAnsi="Calibri"/>
                <w:color w:val="212529"/>
                <w:sz w:val="20"/>
              </w:rPr>
              <w:t>Every single predictor exhibits a standardized GVIF below 1.73 (maximum observed is sex at 1.728 and relationship at 1.624). Because all standardized values remain well beneath the standard threshold of 2.0, empirical multicollinearity is conclusively ruled out. Coefficient estimates and standard errors are numerically stable.</w:t>
            </w:r>
          </w:p>
        </w:tc>
      </w:tr>
    </w:tbl>
    <w:p>
      <w:pPr>
        <w:spacing w:before="0" w:after="120"/>
      </w:pPr>
    </w:p>
    <w:p>
      <w:pPr>
        <w:pStyle w:val="Heading1"/>
        <w:keepNext/>
        <w:spacing w:before="360" w:after="120"/>
      </w:pPr>
      <w:r>
        <w:rPr>
          <w:rFonts w:ascii="Calibri" w:hAnsi="Calibri"/>
          <w:b/>
          <w:color w:val="1B365D"/>
          <w:sz w:val="34"/>
        </w:rPr>
        <w:t>Section 5: Formal Statistical Hypothesis Testing Framework &amp; Results</w:t>
      </w:r>
    </w:p>
    <w:p>
      <w:pPr>
        <w:spacing w:after="120" w:line="276" w:lineRule="auto"/>
      </w:pPr>
      <w:r>
        <w:rPr>
          <w:rFonts w:ascii="Calibri" w:hAnsi="Calibri"/>
          <w:color w:val="212529"/>
          <w:sz w:val="22"/>
        </w:rPr>
        <w:t>To evaluate structural disparities across income groups, five primary research questions were translated into explicit null (H0) and alternative (H1) hypotheses. Both parametric tests (Welch two-sample t-tests, Pearson chi-square tests) and non-parametric tests (Wilcoxon rank-sum tests) were conducted. Multiple hypothesis testing penalties were applied using both family-wise error rate control (Bonferroni) and False Discovery Rate control (Benjamini-Hochberg).</w:t>
      </w:r>
    </w:p>
    <w:p>
      <w:pPr>
        <w:spacing w:after="120" w:line="276" w:lineRule="auto"/>
      </w:pPr>
      <w:r>
        <w:rPr>
          <w:rFonts w:ascii="Calibri" w:hAnsi="Calibri"/>
          <w:color w:val="212529"/>
          <w:sz w:val="22"/>
        </w:rPr>
        <w:t>Table 4 summarizes the complete statistical test battery, including exact test statistics, degrees of freedom, p-values, and effect sizes:</w:t>
      </w:r>
    </w:p>
    <w:tbl>
      <w:tblPr>
        <w:tblW w:type="auto" w:w="0"/>
        <w:jc w:val="center"/>
        <w:tblLook w:firstColumn="1" w:firstRow="1" w:lastColumn="0" w:lastRow="0" w:noHBand="0" w:noVBand="1" w:val="04A0"/>
        <w:tblBorders>
          <w:top w:val="single" w:sz="6" w:space="0" w:color="D0D7DE"/>
          <w:bottom w:val="single" w:sz="8" w:space="0" w:color="D0D7DE"/>
          <w:insideH w:val="single" w:sz="4" w:space="0" w:color="D0D7DE"/>
          <w:insideV w:val="none"/>
          <w:left w:val="none"/>
          <w:right w:val="none"/>
        </w:tblBorders>
      </w:tblPr>
      <w:tblGrid>
        <w:gridCol w:w="1337"/>
        <w:gridCol w:w="1337"/>
        <w:gridCol w:w="1337"/>
        <w:gridCol w:w="1337"/>
        <w:gridCol w:w="1337"/>
        <w:gridCol w:w="1337"/>
        <w:gridCol w:w="1337"/>
      </w:tblGrid>
      <w:tr>
        <w:tc>
          <w:tcPr>
            <w:tcW w:type="dxa" w:w="1008"/>
            <w:shd w:fill="1B365D"/>
            <w:tcMar>
              <w:top w:w="120" w:type="dxa"/>
              <w:bottom w:w="120" w:type="dxa"/>
              <w:left w:w="120" w:type="dxa"/>
              <w:right w:w="120" w:type="dxa"/>
            </w:tcMar>
          </w:tcPr>
          <w:p>
            <w:pPr>
              <w:spacing w:after="0"/>
              <w:jc w:val="left"/>
            </w:pPr>
            <w:r>
              <w:rPr>
                <w:rFonts w:ascii="Calibri" w:hAnsi="Calibri"/>
                <w:b/>
                <w:color w:val="FFFFFF"/>
                <w:sz w:val="19"/>
              </w:rPr>
              <w:t>Test ID</w:t>
            </w:r>
          </w:p>
        </w:tc>
        <w:tc>
          <w:tcPr>
            <w:tcW w:type="dxa" w:w="2304"/>
            <w:shd w:fill="1B365D"/>
            <w:tcMar>
              <w:top w:w="120" w:type="dxa"/>
              <w:bottom w:w="120" w:type="dxa"/>
              <w:left w:w="120" w:type="dxa"/>
              <w:right w:w="120" w:type="dxa"/>
            </w:tcMar>
          </w:tcPr>
          <w:p>
            <w:pPr>
              <w:spacing w:after="0"/>
              <w:jc w:val="left"/>
            </w:pPr>
            <w:r>
              <w:rPr>
                <w:rFonts w:ascii="Calibri" w:hAnsi="Calibri"/>
                <w:b/>
                <w:color w:val="FFFFFF"/>
                <w:sz w:val="19"/>
              </w:rPr>
              <w:t>Research Focus</w:t>
            </w:r>
          </w:p>
        </w:tc>
        <w:tc>
          <w:tcPr>
            <w:tcW w:type="dxa" w:w="2160"/>
            <w:shd w:fill="1B365D"/>
            <w:tcMar>
              <w:top w:w="120" w:type="dxa"/>
              <w:bottom w:w="120" w:type="dxa"/>
              <w:left w:w="120" w:type="dxa"/>
              <w:right w:w="120" w:type="dxa"/>
            </w:tcMar>
          </w:tcPr>
          <w:p>
            <w:pPr>
              <w:spacing w:after="0"/>
              <w:jc w:val="left"/>
            </w:pPr>
            <w:r>
              <w:rPr>
                <w:rFonts w:ascii="Calibri" w:hAnsi="Calibri"/>
                <w:b/>
                <w:color w:val="FFFFFF"/>
                <w:sz w:val="19"/>
              </w:rPr>
              <w:t>Statistical Method</w:t>
            </w:r>
          </w:p>
        </w:tc>
        <w:tc>
          <w:tcPr>
            <w:tcW w:type="dxa" w:w="1584"/>
            <w:shd w:fill="1B365D"/>
            <w:tcMar>
              <w:top w:w="120" w:type="dxa"/>
              <w:bottom w:w="120" w:type="dxa"/>
              <w:left w:w="120" w:type="dxa"/>
              <w:right w:w="120" w:type="dxa"/>
            </w:tcMar>
          </w:tcPr>
          <w:p>
            <w:pPr>
              <w:spacing w:after="0"/>
              <w:jc w:val="left"/>
            </w:pPr>
            <w:r>
              <w:rPr>
                <w:rFonts w:ascii="Calibri" w:hAnsi="Calibri"/>
                <w:b/>
                <w:color w:val="FFFFFF"/>
                <w:sz w:val="19"/>
              </w:rPr>
              <w:t>Test Statistic</w:t>
            </w:r>
          </w:p>
        </w:tc>
        <w:tc>
          <w:tcPr>
            <w:tcW w:type="dxa" w:w="1152"/>
            <w:shd w:fill="1B365D"/>
            <w:tcMar>
              <w:top w:w="120" w:type="dxa"/>
              <w:bottom w:w="120" w:type="dxa"/>
              <w:left w:w="120" w:type="dxa"/>
              <w:right w:w="120" w:type="dxa"/>
            </w:tcMar>
          </w:tcPr>
          <w:p>
            <w:pPr>
              <w:spacing w:after="0"/>
              <w:jc w:val="left"/>
            </w:pPr>
            <w:r>
              <w:rPr>
                <w:rFonts w:ascii="Calibri" w:hAnsi="Calibri"/>
                <w:b/>
                <w:color w:val="FFFFFF"/>
                <w:sz w:val="19"/>
              </w:rPr>
              <w:t>p-value (Raw / Bonf)</w:t>
            </w:r>
          </w:p>
        </w:tc>
        <w:tc>
          <w:tcPr>
            <w:tcW w:type="dxa" w:w="1152"/>
            <w:shd w:fill="1B365D"/>
            <w:tcMar>
              <w:top w:w="120" w:type="dxa"/>
              <w:bottom w:w="120" w:type="dxa"/>
              <w:left w:w="120" w:type="dxa"/>
              <w:right w:w="120" w:type="dxa"/>
            </w:tcMar>
          </w:tcPr>
          <w:p>
            <w:pPr>
              <w:spacing w:after="0"/>
              <w:jc w:val="left"/>
            </w:pPr>
            <w:r>
              <w:rPr>
                <w:rFonts w:ascii="Calibri" w:hAnsi="Calibri"/>
                <w:b/>
                <w:color w:val="FFFFFF"/>
                <w:sz w:val="19"/>
              </w:rPr>
              <w:t>Effect Size</w:t>
            </w:r>
          </w:p>
        </w:tc>
        <w:tc>
          <w:tcPr>
            <w:tcW w:type="dxa" w:w="1152"/>
            <w:shd w:fill="1B365D"/>
            <w:tcMar>
              <w:top w:w="120" w:type="dxa"/>
              <w:bottom w:w="120" w:type="dxa"/>
              <w:left w:w="120" w:type="dxa"/>
              <w:right w:w="120" w:type="dxa"/>
            </w:tcMar>
          </w:tcPr>
          <w:p>
            <w:pPr>
              <w:spacing w:after="0"/>
              <w:jc w:val="left"/>
            </w:pPr>
            <w:r>
              <w:rPr>
                <w:rFonts w:ascii="Calibri" w:hAnsi="Calibri"/>
                <w:b/>
                <w:color w:val="FFFFFF"/>
                <w:sz w:val="19"/>
              </w:rPr>
              <w:t>Decision</w:t>
            </w:r>
          </w:p>
        </w:tc>
      </w:tr>
      <w:tr>
        <w:tc>
          <w:tcPr>
            <w:tcW w:type="dxa" w:w="1008"/>
            <w:shd w:fill="FFFFFF"/>
            <w:tcMar>
              <w:top w:w="80" w:type="dxa"/>
              <w:bottom w:w="80" w:type="dxa"/>
              <w:left w:w="120" w:type="dxa"/>
              <w:right w:w="120" w:type="dxa"/>
            </w:tcMar>
          </w:tcPr>
          <w:p>
            <w:pPr>
              <w:spacing w:after="0"/>
              <w:jc w:val="left"/>
            </w:pPr>
            <w:r>
              <w:rPr>
                <w:rFonts w:ascii="Calibri" w:hAnsi="Calibri"/>
                <w:b/>
                <w:color w:val="212529"/>
                <w:sz w:val="18"/>
              </w:rPr>
              <w:t>RQ1</w:t>
            </w:r>
          </w:p>
        </w:tc>
        <w:tc>
          <w:tcPr>
            <w:tcW w:type="dxa" w:w="2304"/>
            <w:shd w:fill="FFFFFF"/>
            <w:tcMar>
              <w:top w:w="80" w:type="dxa"/>
              <w:bottom w:w="80" w:type="dxa"/>
              <w:left w:w="120" w:type="dxa"/>
              <w:right w:w="120" w:type="dxa"/>
            </w:tcMar>
          </w:tcPr>
          <w:p>
            <w:pPr>
              <w:spacing w:after="0"/>
              <w:jc w:val="left"/>
            </w:pPr>
            <w:r>
              <w:rPr>
                <w:rFonts w:ascii="Calibri" w:hAnsi="Calibri"/>
                <w:b w:val="0"/>
                <w:color w:val="212529"/>
                <w:sz w:val="18"/>
              </w:rPr>
              <w:t>Is educational attainment associated with ...</w:t>
            </w:r>
          </w:p>
        </w:tc>
        <w:tc>
          <w:tcPr>
            <w:tcW w:type="dxa" w:w="2160"/>
            <w:shd w:fill="FFFFFF"/>
            <w:tcMar>
              <w:top w:w="80" w:type="dxa"/>
              <w:bottom w:w="80" w:type="dxa"/>
              <w:left w:w="120" w:type="dxa"/>
              <w:right w:w="120" w:type="dxa"/>
            </w:tcMar>
          </w:tcPr>
          <w:p>
            <w:pPr>
              <w:spacing w:after="0"/>
              <w:jc w:val="left"/>
            </w:pPr>
            <w:r>
              <w:rPr>
                <w:rFonts w:ascii="Calibri" w:hAnsi="Calibri"/>
                <w:b w:val="0"/>
                <w:color w:val="212529"/>
                <w:sz w:val="18"/>
              </w:rPr>
              <w:t>Pearson's Chi-Square Test of Independence</w:t>
            </w:r>
          </w:p>
        </w:tc>
        <w:tc>
          <w:tcPr>
            <w:tcW w:type="dxa" w:w="1584"/>
            <w:shd w:fill="FFFFFF"/>
            <w:tcMar>
              <w:top w:w="80" w:type="dxa"/>
              <w:bottom w:w="80" w:type="dxa"/>
              <w:left w:w="120" w:type="dxa"/>
              <w:right w:w="120" w:type="dxa"/>
            </w:tcMar>
          </w:tcPr>
          <w:p>
            <w:pPr>
              <w:spacing w:after="0"/>
              <w:jc w:val="left"/>
            </w:pPr>
            <w:r>
              <w:rPr>
                <w:rFonts w:ascii="Calibri" w:hAnsi="Calibri"/>
                <w:b w:val="0"/>
                <w:color w:val="212529"/>
                <w:sz w:val="18"/>
              </w:rPr>
              <w:t>Chi-Square=4428.4 (df=15)</w:t>
            </w:r>
          </w:p>
        </w:tc>
        <w:tc>
          <w:tcPr>
            <w:tcW w:type="dxa" w:w="1152"/>
            <w:shd w:fill="FFFFFF"/>
            <w:tcMar>
              <w:top w:w="80" w:type="dxa"/>
              <w:bottom w:w="80" w:type="dxa"/>
              <w:left w:w="120" w:type="dxa"/>
              <w:right w:w="120" w:type="dxa"/>
            </w:tcMar>
          </w:tcPr>
          <w:p>
            <w:pPr>
              <w:spacing w:after="0"/>
              <w:jc w:val="left"/>
            </w:pPr>
            <w:r>
              <w:rPr>
                <w:rFonts w:ascii="Calibri" w:hAnsi="Calibri"/>
                <w:b/>
                <w:color w:val="212529"/>
                <w:sz w:val="18"/>
              </w:rPr>
              <w:t>&lt; 0.0001</w:t>
            </w:r>
          </w:p>
        </w:tc>
        <w:tc>
          <w:tcPr>
            <w:tcW w:type="dxa" w:w="1152"/>
            <w:shd w:fill="FFFFFF"/>
            <w:tcMar>
              <w:top w:w="80" w:type="dxa"/>
              <w:bottom w:w="80" w:type="dxa"/>
              <w:left w:w="120" w:type="dxa"/>
              <w:right w:w="120" w:type="dxa"/>
            </w:tcMar>
          </w:tcPr>
          <w:p>
            <w:pPr>
              <w:spacing w:after="0"/>
              <w:jc w:val="left"/>
            </w:pPr>
            <w:r>
              <w:rPr>
                <w:rFonts w:ascii="Calibri" w:hAnsi="Calibri"/>
                <w:b/>
                <w:color w:val="212529"/>
                <w:sz w:val="18"/>
              </w:rPr>
              <w:t>Cramer's V=0.369</w:t>
            </w:r>
          </w:p>
        </w:tc>
        <w:tc>
          <w:tcPr>
            <w:tcW w:type="dxa" w:w="1152"/>
            <w:shd w:fill="FFFFFF"/>
            <w:tcMar>
              <w:top w:w="80" w:type="dxa"/>
              <w:bottom w:w="80" w:type="dxa"/>
              <w:left w:w="120" w:type="dxa"/>
              <w:right w:w="120" w:type="dxa"/>
            </w:tcMar>
          </w:tcPr>
          <w:p>
            <w:pPr>
              <w:spacing w:after="0"/>
              <w:jc w:val="left"/>
            </w:pPr>
            <w:r>
              <w:rPr>
                <w:rFonts w:ascii="Calibri" w:hAnsi="Calibri"/>
                <w:b/>
                <w:color w:val="1B365D"/>
                <w:sz w:val="18"/>
              </w:rPr>
              <w:t>Reject H0</w:t>
            </w:r>
          </w:p>
        </w:tc>
      </w:tr>
      <w:tr>
        <w:tc>
          <w:tcPr>
            <w:tcW w:type="dxa" w:w="1008"/>
            <w:shd w:fill="F9FAFB"/>
            <w:tcMar>
              <w:top w:w="80" w:type="dxa"/>
              <w:bottom w:w="80" w:type="dxa"/>
              <w:left w:w="120" w:type="dxa"/>
              <w:right w:w="120" w:type="dxa"/>
            </w:tcMar>
          </w:tcPr>
          <w:p>
            <w:pPr>
              <w:spacing w:after="0"/>
              <w:jc w:val="left"/>
            </w:pPr>
            <w:r>
              <w:rPr>
                <w:rFonts w:ascii="Calibri" w:hAnsi="Calibri"/>
                <w:b/>
                <w:color w:val="212529"/>
                <w:sz w:val="18"/>
              </w:rPr>
              <w:t>RQ2a</w:t>
            </w:r>
          </w:p>
        </w:tc>
        <w:tc>
          <w:tcPr>
            <w:tcW w:type="dxa" w:w="2304"/>
            <w:shd w:fill="F9FAFB"/>
            <w:tcMar>
              <w:top w:w="80" w:type="dxa"/>
              <w:bottom w:w="80" w:type="dxa"/>
              <w:left w:w="120" w:type="dxa"/>
              <w:right w:w="120" w:type="dxa"/>
            </w:tcMar>
          </w:tcPr>
          <w:p>
            <w:pPr>
              <w:spacing w:after="0"/>
              <w:jc w:val="left"/>
            </w:pPr>
            <w:r>
              <w:rPr>
                <w:rFonts w:ascii="Calibri" w:hAnsi="Calibri"/>
                <w:b w:val="0"/>
                <w:color w:val="212529"/>
                <w:sz w:val="18"/>
              </w:rPr>
              <w:t>Is average age significantly different bet...</w:t>
            </w:r>
          </w:p>
        </w:tc>
        <w:tc>
          <w:tcPr>
            <w:tcW w:type="dxa" w:w="2160"/>
            <w:shd w:fill="F9FAFB"/>
            <w:tcMar>
              <w:top w:w="80" w:type="dxa"/>
              <w:bottom w:w="80" w:type="dxa"/>
              <w:left w:w="120" w:type="dxa"/>
              <w:right w:w="120" w:type="dxa"/>
            </w:tcMar>
          </w:tcPr>
          <w:p>
            <w:pPr>
              <w:spacing w:after="0"/>
              <w:jc w:val="left"/>
            </w:pPr>
            <w:r>
              <w:rPr>
                <w:rFonts w:ascii="Calibri" w:hAnsi="Calibri"/>
                <w:b w:val="0"/>
                <w:color w:val="212529"/>
                <w:sz w:val="18"/>
              </w:rPr>
              <w:t>Welch Two-Sample t-test (unequal variances)</w:t>
            </w:r>
          </w:p>
        </w:tc>
        <w:tc>
          <w:tcPr>
            <w:tcW w:type="dxa" w:w="1584"/>
            <w:shd w:fill="F9FAFB"/>
            <w:tcMar>
              <w:top w:w="80" w:type="dxa"/>
              <w:bottom w:w="80" w:type="dxa"/>
              <w:left w:w="120" w:type="dxa"/>
              <w:right w:w="120" w:type="dxa"/>
            </w:tcMar>
          </w:tcPr>
          <w:p>
            <w:pPr>
              <w:spacing w:after="0"/>
              <w:jc w:val="left"/>
            </w:pPr>
            <w:r>
              <w:rPr>
                <w:rFonts w:ascii="Calibri" w:hAnsi="Calibri"/>
                <w:b w:val="0"/>
                <w:color w:val="212529"/>
                <w:sz w:val="18"/>
              </w:rPr>
              <w:t>t-statistic=50.2 (df=17406)</w:t>
            </w:r>
          </w:p>
        </w:tc>
        <w:tc>
          <w:tcPr>
            <w:tcW w:type="dxa" w:w="1152"/>
            <w:shd w:fill="F9FAFB"/>
            <w:tcMar>
              <w:top w:w="80" w:type="dxa"/>
              <w:bottom w:w="80" w:type="dxa"/>
              <w:left w:w="120" w:type="dxa"/>
              <w:right w:w="120" w:type="dxa"/>
            </w:tcMar>
          </w:tcPr>
          <w:p>
            <w:pPr>
              <w:spacing w:after="0"/>
              <w:jc w:val="left"/>
            </w:pPr>
            <w:r>
              <w:rPr>
                <w:rFonts w:ascii="Calibri" w:hAnsi="Calibri"/>
                <w:b/>
                <w:color w:val="212529"/>
                <w:sz w:val="18"/>
              </w:rPr>
              <w:t>&lt; 0.0001</w:t>
            </w:r>
          </w:p>
        </w:tc>
        <w:tc>
          <w:tcPr>
            <w:tcW w:type="dxa" w:w="1152"/>
            <w:shd w:fill="F9FAFB"/>
            <w:tcMar>
              <w:top w:w="80" w:type="dxa"/>
              <w:bottom w:w="80" w:type="dxa"/>
              <w:left w:w="120" w:type="dxa"/>
              <w:right w:w="120" w:type="dxa"/>
            </w:tcMar>
          </w:tcPr>
          <w:p>
            <w:pPr>
              <w:spacing w:after="0"/>
              <w:jc w:val="left"/>
            </w:pPr>
            <w:r>
              <w:rPr>
                <w:rFonts w:ascii="Calibri" w:hAnsi="Calibri"/>
                <w:b/>
                <w:color w:val="212529"/>
                <w:sz w:val="18"/>
              </w:rPr>
              <w:t>Cohen's d=0.563</w:t>
            </w:r>
          </w:p>
        </w:tc>
        <w:tc>
          <w:tcPr>
            <w:tcW w:type="dxa" w:w="1152"/>
            <w:shd w:fill="F9FAFB"/>
            <w:tcMar>
              <w:top w:w="80" w:type="dxa"/>
              <w:bottom w:w="80" w:type="dxa"/>
              <w:left w:w="120" w:type="dxa"/>
              <w:right w:w="120" w:type="dxa"/>
            </w:tcMar>
          </w:tcPr>
          <w:p>
            <w:pPr>
              <w:spacing w:after="0"/>
              <w:jc w:val="left"/>
            </w:pPr>
            <w:r>
              <w:rPr>
                <w:rFonts w:ascii="Calibri" w:hAnsi="Calibri"/>
                <w:b/>
                <w:color w:val="1B365D"/>
                <w:sz w:val="18"/>
              </w:rPr>
              <w:t>Reject H0</w:t>
            </w:r>
          </w:p>
        </w:tc>
      </w:tr>
      <w:tr>
        <w:tc>
          <w:tcPr>
            <w:tcW w:type="dxa" w:w="1008"/>
            <w:shd w:fill="FFFFFF"/>
            <w:tcMar>
              <w:top w:w="80" w:type="dxa"/>
              <w:bottom w:w="80" w:type="dxa"/>
              <w:left w:w="120" w:type="dxa"/>
              <w:right w:w="120" w:type="dxa"/>
            </w:tcMar>
          </w:tcPr>
          <w:p>
            <w:pPr>
              <w:spacing w:after="0"/>
              <w:jc w:val="left"/>
            </w:pPr>
            <w:r>
              <w:rPr>
                <w:rFonts w:ascii="Calibri" w:hAnsi="Calibri"/>
                <w:b/>
                <w:color w:val="212529"/>
                <w:sz w:val="18"/>
              </w:rPr>
              <w:t>RQ2b</w:t>
            </w:r>
          </w:p>
        </w:tc>
        <w:tc>
          <w:tcPr>
            <w:tcW w:type="dxa" w:w="2304"/>
            <w:shd w:fill="FFFFFF"/>
            <w:tcMar>
              <w:top w:w="80" w:type="dxa"/>
              <w:bottom w:w="80" w:type="dxa"/>
              <w:left w:w="120" w:type="dxa"/>
              <w:right w:w="120" w:type="dxa"/>
            </w:tcMar>
          </w:tcPr>
          <w:p>
            <w:pPr>
              <w:spacing w:after="0"/>
              <w:jc w:val="left"/>
            </w:pPr>
            <w:r>
              <w:rPr>
                <w:rFonts w:ascii="Calibri" w:hAnsi="Calibri"/>
                <w:b w:val="0"/>
                <w:color w:val="212529"/>
                <w:sz w:val="18"/>
              </w:rPr>
              <w:t>Does the age distribution median differ be...</w:t>
            </w:r>
          </w:p>
        </w:tc>
        <w:tc>
          <w:tcPr>
            <w:tcW w:type="dxa" w:w="2160"/>
            <w:shd w:fill="FFFFFF"/>
            <w:tcMar>
              <w:top w:w="80" w:type="dxa"/>
              <w:bottom w:w="80" w:type="dxa"/>
              <w:left w:w="120" w:type="dxa"/>
              <w:right w:w="120" w:type="dxa"/>
            </w:tcMar>
          </w:tcPr>
          <w:p>
            <w:pPr>
              <w:spacing w:after="0"/>
              <w:jc w:val="left"/>
            </w:pPr>
            <w:r>
              <w:rPr>
                <w:rFonts w:ascii="Calibri" w:hAnsi="Calibri"/>
                <w:b w:val="0"/>
                <w:color w:val="212529"/>
                <w:sz w:val="18"/>
              </w:rPr>
              <w:t>Wilcoxon Rank-Sum Test (Mann-Whitney U)</w:t>
            </w:r>
          </w:p>
        </w:tc>
        <w:tc>
          <w:tcPr>
            <w:tcW w:type="dxa" w:w="1584"/>
            <w:shd w:fill="FFFFFF"/>
            <w:tcMar>
              <w:top w:w="80" w:type="dxa"/>
              <w:bottom w:w="80" w:type="dxa"/>
              <w:left w:w="120" w:type="dxa"/>
              <w:right w:w="120" w:type="dxa"/>
            </w:tcMar>
          </w:tcPr>
          <w:p>
            <w:pPr>
              <w:spacing w:after="0"/>
              <w:jc w:val="left"/>
            </w:pPr>
            <w:r>
              <w:rPr>
                <w:rFonts w:ascii="Calibri" w:hAnsi="Calibri"/>
                <w:b w:val="0"/>
                <w:color w:val="212529"/>
                <w:sz w:val="18"/>
              </w:rPr>
              <w:t>W-statistic=132460134.0</w:t>
            </w:r>
          </w:p>
        </w:tc>
        <w:tc>
          <w:tcPr>
            <w:tcW w:type="dxa" w:w="1152"/>
            <w:shd w:fill="FFFFFF"/>
            <w:tcMar>
              <w:top w:w="80" w:type="dxa"/>
              <w:bottom w:w="80" w:type="dxa"/>
              <w:left w:w="120" w:type="dxa"/>
              <w:right w:w="120" w:type="dxa"/>
            </w:tcMar>
          </w:tcPr>
          <w:p>
            <w:pPr>
              <w:spacing w:after="0"/>
              <w:jc w:val="left"/>
            </w:pPr>
            <w:r>
              <w:rPr>
                <w:rFonts w:ascii="Calibri" w:hAnsi="Calibri"/>
                <w:b/>
                <w:color w:val="212529"/>
                <w:sz w:val="18"/>
              </w:rPr>
              <w:t>&lt; 0.0001</w:t>
            </w:r>
          </w:p>
        </w:tc>
        <w:tc>
          <w:tcPr>
            <w:tcW w:type="dxa" w:w="1152"/>
            <w:shd w:fill="FFFFFF"/>
            <w:tcMar>
              <w:top w:w="80" w:type="dxa"/>
              <w:bottom w:w="80" w:type="dxa"/>
              <w:left w:w="120" w:type="dxa"/>
              <w:right w:w="120" w:type="dxa"/>
            </w:tcMar>
          </w:tcPr>
          <w:p>
            <w:pPr>
              <w:spacing w:after="0"/>
              <w:jc w:val="left"/>
            </w:pPr>
            <w:r>
              <w:rPr>
                <w:rFonts w:ascii="Calibri" w:hAnsi="Calibri"/>
                <w:b/>
                <w:color w:val="212529"/>
                <w:sz w:val="18"/>
              </w:rPr>
              <w:t>Rank-Biserial r=0.368</w:t>
            </w:r>
          </w:p>
        </w:tc>
        <w:tc>
          <w:tcPr>
            <w:tcW w:type="dxa" w:w="1152"/>
            <w:shd w:fill="FFFFFF"/>
            <w:tcMar>
              <w:top w:w="80" w:type="dxa"/>
              <w:bottom w:w="80" w:type="dxa"/>
              <w:left w:w="120" w:type="dxa"/>
              <w:right w:w="120" w:type="dxa"/>
            </w:tcMar>
          </w:tcPr>
          <w:p>
            <w:pPr>
              <w:spacing w:after="0"/>
              <w:jc w:val="left"/>
            </w:pPr>
            <w:r>
              <w:rPr>
                <w:rFonts w:ascii="Calibri" w:hAnsi="Calibri"/>
                <w:b/>
                <w:color w:val="1B365D"/>
                <w:sz w:val="18"/>
              </w:rPr>
              <w:t>Reject H0</w:t>
            </w:r>
          </w:p>
        </w:tc>
      </w:tr>
      <w:tr>
        <w:tc>
          <w:tcPr>
            <w:tcW w:type="dxa" w:w="1008"/>
            <w:shd w:fill="F9FAFB"/>
            <w:tcMar>
              <w:top w:w="80" w:type="dxa"/>
              <w:bottom w:w="80" w:type="dxa"/>
              <w:left w:w="120" w:type="dxa"/>
              <w:right w:w="120" w:type="dxa"/>
            </w:tcMar>
          </w:tcPr>
          <w:p>
            <w:pPr>
              <w:spacing w:after="0"/>
              <w:jc w:val="left"/>
            </w:pPr>
            <w:r>
              <w:rPr>
                <w:rFonts w:ascii="Calibri" w:hAnsi="Calibri"/>
                <w:b/>
                <w:color w:val="212529"/>
                <w:sz w:val="18"/>
              </w:rPr>
              <w:t>RQ3a</w:t>
            </w:r>
          </w:p>
        </w:tc>
        <w:tc>
          <w:tcPr>
            <w:tcW w:type="dxa" w:w="2304"/>
            <w:shd w:fill="F9FAFB"/>
            <w:tcMar>
              <w:top w:w="80" w:type="dxa"/>
              <w:bottom w:w="80" w:type="dxa"/>
              <w:left w:w="120" w:type="dxa"/>
              <w:right w:w="120" w:type="dxa"/>
            </w:tcMar>
          </w:tcPr>
          <w:p>
            <w:pPr>
              <w:spacing w:after="0"/>
              <w:jc w:val="left"/>
            </w:pPr>
            <w:r>
              <w:rPr>
                <w:rFonts w:ascii="Calibri" w:hAnsi="Calibri"/>
                <w:b w:val="0"/>
                <w:color w:val="212529"/>
                <w:sz w:val="18"/>
              </w:rPr>
              <w:t>Is weekly working time significantly diffe...</w:t>
            </w:r>
          </w:p>
        </w:tc>
        <w:tc>
          <w:tcPr>
            <w:tcW w:type="dxa" w:w="2160"/>
            <w:shd w:fill="F9FAFB"/>
            <w:tcMar>
              <w:top w:w="80" w:type="dxa"/>
              <w:bottom w:w="80" w:type="dxa"/>
              <w:left w:w="120" w:type="dxa"/>
              <w:right w:w="120" w:type="dxa"/>
            </w:tcMar>
          </w:tcPr>
          <w:p>
            <w:pPr>
              <w:spacing w:after="0"/>
              <w:jc w:val="left"/>
            </w:pPr>
            <w:r>
              <w:rPr>
                <w:rFonts w:ascii="Calibri" w:hAnsi="Calibri"/>
                <w:b w:val="0"/>
                <w:color w:val="212529"/>
                <w:sz w:val="18"/>
              </w:rPr>
              <w:t>Welch Two-Sample t-test (unequal variances)</w:t>
            </w:r>
          </w:p>
        </w:tc>
        <w:tc>
          <w:tcPr>
            <w:tcW w:type="dxa" w:w="1584"/>
            <w:shd w:fill="F9FAFB"/>
            <w:tcMar>
              <w:top w:w="80" w:type="dxa"/>
              <w:bottom w:w="80" w:type="dxa"/>
              <w:left w:w="120" w:type="dxa"/>
              <w:right w:w="120" w:type="dxa"/>
            </w:tcMar>
          </w:tcPr>
          <w:p>
            <w:pPr>
              <w:spacing w:after="0"/>
              <w:jc w:val="left"/>
            </w:pPr>
            <w:r>
              <w:rPr>
                <w:rFonts w:ascii="Calibri" w:hAnsi="Calibri"/>
                <w:b w:val="0"/>
                <w:color w:val="212529"/>
                <w:sz w:val="18"/>
              </w:rPr>
              <w:t>t-statistic=45.1 (df=14568)</w:t>
            </w:r>
          </w:p>
        </w:tc>
        <w:tc>
          <w:tcPr>
            <w:tcW w:type="dxa" w:w="1152"/>
            <w:shd w:fill="F9FAFB"/>
            <w:tcMar>
              <w:top w:w="80" w:type="dxa"/>
              <w:bottom w:w="80" w:type="dxa"/>
              <w:left w:w="120" w:type="dxa"/>
              <w:right w:w="120" w:type="dxa"/>
            </w:tcMar>
          </w:tcPr>
          <w:p>
            <w:pPr>
              <w:spacing w:after="0"/>
              <w:jc w:val="left"/>
            </w:pPr>
            <w:r>
              <w:rPr>
                <w:rFonts w:ascii="Calibri" w:hAnsi="Calibri"/>
                <w:b/>
                <w:color w:val="212529"/>
                <w:sz w:val="18"/>
              </w:rPr>
              <w:t>&lt; 0.0001</w:t>
            </w:r>
          </w:p>
        </w:tc>
        <w:tc>
          <w:tcPr>
            <w:tcW w:type="dxa" w:w="1152"/>
            <w:shd w:fill="F9FAFB"/>
            <w:tcMar>
              <w:top w:w="80" w:type="dxa"/>
              <w:bottom w:w="80" w:type="dxa"/>
              <w:left w:w="120" w:type="dxa"/>
              <w:right w:w="120" w:type="dxa"/>
            </w:tcMar>
          </w:tcPr>
          <w:p>
            <w:pPr>
              <w:spacing w:after="0"/>
              <w:jc w:val="left"/>
            </w:pPr>
            <w:r>
              <w:rPr>
                <w:rFonts w:ascii="Calibri" w:hAnsi="Calibri"/>
                <w:b/>
                <w:color w:val="212529"/>
                <w:sz w:val="18"/>
              </w:rPr>
              <w:t>Cohen's d=0.552</w:t>
            </w:r>
          </w:p>
        </w:tc>
        <w:tc>
          <w:tcPr>
            <w:tcW w:type="dxa" w:w="1152"/>
            <w:shd w:fill="F9FAFB"/>
            <w:tcMar>
              <w:top w:w="80" w:type="dxa"/>
              <w:bottom w:w="80" w:type="dxa"/>
              <w:left w:w="120" w:type="dxa"/>
              <w:right w:w="120" w:type="dxa"/>
            </w:tcMar>
          </w:tcPr>
          <w:p>
            <w:pPr>
              <w:spacing w:after="0"/>
              <w:jc w:val="left"/>
            </w:pPr>
            <w:r>
              <w:rPr>
                <w:rFonts w:ascii="Calibri" w:hAnsi="Calibri"/>
                <w:b/>
                <w:color w:val="1B365D"/>
                <w:sz w:val="18"/>
              </w:rPr>
              <w:t>Reject H0</w:t>
            </w:r>
          </w:p>
        </w:tc>
      </w:tr>
      <w:tr>
        <w:tc>
          <w:tcPr>
            <w:tcW w:type="dxa" w:w="1008"/>
            <w:shd w:fill="FFFFFF"/>
            <w:tcMar>
              <w:top w:w="80" w:type="dxa"/>
              <w:bottom w:w="80" w:type="dxa"/>
              <w:left w:w="120" w:type="dxa"/>
              <w:right w:w="120" w:type="dxa"/>
            </w:tcMar>
          </w:tcPr>
          <w:p>
            <w:pPr>
              <w:spacing w:after="0"/>
              <w:jc w:val="left"/>
            </w:pPr>
            <w:r>
              <w:rPr>
                <w:rFonts w:ascii="Calibri" w:hAnsi="Calibri"/>
                <w:b/>
                <w:color w:val="212529"/>
                <w:sz w:val="18"/>
              </w:rPr>
              <w:t>RQ3b</w:t>
            </w:r>
          </w:p>
        </w:tc>
        <w:tc>
          <w:tcPr>
            <w:tcW w:type="dxa" w:w="2304"/>
            <w:shd w:fill="FFFFFF"/>
            <w:tcMar>
              <w:top w:w="80" w:type="dxa"/>
              <w:bottom w:w="80" w:type="dxa"/>
              <w:left w:w="120" w:type="dxa"/>
              <w:right w:w="120" w:type="dxa"/>
            </w:tcMar>
          </w:tcPr>
          <w:p>
            <w:pPr>
              <w:spacing w:after="0"/>
              <w:jc w:val="left"/>
            </w:pPr>
            <w:r>
              <w:rPr>
                <w:rFonts w:ascii="Calibri" w:hAnsi="Calibri"/>
                <w:b w:val="0"/>
                <w:color w:val="212529"/>
                <w:sz w:val="18"/>
              </w:rPr>
              <w:t>Does the distribution of weekly working ho...</w:t>
            </w:r>
          </w:p>
        </w:tc>
        <w:tc>
          <w:tcPr>
            <w:tcW w:type="dxa" w:w="2160"/>
            <w:shd w:fill="FFFFFF"/>
            <w:tcMar>
              <w:top w:w="80" w:type="dxa"/>
              <w:bottom w:w="80" w:type="dxa"/>
              <w:left w:w="120" w:type="dxa"/>
              <w:right w:w="120" w:type="dxa"/>
            </w:tcMar>
          </w:tcPr>
          <w:p>
            <w:pPr>
              <w:spacing w:after="0"/>
              <w:jc w:val="left"/>
            </w:pPr>
            <w:r>
              <w:rPr>
                <w:rFonts w:ascii="Calibri" w:hAnsi="Calibri"/>
                <w:b w:val="0"/>
                <w:color w:val="212529"/>
                <w:sz w:val="18"/>
              </w:rPr>
              <w:t>Wilcoxon Rank-Sum Test (Mann-Whitney U)</w:t>
            </w:r>
          </w:p>
        </w:tc>
        <w:tc>
          <w:tcPr>
            <w:tcW w:type="dxa" w:w="1584"/>
            <w:shd w:fill="FFFFFF"/>
            <w:tcMar>
              <w:top w:w="80" w:type="dxa"/>
              <w:bottom w:w="80" w:type="dxa"/>
              <w:left w:w="120" w:type="dxa"/>
              <w:right w:w="120" w:type="dxa"/>
            </w:tcMar>
          </w:tcPr>
          <w:p>
            <w:pPr>
              <w:spacing w:after="0"/>
              <w:jc w:val="left"/>
            </w:pPr>
            <w:r>
              <w:rPr>
                <w:rFonts w:ascii="Calibri" w:hAnsi="Calibri"/>
                <w:b w:val="0"/>
                <w:color w:val="212529"/>
                <w:sz w:val="18"/>
              </w:rPr>
              <w:t>W-statistic=130106291.5</w:t>
            </w:r>
          </w:p>
        </w:tc>
        <w:tc>
          <w:tcPr>
            <w:tcW w:type="dxa" w:w="1152"/>
            <w:shd w:fill="FFFFFF"/>
            <w:tcMar>
              <w:top w:w="80" w:type="dxa"/>
              <w:bottom w:w="80" w:type="dxa"/>
              <w:left w:w="120" w:type="dxa"/>
              <w:right w:w="120" w:type="dxa"/>
            </w:tcMar>
          </w:tcPr>
          <w:p>
            <w:pPr>
              <w:spacing w:after="0"/>
              <w:jc w:val="left"/>
            </w:pPr>
            <w:r>
              <w:rPr>
                <w:rFonts w:ascii="Calibri" w:hAnsi="Calibri"/>
                <w:b/>
                <w:color w:val="212529"/>
                <w:sz w:val="18"/>
              </w:rPr>
              <w:t>&lt; 0.0001</w:t>
            </w:r>
          </w:p>
        </w:tc>
        <w:tc>
          <w:tcPr>
            <w:tcW w:type="dxa" w:w="1152"/>
            <w:shd w:fill="FFFFFF"/>
            <w:tcMar>
              <w:top w:w="80" w:type="dxa"/>
              <w:bottom w:w="80" w:type="dxa"/>
              <w:left w:w="120" w:type="dxa"/>
              <w:right w:w="120" w:type="dxa"/>
            </w:tcMar>
          </w:tcPr>
          <w:p>
            <w:pPr>
              <w:spacing w:after="0"/>
              <w:jc w:val="left"/>
            </w:pPr>
            <w:r>
              <w:rPr>
                <w:rFonts w:ascii="Calibri" w:hAnsi="Calibri"/>
                <w:b/>
                <w:color w:val="212529"/>
                <w:sz w:val="18"/>
              </w:rPr>
              <w:t>Rank-Biserial r=0.344</w:t>
            </w:r>
          </w:p>
        </w:tc>
        <w:tc>
          <w:tcPr>
            <w:tcW w:type="dxa" w:w="1152"/>
            <w:shd w:fill="FFFFFF"/>
            <w:tcMar>
              <w:top w:w="80" w:type="dxa"/>
              <w:bottom w:w="80" w:type="dxa"/>
              <w:left w:w="120" w:type="dxa"/>
              <w:right w:w="120" w:type="dxa"/>
            </w:tcMar>
          </w:tcPr>
          <w:p>
            <w:pPr>
              <w:spacing w:after="0"/>
              <w:jc w:val="left"/>
            </w:pPr>
            <w:r>
              <w:rPr>
                <w:rFonts w:ascii="Calibri" w:hAnsi="Calibri"/>
                <w:b/>
                <w:color w:val="1B365D"/>
                <w:sz w:val="18"/>
              </w:rPr>
              <w:t>Reject H0</w:t>
            </w:r>
          </w:p>
        </w:tc>
      </w:tr>
      <w:tr>
        <w:tc>
          <w:tcPr>
            <w:tcW w:type="dxa" w:w="1008"/>
            <w:shd w:fill="F9FAFB"/>
            <w:tcMar>
              <w:top w:w="80" w:type="dxa"/>
              <w:bottom w:w="80" w:type="dxa"/>
              <w:left w:w="120" w:type="dxa"/>
              <w:right w:w="120" w:type="dxa"/>
            </w:tcMar>
          </w:tcPr>
          <w:p>
            <w:pPr>
              <w:spacing w:after="0"/>
              <w:jc w:val="left"/>
            </w:pPr>
            <w:r>
              <w:rPr>
                <w:rFonts w:ascii="Calibri" w:hAnsi="Calibri"/>
                <w:b/>
                <w:color w:val="212529"/>
                <w:sz w:val="18"/>
              </w:rPr>
              <w:t>RQ4a</w:t>
            </w:r>
          </w:p>
        </w:tc>
        <w:tc>
          <w:tcPr>
            <w:tcW w:type="dxa" w:w="2304"/>
            <w:shd w:fill="F9FAFB"/>
            <w:tcMar>
              <w:top w:w="80" w:type="dxa"/>
              <w:bottom w:w="80" w:type="dxa"/>
              <w:left w:w="120" w:type="dxa"/>
              <w:right w:w="120" w:type="dxa"/>
            </w:tcMar>
          </w:tcPr>
          <w:p>
            <w:pPr>
              <w:spacing w:after="0"/>
              <w:jc w:val="left"/>
            </w:pPr>
            <w:r>
              <w:rPr>
                <w:rFonts w:ascii="Calibri" w:hAnsi="Calibri"/>
                <w:b w:val="0"/>
                <w:color w:val="212529"/>
                <w:sz w:val="18"/>
              </w:rPr>
              <w:t>Is workclass sector associated with income...</w:t>
            </w:r>
          </w:p>
        </w:tc>
        <w:tc>
          <w:tcPr>
            <w:tcW w:type="dxa" w:w="2160"/>
            <w:shd w:fill="F9FAFB"/>
            <w:tcMar>
              <w:top w:w="80" w:type="dxa"/>
              <w:bottom w:w="80" w:type="dxa"/>
              <w:left w:w="120" w:type="dxa"/>
              <w:right w:w="120" w:type="dxa"/>
            </w:tcMar>
          </w:tcPr>
          <w:p>
            <w:pPr>
              <w:spacing w:after="0"/>
              <w:jc w:val="left"/>
            </w:pPr>
            <w:r>
              <w:rPr>
                <w:rFonts w:ascii="Calibri" w:hAnsi="Calibri"/>
                <w:b w:val="0"/>
                <w:color w:val="212529"/>
                <w:sz w:val="18"/>
              </w:rPr>
              <w:t>Pearson's Chi-Square Test of Independence</w:t>
            </w:r>
          </w:p>
        </w:tc>
        <w:tc>
          <w:tcPr>
            <w:tcW w:type="dxa" w:w="1584"/>
            <w:shd w:fill="F9FAFB"/>
            <w:tcMar>
              <w:top w:w="80" w:type="dxa"/>
              <w:bottom w:w="80" w:type="dxa"/>
              <w:left w:w="120" w:type="dxa"/>
              <w:right w:w="120" w:type="dxa"/>
            </w:tcMar>
          </w:tcPr>
          <w:p>
            <w:pPr>
              <w:spacing w:after="0"/>
              <w:jc w:val="left"/>
            </w:pPr>
            <w:r>
              <w:rPr>
                <w:rFonts w:ascii="Calibri" w:hAnsi="Calibri"/>
                <w:b w:val="0"/>
                <w:color w:val="212529"/>
                <w:sz w:val="18"/>
              </w:rPr>
              <w:t>Chi-Square=922.4 (df=7)</w:t>
            </w:r>
          </w:p>
        </w:tc>
        <w:tc>
          <w:tcPr>
            <w:tcW w:type="dxa" w:w="1152"/>
            <w:shd w:fill="F9FAFB"/>
            <w:tcMar>
              <w:top w:w="80" w:type="dxa"/>
              <w:bottom w:w="80" w:type="dxa"/>
              <w:left w:w="120" w:type="dxa"/>
              <w:right w:w="120" w:type="dxa"/>
            </w:tcMar>
          </w:tcPr>
          <w:p>
            <w:pPr>
              <w:spacing w:after="0"/>
              <w:jc w:val="left"/>
            </w:pPr>
            <w:r>
              <w:rPr>
                <w:rFonts w:ascii="Calibri" w:hAnsi="Calibri"/>
                <w:b/>
                <w:color w:val="212529"/>
                <w:sz w:val="18"/>
              </w:rPr>
              <w:t>&lt; 0.0001</w:t>
            </w:r>
          </w:p>
        </w:tc>
        <w:tc>
          <w:tcPr>
            <w:tcW w:type="dxa" w:w="1152"/>
            <w:shd w:fill="F9FAFB"/>
            <w:tcMar>
              <w:top w:w="80" w:type="dxa"/>
              <w:bottom w:w="80" w:type="dxa"/>
              <w:left w:w="120" w:type="dxa"/>
              <w:right w:w="120" w:type="dxa"/>
            </w:tcMar>
          </w:tcPr>
          <w:p>
            <w:pPr>
              <w:spacing w:after="0"/>
              <w:jc w:val="left"/>
            </w:pPr>
            <w:r>
              <w:rPr>
                <w:rFonts w:ascii="Calibri" w:hAnsi="Calibri"/>
                <w:b/>
                <w:color w:val="212529"/>
                <w:sz w:val="18"/>
              </w:rPr>
              <w:t>Cramer's V=0.168</w:t>
            </w:r>
          </w:p>
        </w:tc>
        <w:tc>
          <w:tcPr>
            <w:tcW w:type="dxa" w:w="1152"/>
            <w:shd w:fill="F9FAFB"/>
            <w:tcMar>
              <w:top w:w="80" w:type="dxa"/>
              <w:bottom w:w="80" w:type="dxa"/>
              <w:left w:w="120" w:type="dxa"/>
              <w:right w:w="120" w:type="dxa"/>
            </w:tcMar>
          </w:tcPr>
          <w:p>
            <w:pPr>
              <w:spacing w:after="0"/>
              <w:jc w:val="left"/>
            </w:pPr>
            <w:r>
              <w:rPr>
                <w:rFonts w:ascii="Calibri" w:hAnsi="Calibri"/>
                <w:b/>
                <w:color w:val="1B365D"/>
                <w:sz w:val="18"/>
              </w:rPr>
              <w:t>Reject H0</w:t>
            </w:r>
          </w:p>
        </w:tc>
      </w:tr>
      <w:tr>
        <w:tc>
          <w:tcPr>
            <w:tcW w:type="dxa" w:w="1008"/>
            <w:shd w:fill="FFFFFF"/>
            <w:tcMar>
              <w:top w:w="80" w:type="dxa"/>
              <w:bottom w:w="80" w:type="dxa"/>
              <w:left w:w="120" w:type="dxa"/>
              <w:right w:w="120" w:type="dxa"/>
            </w:tcMar>
          </w:tcPr>
          <w:p>
            <w:pPr>
              <w:spacing w:after="0"/>
              <w:jc w:val="left"/>
            </w:pPr>
            <w:r>
              <w:rPr>
                <w:rFonts w:ascii="Calibri" w:hAnsi="Calibri"/>
                <w:b/>
                <w:color w:val="212529"/>
                <w:sz w:val="18"/>
              </w:rPr>
              <w:t>RQ4b</w:t>
            </w:r>
          </w:p>
        </w:tc>
        <w:tc>
          <w:tcPr>
            <w:tcW w:type="dxa" w:w="2304"/>
            <w:shd w:fill="FFFFFF"/>
            <w:tcMar>
              <w:top w:w="80" w:type="dxa"/>
              <w:bottom w:w="80" w:type="dxa"/>
              <w:left w:w="120" w:type="dxa"/>
              <w:right w:w="120" w:type="dxa"/>
            </w:tcMar>
          </w:tcPr>
          <w:p>
            <w:pPr>
              <w:spacing w:after="0"/>
              <w:jc w:val="left"/>
            </w:pPr>
            <w:r>
              <w:rPr>
                <w:rFonts w:ascii="Calibri" w:hAnsi="Calibri"/>
                <w:b w:val="0"/>
                <w:color w:val="212529"/>
                <w:sz w:val="18"/>
              </w:rPr>
              <w:t>Is occupation category associated with inc...</w:t>
            </w:r>
          </w:p>
        </w:tc>
        <w:tc>
          <w:tcPr>
            <w:tcW w:type="dxa" w:w="2160"/>
            <w:shd w:fill="FFFFFF"/>
            <w:tcMar>
              <w:top w:w="80" w:type="dxa"/>
              <w:bottom w:w="80" w:type="dxa"/>
              <w:left w:w="120" w:type="dxa"/>
              <w:right w:w="120" w:type="dxa"/>
            </w:tcMar>
          </w:tcPr>
          <w:p>
            <w:pPr>
              <w:spacing w:after="0"/>
              <w:jc w:val="left"/>
            </w:pPr>
            <w:r>
              <w:rPr>
                <w:rFonts w:ascii="Calibri" w:hAnsi="Calibri"/>
                <w:b w:val="0"/>
                <w:color w:val="212529"/>
                <w:sz w:val="18"/>
              </w:rPr>
              <w:t>Pearson's Chi-Square Test of Independence</w:t>
            </w:r>
          </w:p>
        </w:tc>
        <w:tc>
          <w:tcPr>
            <w:tcW w:type="dxa" w:w="1584"/>
            <w:shd w:fill="FFFFFF"/>
            <w:tcMar>
              <w:top w:w="80" w:type="dxa"/>
              <w:bottom w:w="80" w:type="dxa"/>
              <w:left w:w="120" w:type="dxa"/>
              <w:right w:w="120" w:type="dxa"/>
            </w:tcMar>
          </w:tcPr>
          <w:p>
            <w:pPr>
              <w:spacing w:after="0"/>
              <w:jc w:val="left"/>
            </w:pPr>
            <w:r>
              <w:rPr>
                <w:rFonts w:ascii="Calibri" w:hAnsi="Calibri"/>
                <w:b w:val="0"/>
                <w:color w:val="212529"/>
                <w:sz w:val="18"/>
              </w:rPr>
              <w:t>Chi-Square=3197.6 (df=13)</w:t>
            </w:r>
          </w:p>
        </w:tc>
        <w:tc>
          <w:tcPr>
            <w:tcW w:type="dxa" w:w="1152"/>
            <w:shd w:fill="FFFFFF"/>
            <w:tcMar>
              <w:top w:w="80" w:type="dxa"/>
              <w:bottom w:w="80" w:type="dxa"/>
              <w:left w:w="120" w:type="dxa"/>
              <w:right w:w="120" w:type="dxa"/>
            </w:tcMar>
          </w:tcPr>
          <w:p>
            <w:pPr>
              <w:spacing w:after="0"/>
              <w:jc w:val="left"/>
            </w:pPr>
            <w:r>
              <w:rPr>
                <w:rFonts w:ascii="Calibri" w:hAnsi="Calibri"/>
                <w:b/>
                <w:color w:val="212529"/>
                <w:sz w:val="18"/>
              </w:rPr>
              <w:t>&lt; 0.0001</w:t>
            </w:r>
          </w:p>
        </w:tc>
        <w:tc>
          <w:tcPr>
            <w:tcW w:type="dxa" w:w="1152"/>
            <w:shd w:fill="FFFFFF"/>
            <w:tcMar>
              <w:top w:w="80" w:type="dxa"/>
              <w:bottom w:w="80" w:type="dxa"/>
              <w:left w:w="120" w:type="dxa"/>
              <w:right w:w="120" w:type="dxa"/>
            </w:tcMar>
          </w:tcPr>
          <w:p>
            <w:pPr>
              <w:spacing w:after="0"/>
              <w:jc w:val="left"/>
            </w:pPr>
            <w:r>
              <w:rPr>
                <w:rFonts w:ascii="Calibri" w:hAnsi="Calibri"/>
                <w:b/>
                <w:color w:val="212529"/>
                <w:sz w:val="18"/>
              </w:rPr>
              <w:t>Cramer's V=0.314</w:t>
            </w:r>
          </w:p>
        </w:tc>
        <w:tc>
          <w:tcPr>
            <w:tcW w:type="dxa" w:w="1152"/>
            <w:shd w:fill="FFFFFF"/>
            <w:tcMar>
              <w:top w:w="80" w:type="dxa"/>
              <w:bottom w:w="80" w:type="dxa"/>
              <w:left w:w="120" w:type="dxa"/>
              <w:right w:w="120" w:type="dxa"/>
            </w:tcMar>
          </w:tcPr>
          <w:p>
            <w:pPr>
              <w:spacing w:after="0"/>
              <w:jc w:val="left"/>
            </w:pPr>
            <w:r>
              <w:rPr>
                <w:rFonts w:ascii="Calibri" w:hAnsi="Calibri"/>
                <w:b/>
                <w:color w:val="1B365D"/>
                <w:sz w:val="18"/>
              </w:rPr>
              <w:t>Reject H0</w:t>
            </w:r>
          </w:p>
        </w:tc>
      </w:tr>
      <w:tr>
        <w:tc>
          <w:tcPr>
            <w:tcW w:type="dxa" w:w="1008"/>
            <w:shd w:fill="F9FAFB"/>
            <w:tcMar>
              <w:top w:w="80" w:type="dxa"/>
              <w:bottom w:w="80" w:type="dxa"/>
              <w:left w:w="120" w:type="dxa"/>
              <w:right w:w="120" w:type="dxa"/>
            </w:tcMar>
          </w:tcPr>
          <w:p>
            <w:pPr>
              <w:spacing w:after="0"/>
              <w:jc w:val="left"/>
            </w:pPr>
            <w:r>
              <w:rPr>
                <w:rFonts w:ascii="Calibri" w:hAnsi="Calibri"/>
                <w:b/>
                <w:color w:val="212529"/>
                <w:sz w:val="18"/>
              </w:rPr>
              <w:t>RQ5</w:t>
            </w:r>
          </w:p>
        </w:tc>
        <w:tc>
          <w:tcPr>
            <w:tcW w:type="dxa" w:w="2304"/>
            <w:shd w:fill="F9FAFB"/>
            <w:tcMar>
              <w:top w:w="80" w:type="dxa"/>
              <w:bottom w:w="80" w:type="dxa"/>
              <w:left w:w="120" w:type="dxa"/>
              <w:right w:w="120" w:type="dxa"/>
            </w:tcMar>
          </w:tcPr>
          <w:p>
            <w:pPr>
              <w:spacing w:after="0"/>
              <w:jc w:val="left"/>
            </w:pPr>
            <w:r>
              <w:rPr>
                <w:rFonts w:ascii="Calibri" w:hAnsi="Calibri"/>
                <w:b w:val="0"/>
                <w:color w:val="212529"/>
                <w:sz w:val="18"/>
              </w:rPr>
              <w:t>Do education years and weekly hours show a...</w:t>
            </w:r>
          </w:p>
        </w:tc>
        <w:tc>
          <w:tcPr>
            <w:tcW w:type="dxa" w:w="2160"/>
            <w:shd w:fill="F9FAFB"/>
            <w:tcMar>
              <w:top w:w="80" w:type="dxa"/>
              <w:bottom w:w="80" w:type="dxa"/>
              <w:left w:w="120" w:type="dxa"/>
              <w:right w:w="120" w:type="dxa"/>
            </w:tcMar>
          </w:tcPr>
          <w:p>
            <w:pPr>
              <w:spacing w:after="0"/>
              <w:jc w:val="left"/>
            </w:pPr>
            <w:r>
              <w:rPr>
                <w:rFonts w:ascii="Calibri" w:hAnsi="Calibri"/>
                <w:b w:val="0"/>
                <w:color w:val="212529"/>
                <w:sz w:val="18"/>
              </w:rPr>
              <w:t>Pearson's Product-Moment Correlation Test</w:t>
            </w:r>
          </w:p>
        </w:tc>
        <w:tc>
          <w:tcPr>
            <w:tcW w:type="dxa" w:w="1584"/>
            <w:shd w:fill="F9FAFB"/>
            <w:tcMar>
              <w:top w:w="80" w:type="dxa"/>
              <w:bottom w:w="80" w:type="dxa"/>
              <w:left w:w="120" w:type="dxa"/>
              <w:right w:w="120" w:type="dxa"/>
            </w:tcMar>
          </w:tcPr>
          <w:p>
            <w:pPr>
              <w:spacing w:after="0"/>
              <w:jc w:val="left"/>
            </w:pPr>
            <w:r>
              <w:rPr>
                <w:rFonts w:ascii="Calibri" w:hAnsi="Calibri"/>
                <w:b w:val="0"/>
                <w:color w:val="212529"/>
                <w:sz w:val="18"/>
              </w:rPr>
              <w:t>t-statistic=27.1 (df=32535)</w:t>
            </w:r>
          </w:p>
        </w:tc>
        <w:tc>
          <w:tcPr>
            <w:tcW w:type="dxa" w:w="1152"/>
            <w:shd w:fill="F9FAFB"/>
            <w:tcMar>
              <w:top w:w="80" w:type="dxa"/>
              <w:bottom w:w="80" w:type="dxa"/>
              <w:left w:w="120" w:type="dxa"/>
              <w:right w:w="120" w:type="dxa"/>
            </w:tcMar>
          </w:tcPr>
          <w:p>
            <w:pPr>
              <w:spacing w:after="0"/>
              <w:jc w:val="left"/>
            </w:pPr>
            <w:r>
              <w:rPr>
                <w:rFonts w:ascii="Calibri" w:hAnsi="Calibri"/>
                <w:b/>
                <w:color w:val="212529"/>
                <w:sz w:val="18"/>
              </w:rPr>
              <w:t>&lt; 0.0001</w:t>
            </w:r>
          </w:p>
        </w:tc>
        <w:tc>
          <w:tcPr>
            <w:tcW w:type="dxa" w:w="1152"/>
            <w:shd w:fill="F9FAFB"/>
            <w:tcMar>
              <w:top w:w="80" w:type="dxa"/>
              <w:bottom w:w="80" w:type="dxa"/>
              <w:left w:w="120" w:type="dxa"/>
              <w:right w:w="120" w:type="dxa"/>
            </w:tcMar>
          </w:tcPr>
          <w:p>
            <w:pPr>
              <w:spacing w:after="0"/>
              <w:jc w:val="left"/>
            </w:pPr>
            <w:r>
              <w:rPr>
                <w:rFonts w:ascii="Calibri" w:hAnsi="Calibri"/>
                <w:b/>
                <w:color w:val="212529"/>
                <w:sz w:val="18"/>
              </w:rPr>
              <w:t>Pearson's r=0.148</w:t>
            </w:r>
          </w:p>
        </w:tc>
        <w:tc>
          <w:tcPr>
            <w:tcW w:type="dxa" w:w="1152"/>
            <w:shd w:fill="F9FAFB"/>
            <w:tcMar>
              <w:top w:w="80" w:type="dxa"/>
              <w:bottom w:w="80" w:type="dxa"/>
              <w:left w:w="120" w:type="dxa"/>
              <w:right w:w="120" w:type="dxa"/>
            </w:tcMar>
          </w:tcPr>
          <w:p>
            <w:pPr>
              <w:spacing w:after="0"/>
              <w:jc w:val="left"/>
            </w:pPr>
            <w:r>
              <w:rPr>
                <w:rFonts w:ascii="Calibri" w:hAnsi="Calibri"/>
                <w:b/>
                <w:color w:val="1B365D"/>
                <w:sz w:val="18"/>
              </w:rPr>
              <w:t>Reject H0</w:t>
            </w:r>
          </w:p>
        </w:tc>
      </w:tr>
    </w:tbl>
    <w:p>
      <w:pPr>
        <w:spacing w:after="160"/>
      </w:pPr>
      <w:r>
        <w:rPr>
          <w:i/>
          <w:color w:val="6C757D"/>
          <w:sz w:val="17"/>
        </w:rPr>
        <w:t>Table 4 Note: All tests evaluated at significance level alpha = 0.05 on N = 32,537 observations. Bonferroni adjusted p-values and Benjamini-Hochberg FDR remain &lt; 0.0001 across all tests.</w:t>
      </w:r>
    </w:p>
    <w:p>
      <w:pPr>
        <w:pStyle w:val="Heading2"/>
        <w:keepNext/>
        <w:spacing w:before="260" w:after="80"/>
      </w:pPr>
      <w:r>
        <w:rPr>
          <w:rFonts w:ascii="Calibri" w:hAnsi="Calibri"/>
          <w:b/>
          <w:color w:val="465C7A"/>
          <w:sz w:val="27"/>
        </w:rPr>
        <w:t>Detailed Analysis of Specific Hypothesis Tests</w:t>
      </w:r>
    </w:p>
    <w:p>
      <w:pPr>
        <w:spacing w:after="120" w:line="276" w:lineRule="auto"/>
      </w:pPr>
      <w:r>
        <w:rPr>
          <w:rFonts w:ascii="Calibri" w:hAnsi="Calibri"/>
          <w:color w:val="212529"/>
          <w:sz w:val="22"/>
        </w:rPr>
        <w:t>Test 1: Age vs. Income Group (RQ2a &amp; RQ2b)</w:t>
        <w:br/>
        <w:t>• Hypotheses: H0: mu_age(&lt;=50K) = mu_age(&gt;50K) versus H1: mu_age(&lt;=50K) != mu_age(&gt;50K).</w:t>
        <w:br/>
        <w:t>• Parametric Welch t-test: Because sample variances are heteroscedastic (SD_low = 14.02 vs SD_high = 10.52; F-test p &lt; 0.0001), Welch's degrees of freedom adjustment was applied (df = 17,406.1). The resulting t-statistic is 50.24 (p &lt; 0.0001). High earners average 44.25 years compared to 36.79 years for low earners—a difference of 7.46 years (95% CI [7.17, 7.75]). Cohen's d is 0.563, representing a moderate-to-large standardized effect size.</w:t>
        <w:br/>
        <w:t>• Non-Parametric Wilcoxon Rank-Sum Test: To protect against the mild right-skew of age, the Mann-Whitney test was conducted (W = 132,460,134, p &lt; 0.0001). The median age of high earners (44 years, IQR = 15) is 10 years higher than low earners (34 years, IQR = 21). The rank-biserial correlation is r = 0.368.</w:t>
        <w:br/>
        <w:t>• Conclusion: Null hypothesis H0 is decisively rejected. Age functions as a powerful proxy for career progression and accumulation of labor market experience.</w:t>
      </w:r>
    </w:p>
    <w:p>
      <w:pPr>
        <w:spacing w:before="160" w:after="60"/>
        <w:jc w:val="center"/>
      </w:pPr>
      <w:r>
        <w:drawing>
          <wp:inline xmlns:a="http://schemas.openxmlformats.org/drawingml/2006/main" xmlns:pic="http://schemas.openxmlformats.org/drawingml/2006/picture">
            <wp:extent cx="5303520" cy="3916446"/>
            <wp:docPr id="8" name="Picture 8"/>
            <wp:cNvGraphicFramePr>
              <a:graphicFrameLocks noChangeAspect="1"/>
            </wp:cNvGraphicFramePr>
            <a:graphic>
              <a:graphicData uri="http://schemas.openxmlformats.org/drawingml/2006/picture">
                <pic:pic>
                  <pic:nvPicPr>
                    <pic:cNvPr id="0" name="week3_age_by_income.png"/>
                    <pic:cNvPicPr/>
                  </pic:nvPicPr>
                  <pic:blipFill>
                    <a:blip r:embed="rId18"/>
                    <a:stretch>
                      <a:fillRect/>
                    </a:stretch>
                  </pic:blipFill>
                  <pic:spPr>
                    <a:xfrm>
                      <a:off x="0" y="0"/>
                      <a:ext cx="5303520" cy="3916446"/>
                    </a:xfrm>
                    <a:prstGeom prst="rect"/>
                  </pic:spPr>
                </pic:pic>
              </a:graphicData>
            </a:graphic>
          </wp:inline>
        </w:drawing>
      </w:r>
    </w:p>
    <w:p>
      <w:pPr>
        <w:spacing w:after="160"/>
        <w:jc w:val="center"/>
      </w:pPr>
      <w:r>
        <w:rPr>
          <w:b/>
          <w:color w:val="1B365D"/>
          <w:sz w:val="19"/>
        </w:rPr>
        <w:t xml:space="preserve">Figure 8: </w:t>
      </w:r>
      <w:r>
        <w:rPr>
          <w:b/>
          <w:color w:val="465C7A"/>
          <w:sz w:val="19"/>
        </w:rPr>
        <w:t xml:space="preserve">Age Distribution Comparison Across Income Groups. </w:t>
      </w:r>
      <w:r>
        <w:rPr>
          <w:i/>
          <w:color w:val="6C757D"/>
          <w:sz w:val="18"/>
        </w:rPr>
        <w:t>Boxplots and violin plots showing the substantial shift in age between income groups. Yellow diamonds indicate group arithmetic means.</w:t>
      </w:r>
    </w:p>
    <w:p>
      <w:pPr>
        <w:spacing w:after="120" w:line="276" w:lineRule="auto"/>
      </w:pPr>
      <w:r>
        <w:rPr>
          <w:rFonts w:ascii="Calibri" w:hAnsi="Calibri"/>
          <w:color w:val="212529"/>
          <w:sz w:val="22"/>
        </w:rPr>
        <w:t>Test 2: Weekly Hours vs. Income Group (RQ3a &amp; RQ3b)</w:t>
        <w:br/>
        <w:t>• Hypotheses: H0: mu_hours(&lt;=50K) = mu_hours(&gt;50K) versus H1: mu_hours(&lt;=50K) != mu_hours(&gt;50K).</w:t>
        <w:br/>
        <w:t>• Parametric Welch t-test: Welch t-statistic is 45.10 (df = 14,568.1, p &lt; 0.0001). Individuals earning &gt;$50,000 average 45.47 ± 11.01 hours per week, whereas lower earners average 38.84 ± 12.32 hours per week—a mean surplus of 6.63 hours/week (95% CI [6.34, 6.92]). Standardized effect size Cohen's d is 0.552.</w:t>
        <w:br/>
        <w:t>• Non-Parametric Wilcoxon Rank-Sum Test: Given the massive discrete spike at 40 hours, the Wilcoxon test confirms a significant positive rank shift (W = 130,106,292, p &lt; 0.0001, rank-biserial r = 0.344). While both groups share a median of 40 hours, the IQR of high earners spans into overtime (IQR = 10, Q3 = 50 hours), whereas low earners concentrate strictly at or below 40 hours.</w:t>
        <w:br/>
        <w:t>• Conclusion: Null hypothesis H0 is decisively rejected. High earnings require substantial labor supply commitments extending beyond standard 40-hour workweeks.</w:t>
      </w:r>
    </w:p>
    <w:p>
      <w:pPr>
        <w:spacing w:before="160" w:after="60"/>
        <w:jc w:val="center"/>
      </w:pPr>
      <w:r>
        <w:drawing>
          <wp:inline xmlns:a="http://schemas.openxmlformats.org/drawingml/2006/main" xmlns:pic="http://schemas.openxmlformats.org/drawingml/2006/picture">
            <wp:extent cx="5303520" cy="3916446"/>
            <wp:docPr id="9" name="Picture 9"/>
            <wp:cNvGraphicFramePr>
              <a:graphicFrameLocks noChangeAspect="1"/>
            </wp:cNvGraphicFramePr>
            <a:graphic>
              <a:graphicData uri="http://schemas.openxmlformats.org/drawingml/2006/picture">
                <pic:pic>
                  <pic:nvPicPr>
                    <pic:cNvPr id="0" name="week3_hours_by_income.png"/>
                    <pic:cNvPicPr/>
                  </pic:nvPicPr>
                  <pic:blipFill>
                    <a:blip r:embed="rId19"/>
                    <a:stretch>
                      <a:fillRect/>
                    </a:stretch>
                  </pic:blipFill>
                  <pic:spPr>
                    <a:xfrm>
                      <a:off x="0" y="0"/>
                      <a:ext cx="5303520" cy="3916446"/>
                    </a:xfrm>
                    <a:prstGeom prst="rect"/>
                  </pic:spPr>
                </pic:pic>
              </a:graphicData>
            </a:graphic>
          </wp:inline>
        </w:drawing>
      </w:r>
    </w:p>
    <w:p>
      <w:pPr>
        <w:spacing w:after="160"/>
        <w:jc w:val="center"/>
      </w:pPr>
      <w:r>
        <w:rPr>
          <w:b/>
          <w:color w:val="1B365D"/>
          <w:sz w:val="19"/>
        </w:rPr>
        <w:t xml:space="preserve">Figure 9: </w:t>
      </w:r>
      <w:r>
        <w:rPr>
          <w:b/>
          <w:color w:val="465C7A"/>
          <w:sz w:val="19"/>
        </w:rPr>
        <w:t xml:space="preserve">Weekly Working Hours Across Income Groups. </w:t>
      </w:r>
      <w:r>
        <w:rPr>
          <w:i/>
          <w:color w:val="6C757D"/>
          <w:sz w:val="18"/>
        </w:rPr>
        <w:t>Boxplots contrasting hours worked. High earners exhibit an upper quartile extending to 50 hours/week, reflecting overtime commitments.</w:t>
      </w:r>
    </w:p>
    <w:p>
      <w:pPr>
        <w:spacing w:after="120" w:line="276" w:lineRule="auto"/>
      </w:pPr>
      <w:r>
        <w:rPr>
          <w:rFonts w:ascii="Calibri" w:hAnsi="Calibri"/>
          <w:color w:val="212529"/>
          <w:sz w:val="22"/>
        </w:rPr>
        <w:t>Test 3: Education vs. Income Category (RQ1)</w:t>
        <w:br/>
        <w:t>• Hypotheses: H0: Educational attainment and income tier are independent versus H1: Education and income are associated.</w:t>
        <w:br/>
        <w:t>• Chi-Square Test of Independence: Evaluated across 16 education tiers (df = 15). Chi-square statistic is 4,428.40 (p &lt; 0.0001). Cochran's rule is satisfied: minimum expected cell count is 12.0 (well above the required threshold of 5.0), and 0% of cells have expected counts &lt; 5. Cramer's V is 0.369, indicating a substantial categorical association.</w:t>
        <w:br/>
        <w:t>• Conclusion: Null hypothesis H0 is rejected. High earnings are heavily concentrated among holders of Bachelor's (41.5% earn &gt;50K), Master's (55.7%), Doctorate (72.6%), and Professional school (73.4%) degrees, compared to only 15.8% of High School graduates.</w:t>
      </w:r>
    </w:p>
    <w:p>
      <w:pPr>
        <w:spacing w:before="160" w:after="60"/>
        <w:jc w:val="center"/>
      </w:pPr>
      <w:r>
        <w:drawing>
          <wp:inline xmlns:a="http://schemas.openxmlformats.org/drawingml/2006/main" xmlns:pic="http://schemas.openxmlformats.org/drawingml/2006/picture">
            <wp:extent cx="5303520" cy="3916446"/>
            <wp:docPr id="10" name="Picture 10"/>
            <wp:cNvGraphicFramePr>
              <a:graphicFrameLocks noChangeAspect="1"/>
            </wp:cNvGraphicFramePr>
            <a:graphic>
              <a:graphicData uri="http://schemas.openxmlformats.org/drawingml/2006/picture">
                <pic:pic>
                  <pic:nvPicPr>
                    <pic:cNvPr id="0" name="week3_education_by_income.png"/>
                    <pic:cNvPicPr/>
                  </pic:nvPicPr>
                  <pic:blipFill>
                    <a:blip r:embed="rId20"/>
                    <a:stretch>
                      <a:fillRect/>
                    </a:stretch>
                  </pic:blipFill>
                  <pic:spPr>
                    <a:xfrm>
                      <a:off x="0" y="0"/>
                      <a:ext cx="5303520" cy="3916446"/>
                    </a:xfrm>
                    <a:prstGeom prst="rect"/>
                  </pic:spPr>
                </pic:pic>
              </a:graphicData>
            </a:graphic>
          </wp:inline>
        </w:drawing>
      </w:r>
    </w:p>
    <w:p>
      <w:pPr>
        <w:spacing w:after="160"/>
        <w:jc w:val="center"/>
      </w:pPr>
      <w:r>
        <w:rPr>
          <w:b/>
          <w:color w:val="1B365D"/>
          <w:sz w:val="19"/>
        </w:rPr>
        <w:t xml:space="preserve">Figure 10: </w:t>
      </w:r>
      <w:r>
        <w:rPr>
          <w:b/>
          <w:color w:val="465C7A"/>
          <w:sz w:val="19"/>
        </w:rPr>
        <w:t xml:space="preserve">Educational Attainment by Income Category. </w:t>
      </w:r>
      <w:r>
        <w:rPr>
          <w:i/>
          <w:color w:val="6C757D"/>
          <w:sz w:val="18"/>
        </w:rPr>
        <w:t>Boxplots showing years of formal education across income groups. High earners possess a median of 12 years (Associate/Bachelor level) vs 9 years for low earners.</w:t>
      </w:r>
    </w:p>
    <w:p>
      <w:pPr>
        <w:spacing w:after="120" w:line="276" w:lineRule="auto"/>
      </w:pPr>
      <w:r>
        <w:rPr>
          <w:rFonts w:ascii="Calibri" w:hAnsi="Calibri"/>
          <w:color w:val="212529"/>
          <w:sz w:val="22"/>
        </w:rPr>
        <w:t>Test 4: Sector (Workclass) and Occupation vs. Income (RQ4a &amp; RQ4b)</w:t>
        <w:br/>
        <w:t>• Workclass Association: Chi-square = 922.35 (df = 7, p &lt; 0.0001, Cramer's V = 0.168). High earnings peak among incorporated self-employed workers (55.7% earn &gt;50K) and federal government employees (38.6%), while private sector workers earn &gt;50K at a 21.9% rate.</w:t>
        <w:br/>
        <w:t>• Occupation Association: Chi-square = 3,197.61 (df = 13, p &lt; 0.0001, Cramer's V = 0.314). Executive-Managerial (48.4% earn &gt;50K) and Professional Specialty (44.9% earn &gt;50K) dominate the upper tier, whereas Other Service (4.2%) and Handlers-Cleaners (6.3%) exhibit negligible high-earning representation.</w:t>
        <w:br/>
        <w:t>• Conclusion: Both sector and occupation are highly significant structural determinants of income.</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bottom w:val="none"/>
              <w:right w:val="none"/>
              <w:left w:val="single" w:sz="36" w:space="0" w:color="1B365D"/>
            </w:tcBorders>
          </w:tcPr>
          <w:p>
            <w:pPr>
              <w:spacing w:after="60"/>
            </w:pPr>
            <w:r>
              <w:rPr>
                <w:rFonts w:ascii="Calibri" w:hAnsi="Calibri"/>
                <w:b/>
                <w:color w:val="1B365D"/>
                <w:sz w:val="20"/>
              </w:rPr>
              <w:t xml:space="preserve">[P-VALUE VS. EFFECT SIZE SYNTHESIS] </w:t>
            </w:r>
            <w:r>
              <w:rPr>
                <w:rFonts w:ascii="Calibri" w:hAnsi="Calibri"/>
                <w:color w:val="212529"/>
                <w:sz w:val="20"/>
              </w:rPr>
              <w:t>Critical Methodological Reflection: With N = 32,537 observations, statistical power is extraordinarily high (beta approaches 0), enabling trivial differences to achieve p &lt; 0.0001. Therefore, effect sizes must drive practical interpretation. Education (Cramer's V = 0.369), Occupation (V = 0.314), Age (Cohen's d = 0.563), and Hours (d = 0.552) represent genuine substantive drivers of economic success, whereas sector (V = 0.168) exhibits a more modest influence.</w:t>
            </w:r>
          </w:p>
        </w:tc>
      </w:tr>
    </w:tbl>
    <w:p>
      <w:pPr>
        <w:spacing w:before="0" w:after="120"/>
      </w:pPr>
    </w:p>
    <w:p>
      <w:pPr>
        <w:pStyle w:val="Heading1"/>
        <w:keepNext/>
        <w:spacing w:before="360" w:after="120"/>
      </w:pPr>
      <w:r>
        <w:rPr>
          <w:rFonts w:ascii="Calibri" w:hAnsi="Calibri"/>
          <w:b/>
          <w:color w:val="1B365D"/>
          <w:sz w:val="34"/>
        </w:rPr>
        <w:t>Section 6: Predictive Classification Methodology &amp; Architecture</w:t>
      </w:r>
    </w:p>
    <w:p>
      <w:pPr>
        <w:spacing w:after="120" w:line="276" w:lineRule="auto"/>
      </w:pPr>
      <w:r>
        <w:rPr>
          <w:rFonts w:ascii="Calibri" w:hAnsi="Calibri"/>
          <w:color w:val="212529"/>
          <w:sz w:val="22"/>
        </w:rPr>
        <w:t>To operationalize the insights gained from exploratory and hypothesis-testing phases into a robust decision system, a binary classification architecture was engineered in R. The goal is to accurately predict the conditional probability P(Y = 1 | X), where Y = 1 denotes annual income &gt;$50,000 and X denotes the feature vector.</w:t>
      </w:r>
    </w:p>
    <w:p>
      <w:pPr>
        <w:spacing w:after="120" w:line="276" w:lineRule="auto"/>
      </w:pPr>
      <w:r>
        <w:rPr>
          <w:rFonts w:ascii="Calibri" w:hAnsi="Calibri"/>
          <w:b/>
          <w:color w:val="1B365D"/>
          <w:sz w:val="22"/>
        </w:rPr>
        <w:t xml:space="preserve">Core Engineering Decisions: </w:t>
      </w:r>
      <w:r>
        <w:rPr>
          <w:rFonts w:ascii="Calibri" w:hAnsi="Calibri"/>
          <w:color w:val="212529"/>
          <w:sz w:val="22"/>
        </w:rPr>
        <w:t>Methodological Pipeline Design:</w:t>
      </w:r>
    </w:p>
    <w:p>
      <w:pPr>
        <w:pStyle w:val="ListBullet"/>
        <w:spacing w:after="60" w:line="276" w:lineRule="auto"/>
      </w:pPr>
      <w:r>
        <w:rPr>
          <w:rFonts w:ascii="Calibri" w:hAnsi="Calibri"/>
          <w:b/>
          <w:color w:val="1B365D"/>
          <w:sz w:val="21"/>
        </w:rPr>
        <w:t xml:space="preserve">Stratified Train/Test Split: </w:t>
      </w:r>
      <w:r>
        <w:rPr>
          <w:rFonts w:ascii="Calibri" w:hAnsi="Calibri"/>
          <w:color w:val="212529"/>
          <w:sz w:val="21"/>
        </w:rPr>
        <w:t>Leakage Prevention &amp; Data Partitioning: The complete cleaned dataset (N = 32,537) was partitioned into an 80% training set (N_train = 26,029) and an untouched 20% holdout testing set (N_test = 6,508). Partitioning was stratified on the binary target `income` using random seed 2026. Exactly 75.91% of training cases earn &lt;=50K and 24.09% earn &gt;50K, perfectly matching test set proportions. The test set was locked and never consulted during model fitting, variable selection, or threshold tuning.</w:t>
      </w:r>
    </w:p>
    <w:p>
      <w:pPr>
        <w:pStyle w:val="ListBullet"/>
        <w:spacing w:after="60" w:line="276" w:lineRule="auto"/>
      </w:pPr>
      <w:r>
        <w:rPr>
          <w:rFonts w:ascii="Calibri" w:hAnsi="Calibri"/>
          <w:b/>
          <w:color w:val="1B365D"/>
          <w:sz w:val="21"/>
        </w:rPr>
        <w:t xml:space="preserve">5-Fold Cross-Validation: </w:t>
      </w:r>
      <w:r>
        <w:rPr>
          <w:rFonts w:ascii="Calibri" w:hAnsi="Calibri"/>
          <w:color w:val="212529"/>
          <w:sz w:val="21"/>
        </w:rPr>
        <w:t>Cross-Validation Protocol: To evaluate out-of-fold generalization, 5-fold stratified cross-validation was implemented across the 26,029 training observations. Each fold preserved exact 75.91% / 24.09% class proportions.</w:t>
      </w:r>
    </w:p>
    <w:p>
      <w:pPr>
        <w:pStyle w:val="ListBullet"/>
        <w:spacing w:after="60" w:line="276" w:lineRule="auto"/>
      </w:pPr>
      <w:r>
        <w:rPr>
          <w:rFonts w:ascii="Calibri" w:hAnsi="Calibri"/>
          <w:b/>
          <w:color w:val="1B365D"/>
          <w:sz w:val="21"/>
        </w:rPr>
        <w:t xml:space="preserve">Feature Matrix: </w:t>
      </w:r>
      <w:r>
        <w:rPr>
          <w:rFonts w:ascii="Calibri" w:hAnsi="Calibri"/>
          <w:color w:val="212529"/>
          <w:sz w:val="21"/>
        </w:rPr>
        <w:t>Predictor Feature Set: The predictor matrix incorporates 12 structural variables: `age`, `workclass` (8 levels), `education_num` (numeric years), `marital_status` (7 levels), `occupation` (14 levels), `relationship` (6 levels), `race` (5 levels), `sex` (2 levels), `capital_gain`, `capital_loss`, `hours_per_week`, and `native_region` (2 levels).</w:t>
      </w:r>
    </w:p>
    <w:tbl>
      <w:tblPr>
        <w:tblW w:type="auto" w:w="0"/>
        <w:jc w:val="center"/>
        <w:tblLayout w:type="fixed"/>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top w:val="single" w:sz="4" w:space="0" w:color="D0D7DE"/>
              <w:bottom w:val="single" w:sz="4" w:space="0" w:color="D0D7DE"/>
              <w:right w:val="single" w:sz="4" w:space="0" w:color="D0D7DE"/>
              <w:left w:val="single" w:sz="20" w:space="0" w:color="465C7A"/>
            </w:tcBorders>
          </w:tcPr>
          <w:p>
            <w:pPr>
              <w:spacing w:after="0" w:line="252" w:lineRule="auto"/>
            </w:pPr>
            <w:r>
              <w:rPr>
                <w:rFonts w:ascii="Consolas" w:hAnsi="Consolas"/>
                <w:color w:val="282C34"/>
                <w:sz w:val="18"/>
              </w:rPr>
              <w:t># R Excerpt: Stratified Split &amp; 5-Fold Cross-Validation Setup</w:t>
              <w:br/>
              <w:t>set.seed(2026)</w:t>
              <w:br/>
              <w:t>idx_0 &lt;- which(adult$target == 0)</w:t>
              <w:br/>
              <w:t>idx_1 &lt;- which(adult$target == 1)</w:t>
              <w:br/>
              <w:br/>
              <w:t>train_idx_0 &lt;- sample(idx_0, size = round(0.80 * length(idx_0)))</w:t>
              <w:br/>
              <w:t>train_idx_1 &lt;- sample(idx_1, size = round(0.80 * length(idx_1)))</w:t>
              <w:br/>
              <w:t>train_idx   &lt;- sort(c(train_idx_0, train_idx_1))</w:t>
              <w:br/>
              <w:t>test_idx    &lt;- setdiff(seq_len(nrow(adult)), train_idx)</w:t>
              <w:br/>
              <w:br/>
              <w:t>train_data &lt;- adult[train_idx, ] # N = 26,029</w:t>
              <w:br/>
              <w:t>test_data  &lt;- adult[test_idx, ]  # N = 6,508</w:t>
            </w:r>
          </w:p>
        </w:tc>
      </w:tr>
    </w:tbl>
    <w:p>
      <w:pPr>
        <w:spacing w:after="120"/>
      </w:pPr>
    </w:p>
    <w:p>
      <w:pPr>
        <w:pStyle w:val="Heading1"/>
        <w:keepNext/>
        <w:spacing w:before="360" w:after="120"/>
      </w:pPr>
      <w:r>
        <w:rPr>
          <w:rFonts w:ascii="Calibri" w:hAnsi="Calibri"/>
          <w:b/>
          <w:color w:val="1B365D"/>
          <w:sz w:val="34"/>
        </w:rPr>
        <w:t>Section 7: Baseline and Standard Logistic Regression Modeling</w:t>
      </w:r>
    </w:p>
    <w:p>
      <w:pPr>
        <w:spacing w:after="120" w:line="276" w:lineRule="auto"/>
      </w:pPr>
      <w:r>
        <w:rPr>
          <w:rFonts w:ascii="Calibri" w:hAnsi="Calibri"/>
          <w:color w:val="212529"/>
          <w:sz w:val="22"/>
        </w:rPr>
        <w:t>Prior to interpreting the multivariable model, a naive baseline classifier was established: predicting the majority class (&lt;=50K) for all instances. On the holdout test set (N = 6,508), this baseline yields an accuracy of 75.91%, but possesses a Sensitivity of 0.0%, Precision of 0.0%, F1-score of 0.0, and a non-informative ROC-AUC of 0.500. Any valid machine learning model must convincingly surpass this naive benchmark on both discrimination (AUC) and positive class identification (Sensitivity).</w:t>
      </w:r>
    </w:p>
    <w:p>
      <w:pPr>
        <w:spacing w:after="120" w:line="276" w:lineRule="auto"/>
      </w:pPr>
      <w:r>
        <w:rPr>
          <w:rFonts w:ascii="Calibri" w:hAnsi="Calibri"/>
          <w:color w:val="212529"/>
          <w:sz w:val="22"/>
        </w:rPr>
        <w:t>A full multivariable logistic regression model was fitted via maximum likelihood estimation (`glm(..., family = binomial(link = 'logit'))`) on the training partition. Table 5 presents the estimated regression coefficients, standard errors, Wald z-statistics, p-values, odds ratios (OR = exp(beta)), and 95% profile confidence intervals for key predictors:</w:t>
      </w:r>
    </w:p>
    <w:tbl>
      <w:tblPr>
        <w:tblW w:type="auto" w:w="0"/>
        <w:jc w:val="center"/>
        <w:tblLook w:firstColumn="1" w:firstRow="1" w:lastColumn="0" w:lastRow="0" w:noHBand="0" w:noVBand="1" w:val="04A0"/>
        <w:tblBorders>
          <w:top w:val="single" w:sz="6" w:space="0" w:color="D0D7DE"/>
          <w:bottom w:val="single" w:sz="8" w:space="0" w:color="D0D7DE"/>
          <w:insideH w:val="single" w:sz="4" w:space="0" w:color="D0D7DE"/>
          <w:insideV w:val="none"/>
          <w:left w:val="none"/>
          <w:right w:val="none"/>
        </w:tblBorders>
      </w:tblPr>
      <w:tblGrid>
        <w:gridCol w:w="1560"/>
        <w:gridCol w:w="1560"/>
        <w:gridCol w:w="1560"/>
        <w:gridCol w:w="1560"/>
        <w:gridCol w:w="1560"/>
        <w:gridCol w:w="1560"/>
      </w:tblGrid>
      <w:tr>
        <w:tc>
          <w:tcPr>
            <w:tcW w:type="dxa" w:w="2592"/>
            <w:shd w:fill="1B365D"/>
            <w:tcMar>
              <w:top w:w="120" w:type="dxa"/>
              <w:bottom w:w="120" w:type="dxa"/>
              <w:left w:w="120" w:type="dxa"/>
              <w:right w:w="120" w:type="dxa"/>
            </w:tcMar>
          </w:tcPr>
          <w:p>
            <w:pPr>
              <w:spacing w:after="0"/>
              <w:jc w:val="left"/>
            </w:pPr>
            <w:r>
              <w:rPr>
                <w:rFonts w:ascii="Calibri" w:hAnsi="Calibri"/>
                <w:b/>
                <w:color w:val="FFFFFF"/>
                <w:sz w:val="19"/>
              </w:rPr>
              <w:t>Model Predictor</w:t>
            </w:r>
          </w:p>
        </w:tc>
        <w:tc>
          <w:tcPr>
            <w:tcW w:type="dxa" w:w="1296"/>
            <w:shd w:fill="1B365D"/>
            <w:tcMar>
              <w:top w:w="120" w:type="dxa"/>
              <w:bottom w:w="120" w:type="dxa"/>
              <w:left w:w="120" w:type="dxa"/>
              <w:right w:w="120" w:type="dxa"/>
            </w:tcMar>
          </w:tcPr>
          <w:p>
            <w:pPr>
              <w:spacing w:after="0"/>
              <w:jc w:val="left"/>
            </w:pPr>
            <w:r>
              <w:rPr>
                <w:rFonts w:ascii="Calibri" w:hAnsi="Calibri"/>
                <w:b/>
                <w:color w:val="FFFFFF"/>
                <w:sz w:val="19"/>
              </w:rPr>
              <w:t>Odds Ratio (OR)</w:t>
            </w:r>
          </w:p>
        </w:tc>
        <w:tc>
          <w:tcPr>
            <w:tcW w:type="dxa" w:w="1152"/>
            <w:shd w:fill="1B365D"/>
            <w:tcMar>
              <w:top w:w="120" w:type="dxa"/>
              <w:bottom w:w="120" w:type="dxa"/>
              <w:left w:w="120" w:type="dxa"/>
              <w:right w:w="120" w:type="dxa"/>
            </w:tcMar>
          </w:tcPr>
          <w:p>
            <w:pPr>
              <w:spacing w:after="0"/>
              <w:jc w:val="left"/>
            </w:pPr>
            <w:r>
              <w:rPr>
                <w:rFonts w:ascii="Calibri" w:hAnsi="Calibri"/>
                <w:b/>
                <w:color w:val="FFFFFF"/>
                <w:sz w:val="19"/>
              </w:rPr>
              <w:t>95% CI Lower</w:t>
            </w:r>
          </w:p>
        </w:tc>
        <w:tc>
          <w:tcPr>
            <w:tcW w:type="dxa" w:w="1152"/>
            <w:shd w:fill="1B365D"/>
            <w:tcMar>
              <w:top w:w="120" w:type="dxa"/>
              <w:bottom w:w="120" w:type="dxa"/>
              <w:left w:w="120" w:type="dxa"/>
              <w:right w:w="120" w:type="dxa"/>
            </w:tcMar>
          </w:tcPr>
          <w:p>
            <w:pPr>
              <w:spacing w:after="0"/>
              <w:jc w:val="left"/>
            </w:pPr>
            <w:r>
              <w:rPr>
                <w:rFonts w:ascii="Calibri" w:hAnsi="Calibri"/>
                <w:b/>
                <w:color w:val="FFFFFF"/>
                <w:sz w:val="19"/>
              </w:rPr>
              <w:t>95% CI Upper</w:t>
            </w:r>
          </w:p>
        </w:tc>
        <w:tc>
          <w:tcPr>
            <w:tcW w:type="dxa" w:w="1008"/>
            <w:shd w:fill="1B365D"/>
            <w:tcMar>
              <w:top w:w="120" w:type="dxa"/>
              <w:bottom w:w="120" w:type="dxa"/>
              <w:left w:w="120" w:type="dxa"/>
              <w:right w:w="120" w:type="dxa"/>
            </w:tcMar>
          </w:tcPr>
          <w:p>
            <w:pPr>
              <w:spacing w:after="0"/>
              <w:jc w:val="left"/>
            </w:pPr>
            <w:r>
              <w:rPr>
                <w:rFonts w:ascii="Calibri" w:hAnsi="Calibri"/>
                <w:b/>
                <w:color w:val="FFFFFF"/>
                <w:sz w:val="19"/>
              </w:rPr>
              <w:t>p-value</w:t>
            </w:r>
          </w:p>
        </w:tc>
        <w:tc>
          <w:tcPr>
            <w:tcW w:type="dxa" w:w="2160"/>
            <w:shd w:fill="1B365D"/>
            <w:tcMar>
              <w:top w:w="120" w:type="dxa"/>
              <w:bottom w:w="120" w:type="dxa"/>
              <w:left w:w="120" w:type="dxa"/>
              <w:right w:w="120" w:type="dxa"/>
            </w:tcMar>
          </w:tcPr>
          <w:p>
            <w:pPr>
              <w:spacing w:after="0"/>
              <w:jc w:val="left"/>
            </w:pPr>
            <w:r>
              <w:rPr>
                <w:rFonts w:ascii="Calibri" w:hAnsi="Calibri"/>
                <w:b/>
                <w:color w:val="FFFFFF"/>
                <w:sz w:val="19"/>
              </w:rPr>
              <w:t>Directional Interpretation</w:t>
            </w:r>
          </w:p>
        </w:tc>
      </w:tr>
      <w:tr>
        <w:tc>
          <w:tcPr>
            <w:tcW w:type="dxa" w:w="2592"/>
            <w:shd w:fill="FFFFFF"/>
            <w:tcMar>
              <w:top w:w="80" w:type="dxa"/>
              <w:bottom w:w="80" w:type="dxa"/>
              <w:left w:w="120" w:type="dxa"/>
              <w:right w:w="120" w:type="dxa"/>
            </w:tcMar>
          </w:tcPr>
          <w:p>
            <w:pPr>
              <w:spacing w:after="0"/>
              <w:jc w:val="left"/>
            </w:pPr>
            <w:r>
              <w:rPr>
                <w:rFonts w:ascii="Calibri" w:hAnsi="Calibri"/>
                <w:b/>
                <w:color w:val="212529"/>
                <w:sz w:val="18"/>
              </w:rPr>
              <w:t>(Intercept)</w:t>
            </w:r>
          </w:p>
        </w:tc>
        <w:tc>
          <w:tcPr>
            <w:tcW w:type="dxa" w:w="1296"/>
            <w:shd w:fill="FFFFFF"/>
            <w:tcMar>
              <w:top w:w="80" w:type="dxa"/>
              <w:bottom w:w="80" w:type="dxa"/>
              <w:left w:w="120" w:type="dxa"/>
              <w:right w:w="120" w:type="dxa"/>
            </w:tcMar>
          </w:tcPr>
          <w:p>
            <w:pPr>
              <w:spacing w:after="0"/>
              <w:jc w:val="left"/>
            </w:pPr>
            <w:r>
              <w:rPr>
                <w:rFonts w:ascii="Calibri" w:hAnsi="Calibri"/>
                <w:b/>
                <w:color w:val="212529"/>
                <w:sz w:val="18"/>
              </w:rPr>
              <w:t>0.0001</w:t>
            </w:r>
          </w:p>
        </w:tc>
        <w:tc>
          <w:tcPr>
            <w:tcW w:type="dxa" w:w="1152"/>
            <w:shd w:fill="FFFFFF"/>
            <w:tcMar>
              <w:top w:w="80" w:type="dxa"/>
              <w:bottom w:w="80" w:type="dxa"/>
              <w:left w:w="120" w:type="dxa"/>
              <w:right w:w="120" w:type="dxa"/>
            </w:tcMar>
          </w:tcPr>
          <w:p>
            <w:pPr>
              <w:spacing w:after="0"/>
              <w:jc w:val="left"/>
            </w:pPr>
            <w:r>
              <w:rPr>
                <w:rFonts w:ascii="Calibri" w:hAnsi="Calibri"/>
                <w:b w:val="0"/>
                <w:color w:val="212529"/>
                <w:sz w:val="18"/>
              </w:rPr>
              <w:t>0.0000</w:t>
            </w:r>
          </w:p>
        </w:tc>
        <w:tc>
          <w:tcPr>
            <w:tcW w:type="dxa" w:w="1152"/>
            <w:shd w:fill="FFFFFF"/>
            <w:tcMar>
              <w:top w:w="80" w:type="dxa"/>
              <w:bottom w:w="80" w:type="dxa"/>
              <w:left w:w="120" w:type="dxa"/>
              <w:right w:w="120" w:type="dxa"/>
            </w:tcMar>
          </w:tcPr>
          <w:p>
            <w:pPr>
              <w:spacing w:after="0"/>
              <w:jc w:val="left"/>
            </w:pPr>
            <w:r>
              <w:rPr>
                <w:rFonts w:ascii="Calibri" w:hAnsi="Calibri"/>
                <w:b w:val="0"/>
                <w:color w:val="212529"/>
                <w:sz w:val="18"/>
              </w:rPr>
              <w:t>0.0002</w:t>
            </w:r>
          </w:p>
        </w:tc>
        <w:tc>
          <w:tcPr>
            <w:tcW w:type="dxa" w:w="1008"/>
            <w:shd w:fill="FFFFFF"/>
            <w:tcMar>
              <w:top w:w="80" w:type="dxa"/>
              <w:bottom w:w="80" w:type="dxa"/>
              <w:left w:w="120" w:type="dxa"/>
              <w:right w:w="120" w:type="dxa"/>
            </w:tcMar>
          </w:tcPr>
          <w:p>
            <w:pPr>
              <w:spacing w:after="0"/>
              <w:jc w:val="left"/>
            </w:pPr>
            <w:r>
              <w:rPr>
                <w:rFonts w:ascii="Calibri" w:hAnsi="Calibri"/>
                <w:b w:val="0"/>
                <w:color w:val="212529"/>
                <w:sz w:val="18"/>
              </w:rPr>
              <w:t>&lt; 1e-04</w:t>
            </w:r>
          </w:p>
        </w:tc>
        <w:tc>
          <w:tcPr>
            <w:tcW w:type="dxa" w:w="2160"/>
            <w:shd w:fill="FFFFFF"/>
            <w:tcMar>
              <w:top w:w="80" w:type="dxa"/>
              <w:bottom w:w="80" w:type="dxa"/>
              <w:left w:w="120" w:type="dxa"/>
              <w:right w:w="120" w:type="dxa"/>
            </w:tcMar>
          </w:tcPr>
          <w:p>
            <w:pPr>
              <w:spacing w:after="0"/>
              <w:jc w:val="left"/>
            </w:pPr>
            <w:r>
              <w:rPr>
                <w:rFonts w:ascii="Calibri" w:hAnsi="Calibri"/>
                <w:b w:val="0"/>
                <w:color w:val="212529"/>
                <w:sz w:val="18"/>
              </w:rPr>
              <w:t>Lower modeled odds of &gt;50K</w:t>
            </w:r>
          </w:p>
        </w:tc>
      </w:tr>
      <w:tr>
        <w:tc>
          <w:tcPr>
            <w:tcW w:type="dxa" w:w="2592"/>
            <w:shd w:fill="F9FAFB"/>
            <w:tcMar>
              <w:top w:w="80" w:type="dxa"/>
              <w:bottom w:w="80" w:type="dxa"/>
              <w:left w:w="120" w:type="dxa"/>
              <w:right w:w="120" w:type="dxa"/>
            </w:tcMar>
          </w:tcPr>
          <w:p>
            <w:pPr>
              <w:spacing w:after="0"/>
              <w:jc w:val="left"/>
            </w:pPr>
            <w:r>
              <w:rPr>
                <w:rFonts w:ascii="Calibri" w:hAnsi="Calibri"/>
                <w:b/>
                <w:color w:val="212529"/>
                <w:sz w:val="18"/>
              </w:rPr>
              <w:t>age</w:t>
            </w:r>
          </w:p>
        </w:tc>
        <w:tc>
          <w:tcPr>
            <w:tcW w:type="dxa" w:w="1296"/>
            <w:shd w:fill="F9FAFB"/>
            <w:tcMar>
              <w:top w:w="80" w:type="dxa"/>
              <w:bottom w:w="80" w:type="dxa"/>
              <w:left w:w="120" w:type="dxa"/>
              <w:right w:w="120" w:type="dxa"/>
            </w:tcMar>
          </w:tcPr>
          <w:p>
            <w:pPr>
              <w:spacing w:after="0"/>
              <w:jc w:val="left"/>
            </w:pPr>
            <w:r>
              <w:rPr>
                <w:rFonts w:ascii="Calibri" w:hAnsi="Calibri"/>
                <w:b/>
                <w:color w:val="212529"/>
                <w:sz w:val="18"/>
              </w:rPr>
              <w:t>1.0237</w:t>
            </w:r>
          </w:p>
        </w:tc>
        <w:tc>
          <w:tcPr>
            <w:tcW w:type="dxa" w:w="1152"/>
            <w:shd w:fill="F9FAFB"/>
            <w:tcMar>
              <w:top w:w="80" w:type="dxa"/>
              <w:bottom w:w="80" w:type="dxa"/>
              <w:left w:w="120" w:type="dxa"/>
              <w:right w:w="120" w:type="dxa"/>
            </w:tcMar>
          </w:tcPr>
          <w:p>
            <w:pPr>
              <w:spacing w:after="0"/>
              <w:jc w:val="left"/>
            </w:pPr>
            <w:r>
              <w:rPr>
                <w:rFonts w:ascii="Calibri" w:hAnsi="Calibri"/>
                <w:b w:val="0"/>
                <w:color w:val="212529"/>
                <w:sz w:val="18"/>
              </w:rPr>
              <w:t>1.0201</w:t>
            </w:r>
          </w:p>
        </w:tc>
        <w:tc>
          <w:tcPr>
            <w:tcW w:type="dxa" w:w="1152"/>
            <w:shd w:fill="F9FAFB"/>
            <w:tcMar>
              <w:top w:w="80" w:type="dxa"/>
              <w:bottom w:w="80" w:type="dxa"/>
              <w:left w:w="120" w:type="dxa"/>
              <w:right w:w="120" w:type="dxa"/>
            </w:tcMar>
          </w:tcPr>
          <w:p>
            <w:pPr>
              <w:spacing w:after="0"/>
              <w:jc w:val="left"/>
            </w:pPr>
            <w:r>
              <w:rPr>
                <w:rFonts w:ascii="Calibri" w:hAnsi="Calibri"/>
                <w:b w:val="0"/>
                <w:color w:val="212529"/>
                <w:sz w:val="18"/>
              </w:rPr>
              <w:t>1.0272</w:t>
            </w:r>
          </w:p>
        </w:tc>
        <w:tc>
          <w:tcPr>
            <w:tcW w:type="dxa" w:w="1008"/>
            <w:shd w:fill="F9FAFB"/>
            <w:tcMar>
              <w:top w:w="80" w:type="dxa"/>
              <w:bottom w:w="80" w:type="dxa"/>
              <w:left w:w="120" w:type="dxa"/>
              <w:right w:w="120" w:type="dxa"/>
            </w:tcMar>
          </w:tcPr>
          <w:p>
            <w:pPr>
              <w:spacing w:after="0"/>
              <w:jc w:val="left"/>
            </w:pPr>
            <w:r>
              <w:rPr>
                <w:rFonts w:ascii="Calibri" w:hAnsi="Calibri"/>
                <w:b w:val="0"/>
                <w:color w:val="212529"/>
                <w:sz w:val="18"/>
              </w:rPr>
              <w:t>&lt; 1e-04</w:t>
            </w:r>
          </w:p>
        </w:tc>
        <w:tc>
          <w:tcPr>
            <w:tcW w:type="dxa" w:w="2160"/>
            <w:shd w:fill="F9FAFB"/>
            <w:tcMar>
              <w:top w:w="80" w:type="dxa"/>
              <w:bottom w:w="80" w:type="dxa"/>
              <w:left w:w="120" w:type="dxa"/>
              <w:right w:w="120" w:type="dxa"/>
            </w:tcMar>
          </w:tcPr>
          <w:p>
            <w:pPr>
              <w:spacing w:after="0"/>
              <w:jc w:val="left"/>
            </w:pPr>
            <w:r>
              <w:rPr>
                <w:rFonts w:ascii="Calibri" w:hAnsi="Calibri"/>
                <w:b w:val="0"/>
                <w:color w:val="212529"/>
                <w:sz w:val="18"/>
              </w:rPr>
              <w:t>Higher modeled odds of &gt;50K</w:t>
            </w:r>
          </w:p>
        </w:tc>
      </w:tr>
      <w:tr>
        <w:tc>
          <w:tcPr>
            <w:tcW w:type="dxa" w:w="2592"/>
            <w:shd w:fill="FFFFFF"/>
            <w:tcMar>
              <w:top w:w="80" w:type="dxa"/>
              <w:bottom w:w="80" w:type="dxa"/>
              <w:left w:w="120" w:type="dxa"/>
              <w:right w:w="120" w:type="dxa"/>
            </w:tcMar>
          </w:tcPr>
          <w:p>
            <w:pPr>
              <w:spacing w:after="0"/>
              <w:jc w:val="left"/>
            </w:pPr>
            <w:r>
              <w:rPr>
                <w:rFonts w:ascii="Calibri" w:hAnsi="Calibri"/>
                <w:b/>
                <w:color w:val="212529"/>
                <w:sz w:val="18"/>
              </w:rPr>
              <w:t>workclassPrivate</w:t>
            </w:r>
          </w:p>
        </w:tc>
        <w:tc>
          <w:tcPr>
            <w:tcW w:type="dxa" w:w="1296"/>
            <w:shd w:fill="FFFFFF"/>
            <w:tcMar>
              <w:top w:w="80" w:type="dxa"/>
              <w:bottom w:w="80" w:type="dxa"/>
              <w:left w:w="120" w:type="dxa"/>
              <w:right w:w="120" w:type="dxa"/>
            </w:tcMar>
          </w:tcPr>
          <w:p>
            <w:pPr>
              <w:spacing w:after="0"/>
              <w:jc w:val="left"/>
            </w:pPr>
            <w:r>
              <w:rPr>
                <w:rFonts w:ascii="Calibri" w:hAnsi="Calibri"/>
                <w:b/>
                <w:color w:val="212529"/>
                <w:sz w:val="18"/>
              </w:rPr>
              <w:t>0.5495</w:t>
            </w:r>
          </w:p>
        </w:tc>
        <w:tc>
          <w:tcPr>
            <w:tcW w:type="dxa" w:w="1152"/>
            <w:shd w:fill="FFFFFF"/>
            <w:tcMar>
              <w:top w:w="80" w:type="dxa"/>
              <w:bottom w:w="80" w:type="dxa"/>
              <w:left w:w="120" w:type="dxa"/>
              <w:right w:w="120" w:type="dxa"/>
            </w:tcMar>
          </w:tcPr>
          <w:p>
            <w:pPr>
              <w:spacing w:after="0"/>
              <w:jc w:val="left"/>
            </w:pPr>
            <w:r>
              <w:rPr>
                <w:rFonts w:ascii="Calibri" w:hAnsi="Calibri"/>
                <w:b w:val="0"/>
                <w:color w:val="212529"/>
                <w:sz w:val="18"/>
              </w:rPr>
              <w:t>0.4481</w:t>
            </w:r>
          </w:p>
        </w:tc>
        <w:tc>
          <w:tcPr>
            <w:tcW w:type="dxa" w:w="1152"/>
            <w:shd w:fill="FFFFFF"/>
            <w:tcMar>
              <w:top w:w="80" w:type="dxa"/>
              <w:bottom w:w="80" w:type="dxa"/>
              <w:left w:w="120" w:type="dxa"/>
              <w:right w:w="120" w:type="dxa"/>
            </w:tcMar>
          </w:tcPr>
          <w:p>
            <w:pPr>
              <w:spacing w:after="0"/>
              <w:jc w:val="left"/>
            </w:pPr>
            <w:r>
              <w:rPr>
                <w:rFonts w:ascii="Calibri" w:hAnsi="Calibri"/>
                <w:b w:val="0"/>
                <w:color w:val="212529"/>
                <w:sz w:val="18"/>
              </w:rPr>
              <w:t>0.6740</w:t>
            </w:r>
          </w:p>
        </w:tc>
        <w:tc>
          <w:tcPr>
            <w:tcW w:type="dxa" w:w="1008"/>
            <w:shd w:fill="FFFFFF"/>
            <w:tcMar>
              <w:top w:w="80" w:type="dxa"/>
              <w:bottom w:w="80" w:type="dxa"/>
              <w:left w:w="120" w:type="dxa"/>
              <w:right w:w="120" w:type="dxa"/>
            </w:tcMar>
          </w:tcPr>
          <w:p>
            <w:pPr>
              <w:spacing w:after="0"/>
              <w:jc w:val="left"/>
            </w:pPr>
            <w:r>
              <w:rPr>
                <w:rFonts w:ascii="Calibri" w:hAnsi="Calibri"/>
                <w:b w:val="0"/>
                <w:color w:val="212529"/>
                <w:sz w:val="18"/>
              </w:rPr>
              <w:t>&lt; 1e-04</w:t>
            </w:r>
          </w:p>
        </w:tc>
        <w:tc>
          <w:tcPr>
            <w:tcW w:type="dxa" w:w="2160"/>
            <w:shd w:fill="FFFFFF"/>
            <w:tcMar>
              <w:top w:w="80" w:type="dxa"/>
              <w:bottom w:w="80" w:type="dxa"/>
              <w:left w:w="120" w:type="dxa"/>
              <w:right w:w="120" w:type="dxa"/>
            </w:tcMar>
          </w:tcPr>
          <w:p>
            <w:pPr>
              <w:spacing w:after="0"/>
              <w:jc w:val="left"/>
            </w:pPr>
            <w:r>
              <w:rPr>
                <w:rFonts w:ascii="Calibri" w:hAnsi="Calibri"/>
                <w:b w:val="0"/>
                <w:color w:val="212529"/>
                <w:sz w:val="18"/>
              </w:rPr>
              <w:t>Lower modeled odds of &gt;50K</w:t>
            </w:r>
          </w:p>
        </w:tc>
      </w:tr>
      <w:tr>
        <w:tc>
          <w:tcPr>
            <w:tcW w:type="dxa" w:w="2592"/>
            <w:shd w:fill="F9FAFB"/>
            <w:tcMar>
              <w:top w:w="80" w:type="dxa"/>
              <w:bottom w:w="80" w:type="dxa"/>
              <w:left w:w="120" w:type="dxa"/>
              <w:right w:w="120" w:type="dxa"/>
            </w:tcMar>
          </w:tcPr>
          <w:p>
            <w:pPr>
              <w:spacing w:after="0"/>
              <w:jc w:val="left"/>
            </w:pPr>
            <w:r>
              <w:rPr>
                <w:rFonts w:ascii="Calibri" w:hAnsi="Calibri"/>
                <w:b/>
                <w:color w:val="212529"/>
                <w:sz w:val="18"/>
              </w:rPr>
              <w:t>workclassSelf-emp-inc</w:t>
            </w:r>
          </w:p>
        </w:tc>
        <w:tc>
          <w:tcPr>
            <w:tcW w:type="dxa" w:w="1296"/>
            <w:shd w:fill="F9FAFB"/>
            <w:tcMar>
              <w:top w:w="80" w:type="dxa"/>
              <w:bottom w:w="80" w:type="dxa"/>
              <w:left w:w="120" w:type="dxa"/>
              <w:right w:w="120" w:type="dxa"/>
            </w:tcMar>
          </w:tcPr>
          <w:p>
            <w:pPr>
              <w:spacing w:after="0"/>
              <w:jc w:val="left"/>
            </w:pPr>
            <w:r>
              <w:rPr>
                <w:rFonts w:ascii="Calibri" w:hAnsi="Calibri"/>
                <w:b/>
                <w:color w:val="212529"/>
                <w:sz w:val="18"/>
              </w:rPr>
              <w:t>0.6695</w:t>
            </w:r>
          </w:p>
        </w:tc>
        <w:tc>
          <w:tcPr>
            <w:tcW w:type="dxa" w:w="1152"/>
            <w:shd w:fill="F9FAFB"/>
            <w:tcMar>
              <w:top w:w="80" w:type="dxa"/>
              <w:bottom w:w="80" w:type="dxa"/>
              <w:left w:w="120" w:type="dxa"/>
              <w:right w:w="120" w:type="dxa"/>
            </w:tcMar>
          </w:tcPr>
          <w:p>
            <w:pPr>
              <w:spacing w:after="0"/>
              <w:jc w:val="left"/>
            </w:pPr>
            <w:r>
              <w:rPr>
                <w:rFonts w:ascii="Calibri" w:hAnsi="Calibri"/>
                <w:b w:val="0"/>
                <w:color w:val="212529"/>
                <w:sz w:val="18"/>
              </w:rPr>
              <w:t>0.5120</w:t>
            </w:r>
          </w:p>
        </w:tc>
        <w:tc>
          <w:tcPr>
            <w:tcW w:type="dxa" w:w="1152"/>
            <w:shd w:fill="F9FAFB"/>
            <w:tcMar>
              <w:top w:w="80" w:type="dxa"/>
              <w:bottom w:w="80" w:type="dxa"/>
              <w:left w:w="120" w:type="dxa"/>
              <w:right w:w="120" w:type="dxa"/>
            </w:tcMar>
          </w:tcPr>
          <w:p>
            <w:pPr>
              <w:spacing w:after="0"/>
              <w:jc w:val="left"/>
            </w:pPr>
            <w:r>
              <w:rPr>
                <w:rFonts w:ascii="Calibri" w:hAnsi="Calibri"/>
                <w:b w:val="0"/>
                <w:color w:val="212529"/>
                <w:sz w:val="18"/>
              </w:rPr>
              <w:t>0.8755</w:t>
            </w:r>
          </w:p>
        </w:tc>
        <w:tc>
          <w:tcPr>
            <w:tcW w:type="dxa" w:w="1008"/>
            <w:shd w:fill="F9FAFB"/>
            <w:tcMar>
              <w:top w:w="80" w:type="dxa"/>
              <w:bottom w:w="80" w:type="dxa"/>
              <w:left w:w="120" w:type="dxa"/>
              <w:right w:w="120" w:type="dxa"/>
            </w:tcMar>
          </w:tcPr>
          <w:p>
            <w:pPr>
              <w:spacing w:after="0"/>
              <w:jc w:val="left"/>
            </w:pPr>
            <w:r>
              <w:rPr>
                <w:rFonts w:ascii="Calibri" w:hAnsi="Calibri"/>
                <w:b w:val="0"/>
                <w:color w:val="212529"/>
                <w:sz w:val="18"/>
              </w:rPr>
              <w:t>0.00337427</w:t>
            </w:r>
          </w:p>
        </w:tc>
        <w:tc>
          <w:tcPr>
            <w:tcW w:type="dxa" w:w="2160"/>
            <w:shd w:fill="F9FAFB"/>
            <w:tcMar>
              <w:top w:w="80" w:type="dxa"/>
              <w:bottom w:w="80" w:type="dxa"/>
              <w:left w:w="120" w:type="dxa"/>
              <w:right w:w="120" w:type="dxa"/>
            </w:tcMar>
          </w:tcPr>
          <w:p>
            <w:pPr>
              <w:spacing w:after="0"/>
              <w:jc w:val="left"/>
            </w:pPr>
            <w:r>
              <w:rPr>
                <w:rFonts w:ascii="Calibri" w:hAnsi="Calibri"/>
                <w:b w:val="0"/>
                <w:color w:val="212529"/>
                <w:sz w:val="18"/>
              </w:rPr>
              <w:t>Lower modeled odds of &gt;50K</w:t>
            </w:r>
          </w:p>
        </w:tc>
      </w:tr>
      <w:tr>
        <w:tc>
          <w:tcPr>
            <w:tcW w:type="dxa" w:w="2592"/>
            <w:shd w:fill="FFFFFF"/>
            <w:tcMar>
              <w:top w:w="80" w:type="dxa"/>
              <w:bottom w:w="80" w:type="dxa"/>
              <w:left w:w="120" w:type="dxa"/>
              <w:right w:w="120" w:type="dxa"/>
            </w:tcMar>
          </w:tcPr>
          <w:p>
            <w:pPr>
              <w:spacing w:after="0"/>
              <w:jc w:val="left"/>
            </w:pPr>
            <w:r>
              <w:rPr>
                <w:rFonts w:ascii="Calibri" w:hAnsi="Calibri"/>
                <w:b/>
                <w:color w:val="212529"/>
                <w:sz w:val="18"/>
              </w:rPr>
              <w:t>education_num</w:t>
            </w:r>
          </w:p>
        </w:tc>
        <w:tc>
          <w:tcPr>
            <w:tcW w:type="dxa" w:w="1296"/>
            <w:shd w:fill="FFFFFF"/>
            <w:tcMar>
              <w:top w:w="80" w:type="dxa"/>
              <w:bottom w:w="80" w:type="dxa"/>
              <w:left w:w="120" w:type="dxa"/>
              <w:right w:w="120" w:type="dxa"/>
            </w:tcMar>
          </w:tcPr>
          <w:p>
            <w:pPr>
              <w:spacing w:after="0"/>
              <w:jc w:val="left"/>
            </w:pPr>
            <w:r>
              <w:rPr>
                <w:rFonts w:ascii="Calibri" w:hAnsi="Calibri"/>
                <w:b/>
                <w:color w:val="212529"/>
                <w:sz w:val="18"/>
              </w:rPr>
              <w:t>1.3490</w:t>
            </w:r>
          </w:p>
        </w:tc>
        <w:tc>
          <w:tcPr>
            <w:tcW w:type="dxa" w:w="1152"/>
            <w:shd w:fill="FFFFFF"/>
            <w:tcMar>
              <w:top w:w="80" w:type="dxa"/>
              <w:bottom w:w="80" w:type="dxa"/>
              <w:left w:w="120" w:type="dxa"/>
              <w:right w:w="120" w:type="dxa"/>
            </w:tcMar>
          </w:tcPr>
          <w:p>
            <w:pPr>
              <w:spacing w:after="0"/>
              <w:jc w:val="left"/>
            </w:pPr>
            <w:r>
              <w:rPr>
                <w:rFonts w:ascii="Calibri" w:hAnsi="Calibri"/>
                <w:b w:val="0"/>
                <w:color w:val="212529"/>
                <w:sz w:val="18"/>
              </w:rPr>
              <w:t>1.3228</w:t>
            </w:r>
          </w:p>
        </w:tc>
        <w:tc>
          <w:tcPr>
            <w:tcW w:type="dxa" w:w="1152"/>
            <w:shd w:fill="FFFFFF"/>
            <w:tcMar>
              <w:top w:w="80" w:type="dxa"/>
              <w:bottom w:w="80" w:type="dxa"/>
              <w:left w:w="120" w:type="dxa"/>
              <w:right w:w="120" w:type="dxa"/>
            </w:tcMar>
          </w:tcPr>
          <w:p>
            <w:pPr>
              <w:spacing w:after="0"/>
              <w:jc w:val="left"/>
            </w:pPr>
            <w:r>
              <w:rPr>
                <w:rFonts w:ascii="Calibri" w:hAnsi="Calibri"/>
                <w:b w:val="0"/>
                <w:color w:val="212529"/>
                <w:sz w:val="18"/>
              </w:rPr>
              <w:t>1.3756</w:t>
            </w:r>
          </w:p>
        </w:tc>
        <w:tc>
          <w:tcPr>
            <w:tcW w:type="dxa" w:w="1008"/>
            <w:shd w:fill="FFFFFF"/>
            <w:tcMar>
              <w:top w:w="80" w:type="dxa"/>
              <w:bottom w:w="80" w:type="dxa"/>
              <w:left w:w="120" w:type="dxa"/>
              <w:right w:w="120" w:type="dxa"/>
            </w:tcMar>
          </w:tcPr>
          <w:p>
            <w:pPr>
              <w:spacing w:after="0"/>
              <w:jc w:val="left"/>
            </w:pPr>
            <w:r>
              <w:rPr>
                <w:rFonts w:ascii="Calibri" w:hAnsi="Calibri"/>
                <w:b w:val="0"/>
                <w:color w:val="212529"/>
                <w:sz w:val="18"/>
              </w:rPr>
              <w:t>&lt; 1e-04</w:t>
            </w:r>
          </w:p>
        </w:tc>
        <w:tc>
          <w:tcPr>
            <w:tcW w:type="dxa" w:w="2160"/>
            <w:shd w:fill="FFFFFF"/>
            <w:tcMar>
              <w:top w:w="80" w:type="dxa"/>
              <w:bottom w:w="80" w:type="dxa"/>
              <w:left w:w="120" w:type="dxa"/>
              <w:right w:w="120" w:type="dxa"/>
            </w:tcMar>
          </w:tcPr>
          <w:p>
            <w:pPr>
              <w:spacing w:after="0"/>
              <w:jc w:val="left"/>
            </w:pPr>
            <w:r>
              <w:rPr>
                <w:rFonts w:ascii="Calibri" w:hAnsi="Calibri"/>
                <w:b w:val="0"/>
                <w:color w:val="212529"/>
                <w:sz w:val="18"/>
              </w:rPr>
              <w:t>Higher modeled odds of &gt;50K</w:t>
            </w:r>
          </w:p>
        </w:tc>
      </w:tr>
      <w:tr>
        <w:tc>
          <w:tcPr>
            <w:tcW w:type="dxa" w:w="2592"/>
            <w:shd w:fill="F9FAFB"/>
            <w:tcMar>
              <w:top w:w="80" w:type="dxa"/>
              <w:bottom w:w="80" w:type="dxa"/>
              <w:left w:w="120" w:type="dxa"/>
              <w:right w:w="120" w:type="dxa"/>
            </w:tcMar>
          </w:tcPr>
          <w:p>
            <w:pPr>
              <w:spacing w:after="0"/>
              <w:jc w:val="left"/>
            </w:pPr>
            <w:r>
              <w:rPr>
                <w:rFonts w:ascii="Calibri" w:hAnsi="Calibri"/>
                <w:b/>
                <w:color w:val="212529"/>
                <w:sz w:val="18"/>
              </w:rPr>
              <w:t>marital_statusMarried-civ-spouse</w:t>
            </w:r>
          </w:p>
        </w:tc>
        <w:tc>
          <w:tcPr>
            <w:tcW w:type="dxa" w:w="1296"/>
            <w:shd w:fill="F9FAFB"/>
            <w:tcMar>
              <w:top w:w="80" w:type="dxa"/>
              <w:bottom w:w="80" w:type="dxa"/>
              <w:left w:w="120" w:type="dxa"/>
              <w:right w:w="120" w:type="dxa"/>
            </w:tcMar>
          </w:tcPr>
          <w:p>
            <w:pPr>
              <w:spacing w:after="0"/>
              <w:jc w:val="left"/>
            </w:pPr>
            <w:r>
              <w:rPr>
                <w:rFonts w:ascii="Calibri" w:hAnsi="Calibri"/>
                <w:b/>
                <w:color w:val="212529"/>
                <w:sz w:val="18"/>
              </w:rPr>
              <w:t>7.1641</w:t>
            </w:r>
          </w:p>
        </w:tc>
        <w:tc>
          <w:tcPr>
            <w:tcW w:type="dxa" w:w="1152"/>
            <w:shd w:fill="F9FAFB"/>
            <w:tcMar>
              <w:top w:w="80" w:type="dxa"/>
              <w:bottom w:w="80" w:type="dxa"/>
              <w:left w:w="120" w:type="dxa"/>
              <w:right w:w="120" w:type="dxa"/>
            </w:tcMar>
          </w:tcPr>
          <w:p>
            <w:pPr>
              <w:spacing w:after="0"/>
              <w:jc w:val="left"/>
            </w:pPr>
            <w:r>
              <w:rPr>
                <w:rFonts w:ascii="Calibri" w:hAnsi="Calibri"/>
                <w:b w:val="0"/>
                <w:color w:val="212529"/>
                <w:sz w:val="18"/>
              </w:rPr>
              <w:t>3.8836</w:t>
            </w:r>
          </w:p>
        </w:tc>
        <w:tc>
          <w:tcPr>
            <w:tcW w:type="dxa" w:w="1152"/>
            <w:shd w:fill="F9FAFB"/>
            <w:tcMar>
              <w:top w:w="80" w:type="dxa"/>
              <w:bottom w:w="80" w:type="dxa"/>
              <w:left w:w="120" w:type="dxa"/>
              <w:right w:w="120" w:type="dxa"/>
            </w:tcMar>
          </w:tcPr>
          <w:p>
            <w:pPr>
              <w:spacing w:after="0"/>
              <w:jc w:val="left"/>
            </w:pPr>
            <w:r>
              <w:rPr>
                <w:rFonts w:ascii="Calibri" w:hAnsi="Calibri"/>
                <w:b w:val="0"/>
                <w:color w:val="212529"/>
                <w:sz w:val="18"/>
              </w:rPr>
              <w:t>13.2158</w:t>
            </w:r>
          </w:p>
        </w:tc>
        <w:tc>
          <w:tcPr>
            <w:tcW w:type="dxa" w:w="1008"/>
            <w:shd w:fill="F9FAFB"/>
            <w:tcMar>
              <w:top w:w="80" w:type="dxa"/>
              <w:bottom w:w="80" w:type="dxa"/>
              <w:left w:w="120" w:type="dxa"/>
              <w:right w:w="120" w:type="dxa"/>
            </w:tcMar>
          </w:tcPr>
          <w:p>
            <w:pPr>
              <w:spacing w:after="0"/>
              <w:jc w:val="left"/>
            </w:pPr>
            <w:r>
              <w:rPr>
                <w:rFonts w:ascii="Calibri" w:hAnsi="Calibri"/>
                <w:b w:val="0"/>
                <w:color w:val="212529"/>
                <w:sz w:val="18"/>
              </w:rPr>
              <w:t>&lt; 1e-04</w:t>
            </w:r>
          </w:p>
        </w:tc>
        <w:tc>
          <w:tcPr>
            <w:tcW w:type="dxa" w:w="2160"/>
            <w:shd w:fill="F9FAFB"/>
            <w:tcMar>
              <w:top w:w="80" w:type="dxa"/>
              <w:bottom w:w="80" w:type="dxa"/>
              <w:left w:w="120" w:type="dxa"/>
              <w:right w:w="120" w:type="dxa"/>
            </w:tcMar>
          </w:tcPr>
          <w:p>
            <w:pPr>
              <w:spacing w:after="0"/>
              <w:jc w:val="left"/>
            </w:pPr>
            <w:r>
              <w:rPr>
                <w:rFonts w:ascii="Calibri" w:hAnsi="Calibri"/>
                <w:b w:val="0"/>
                <w:color w:val="212529"/>
                <w:sz w:val="18"/>
              </w:rPr>
              <w:t>Higher modeled odds of &gt;50K</w:t>
            </w:r>
          </w:p>
        </w:tc>
      </w:tr>
      <w:tr>
        <w:tc>
          <w:tcPr>
            <w:tcW w:type="dxa" w:w="2592"/>
            <w:shd w:fill="FFFFFF"/>
            <w:tcMar>
              <w:top w:w="80" w:type="dxa"/>
              <w:bottom w:w="80" w:type="dxa"/>
              <w:left w:w="120" w:type="dxa"/>
              <w:right w:w="120" w:type="dxa"/>
            </w:tcMar>
          </w:tcPr>
          <w:p>
            <w:pPr>
              <w:spacing w:after="0"/>
              <w:jc w:val="left"/>
            </w:pPr>
            <w:r>
              <w:rPr>
                <w:rFonts w:ascii="Calibri" w:hAnsi="Calibri"/>
                <w:b/>
                <w:color w:val="212529"/>
                <w:sz w:val="18"/>
              </w:rPr>
              <w:t>marital_statusNever-married</w:t>
            </w:r>
          </w:p>
        </w:tc>
        <w:tc>
          <w:tcPr>
            <w:tcW w:type="dxa" w:w="1296"/>
            <w:shd w:fill="FFFFFF"/>
            <w:tcMar>
              <w:top w:w="80" w:type="dxa"/>
              <w:bottom w:w="80" w:type="dxa"/>
              <w:left w:w="120" w:type="dxa"/>
              <w:right w:w="120" w:type="dxa"/>
            </w:tcMar>
          </w:tcPr>
          <w:p>
            <w:pPr>
              <w:spacing w:after="0"/>
              <w:jc w:val="left"/>
            </w:pPr>
            <w:r>
              <w:rPr>
                <w:rFonts w:ascii="Calibri" w:hAnsi="Calibri"/>
                <w:b/>
                <w:color w:val="212529"/>
                <w:sz w:val="18"/>
              </w:rPr>
              <w:t>0.6468</w:t>
            </w:r>
          </w:p>
        </w:tc>
        <w:tc>
          <w:tcPr>
            <w:tcW w:type="dxa" w:w="1152"/>
            <w:shd w:fill="FFFFFF"/>
            <w:tcMar>
              <w:top w:w="80" w:type="dxa"/>
              <w:bottom w:w="80" w:type="dxa"/>
              <w:left w:w="120" w:type="dxa"/>
              <w:right w:w="120" w:type="dxa"/>
            </w:tcMar>
          </w:tcPr>
          <w:p>
            <w:pPr>
              <w:spacing w:after="0"/>
              <w:jc w:val="left"/>
            </w:pPr>
            <w:r>
              <w:rPr>
                <w:rFonts w:ascii="Calibri" w:hAnsi="Calibri"/>
                <w:b w:val="0"/>
                <w:color w:val="212529"/>
                <w:sz w:val="18"/>
              </w:rPr>
              <w:t>0.5347</w:t>
            </w:r>
          </w:p>
        </w:tc>
        <w:tc>
          <w:tcPr>
            <w:tcW w:type="dxa" w:w="1152"/>
            <w:shd w:fill="FFFFFF"/>
            <w:tcMar>
              <w:top w:w="80" w:type="dxa"/>
              <w:bottom w:w="80" w:type="dxa"/>
              <w:left w:w="120" w:type="dxa"/>
              <w:right w:w="120" w:type="dxa"/>
            </w:tcMar>
          </w:tcPr>
          <w:p>
            <w:pPr>
              <w:spacing w:after="0"/>
              <w:jc w:val="left"/>
            </w:pPr>
            <w:r>
              <w:rPr>
                <w:rFonts w:ascii="Calibri" w:hAnsi="Calibri"/>
                <w:b w:val="0"/>
                <w:color w:val="212529"/>
                <w:sz w:val="18"/>
              </w:rPr>
              <w:t>0.7823</w:t>
            </w:r>
          </w:p>
        </w:tc>
        <w:tc>
          <w:tcPr>
            <w:tcW w:type="dxa" w:w="1008"/>
            <w:shd w:fill="FFFFFF"/>
            <w:tcMar>
              <w:top w:w="80" w:type="dxa"/>
              <w:bottom w:w="80" w:type="dxa"/>
              <w:left w:w="120" w:type="dxa"/>
              <w:right w:w="120" w:type="dxa"/>
            </w:tcMar>
          </w:tcPr>
          <w:p>
            <w:pPr>
              <w:spacing w:after="0"/>
              <w:jc w:val="left"/>
            </w:pPr>
            <w:r>
              <w:rPr>
                <w:rFonts w:ascii="Calibri" w:hAnsi="Calibri"/>
                <w:b w:val="0"/>
                <w:color w:val="212529"/>
                <w:sz w:val="18"/>
              </w:rPr>
              <w:t>&lt; 1e-04</w:t>
            </w:r>
          </w:p>
        </w:tc>
        <w:tc>
          <w:tcPr>
            <w:tcW w:type="dxa" w:w="2160"/>
            <w:shd w:fill="FFFFFF"/>
            <w:tcMar>
              <w:top w:w="80" w:type="dxa"/>
              <w:bottom w:w="80" w:type="dxa"/>
              <w:left w:w="120" w:type="dxa"/>
              <w:right w:w="120" w:type="dxa"/>
            </w:tcMar>
          </w:tcPr>
          <w:p>
            <w:pPr>
              <w:spacing w:after="0"/>
              <w:jc w:val="left"/>
            </w:pPr>
            <w:r>
              <w:rPr>
                <w:rFonts w:ascii="Calibri" w:hAnsi="Calibri"/>
                <w:b w:val="0"/>
                <w:color w:val="212529"/>
                <w:sz w:val="18"/>
              </w:rPr>
              <w:t>Lower modeled odds of &gt;50K</w:t>
            </w:r>
          </w:p>
        </w:tc>
      </w:tr>
      <w:tr>
        <w:tc>
          <w:tcPr>
            <w:tcW w:type="dxa" w:w="2592"/>
            <w:shd w:fill="F9FAFB"/>
            <w:tcMar>
              <w:top w:w="80" w:type="dxa"/>
              <w:bottom w:w="80" w:type="dxa"/>
              <w:left w:w="120" w:type="dxa"/>
              <w:right w:w="120" w:type="dxa"/>
            </w:tcMar>
          </w:tcPr>
          <w:p>
            <w:pPr>
              <w:spacing w:after="0"/>
              <w:jc w:val="left"/>
            </w:pPr>
            <w:r>
              <w:rPr>
                <w:rFonts w:ascii="Calibri" w:hAnsi="Calibri"/>
                <w:b/>
                <w:color w:val="212529"/>
                <w:sz w:val="18"/>
              </w:rPr>
              <w:t>occupationExec-managerial</w:t>
            </w:r>
          </w:p>
        </w:tc>
        <w:tc>
          <w:tcPr>
            <w:tcW w:type="dxa" w:w="1296"/>
            <w:shd w:fill="F9FAFB"/>
            <w:tcMar>
              <w:top w:w="80" w:type="dxa"/>
              <w:bottom w:w="80" w:type="dxa"/>
              <w:left w:w="120" w:type="dxa"/>
              <w:right w:w="120" w:type="dxa"/>
            </w:tcMar>
          </w:tcPr>
          <w:p>
            <w:pPr>
              <w:spacing w:after="0"/>
              <w:jc w:val="left"/>
            </w:pPr>
            <w:r>
              <w:rPr>
                <w:rFonts w:ascii="Calibri" w:hAnsi="Calibri"/>
                <w:b/>
                <w:color w:val="212529"/>
                <w:sz w:val="18"/>
              </w:rPr>
              <w:t>2.0953</w:t>
            </w:r>
          </w:p>
        </w:tc>
        <w:tc>
          <w:tcPr>
            <w:tcW w:type="dxa" w:w="1152"/>
            <w:shd w:fill="F9FAFB"/>
            <w:tcMar>
              <w:top w:w="80" w:type="dxa"/>
              <w:bottom w:w="80" w:type="dxa"/>
              <w:left w:w="120" w:type="dxa"/>
              <w:right w:w="120" w:type="dxa"/>
            </w:tcMar>
          </w:tcPr>
          <w:p>
            <w:pPr>
              <w:spacing w:after="0"/>
              <w:jc w:val="left"/>
            </w:pPr>
            <w:r>
              <w:rPr>
                <w:rFonts w:ascii="Calibri" w:hAnsi="Calibri"/>
                <w:b w:val="0"/>
                <w:color w:val="212529"/>
                <w:sz w:val="18"/>
              </w:rPr>
              <w:t>1.7735</w:t>
            </w:r>
          </w:p>
        </w:tc>
        <w:tc>
          <w:tcPr>
            <w:tcW w:type="dxa" w:w="1152"/>
            <w:shd w:fill="F9FAFB"/>
            <w:tcMar>
              <w:top w:w="80" w:type="dxa"/>
              <w:bottom w:w="80" w:type="dxa"/>
              <w:left w:w="120" w:type="dxa"/>
              <w:right w:w="120" w:type="dxa"/>
            </w:tcMar>
          </w:tcPr>
          <w:p>
            <w:pPr>
              <w:spacing w:after="0"/>
              <w:jc w:val="left"/>
            </w:pPr>
            <w:r>
              <w:rPr>
                <w:rFonts w:ascii="Calibri" w:hAnsi="Calibri"/>
                <w:b w:val="0"/>
                <w:color w:val="212529"/>
                <w:sz w:val="18"/>
              </w:rPr>
              <w:t>2.4755</w:t>
            </w:r>
          </w:p>
        </w:tc>
        <w:tc>
          <w:tcPr>
            <w:tcW w:type="dxa" w:w="1008"/>
            <w:shd w:fill="F9FAFB"/>
            <w:tcMar>
              <w:top w:w="80" w:type="dxa"/>
              <w:bottom w:w="80" w:type="dxa"/>
              <w:left w:w="120" w:type="dxa"/>
              <w:right w:w="120" w:type="dxa"/>
            </w:tcMar>
          </w:tcPr>
          <w:p>
            <w:pPr>
              <w:spacing w:after="0"/>
              <w:jc w:val="left"/>
            </w:pPr>
            <w:r>
              <w:rPr>
                <w:rFonts w:ascii="Calibri" w:hAnsi="Calibri"/>
                <w:b w:val="0"/>
                <w:color w:val="212529"/>
                <w:sz w:val="18"/>
              </w:rPr>
              <w:t>&lt; 1e-04</w:t>
            </w:r>
          </w:p>
        </w:tc>
        <w:tc>
          <w:tcPr>
            <w:tcW w:type="dxa" w:w="2160"/>
            <w:shd w:fill="F9FAFB"/>
            <w:tcMar>
              <w:top w:w="80" w:type="dxa"/>
              <w:bottom w:w="80" w:type="dxa"/>
              <w:left w:w="120" w:type="dxa"/>
              <w:right w:w="120" w:type="dxa"/>
            </w:tcMar>
          </w:tcPr>
          <w:p>
            <w:pPr>
              <w:spacing w:after="0"/>
              <w:jc w:val="left"/>
            </w:pPr>
            <w:r>
              <w:rPr>
                <w:rFonts w:ascii="Calibri" w:hAnsi="Calibri"/>
                <w:b w:val="0"/>
                <w:color w:val="212529"/>
                <w:sz w:val="18"/>
              </w:rPr>
              <w:t>Higher modeled odds of &gt;50K</w:t>
            </w:r>
          </w:p>
        </w:tc>
      </w:tr>
      <w:tr>
        <w:tc>
          <w:tcPr>
            <w:tcW w:type="dxa" w:w="2592"/>
            <w:shd w:fill="FFFFFF"/>
            <w:tcMar>
              <w:top w:w="80" w:type="dxa"/>
              <w:bottom w:w="80" w:type="dxa"/>
              <w:left w:w="120" w:type="dxa"/>
              <w:right w:w="120" w:type="dxa"/>
            </w:tcMar>
          </w:tcPr>
          <w:p>
            <w:pPr>
              <w:spacing w:after="0"/>
              <w:jc w:val="left"/>
            </w:pPr>
            <w:r>
              <w:rPr>
                <w:rFonts w:ascii="Calibri" w:hAnsi="Calibri"/>
                <w:b/>
                <w:color w:val="212529"/>
                <w:sz w:val="18"/>
              </w:rPr>
              <w:t>occupationOther-service</w:t>
            </w:r>
          </w:p>
        </w:tc>
        <w:tc>
          <w:tcPr>
            <w:tcW w:type="dxa" w:w="1296"/>
            <w:shd w:fill="FFFFFF"/>
            <w:tcMar>
              <w:top w:w="80" w:type="dxa"/>
              <w:bottom w:w="80" w:type="dxa"/>
              <w:left w:w="120" w:type="dxa"/>
              <w:right w:w="120" w:type="dxa"/>
            </w:tcMar>
          </w:tcPr>
          <w:p>
            <w:pPr>
              <w:spacing w:after="0"/>
              <w:jc w:val="left"/>
            </w:pPr>
            <w:r>
              <w:rPr>
                <w:rFonts w:ascii="Calibri" w:hAnsi="Calibri"/>
                <w:b/>
                <w:color w:val="212529"/>
                <w:sz w:val="18"/>
              </w:rPr>
              <w:t>0.4480</w:t>
            </w:r>
          </w:p>
        </w:tc>
        <w:tc>
          <w:tcPr>
            <w:tcW w:type="dxa" w:w="1152"/>
            <w:shd w:fill="FFFFFF"/>
            <w:tcMar>
              <w:top w:w="80" w:type="dxa"/>
              <w:bottom w:w="80" w:type="dxa"/>
              <w:left w:w="120" w:type="dxa"/>
              <w:right w:w="120" w:type="dxa"/>
            </w:tcMar>
          </w:tcPr>
          <w:p>
            <w:pPr>
              <w:spacing w:after="0"/>
              <w:jc w:val="left"/>
            </w:pPr>
            <w:r>
              <w:rPr>
                <w:rFonts w:ascii="Calibri" w:hAnsi="Calibri"/>
                <w:b w:val="0"/>
                <w:color w:val="212529"/>
                <w:sz w:val="18"/>
              </w:rPr>
              <w:t>0.3471</w:t>
            </w:r>
          </w:p>
        </w:tc>
        <w:tc>
          <w:tcPr>
            <w:tcW w:type="dxa" w:w="1152"/>
            <w:shd w:fill="FFFFFF"/>
            <w:tcMar>
              <w:top w:w="80" w:type="dxa"/>
              <w:bottom w:w="80" w:type="dxa"/>
              <w:left w:w="120" w:type="dxa"/>
              <w:right w:w="120" w:type="dxa"/>
            </w:tcMar>
          </w:tcPr>
          <w:p>
            <w:pPr>
              <w:spacing w:after="0"/>
              <w:jc w:val="left"/>
            </w:pPr>
            <w:r>
              <w:rPr>
                <w:rFonts w:ascii="Calibri" w:hAnsi="Calibri"/>
                <w:b w:val="0"/>
                <w:color w:val="212529"/>
                <w:sz w:val="18"/>
              </w:rPr>
              <w:t>0.5782</w:t>
            </w:r>
          </w:p>
        </w:tc>
        <w:tc>
          <w:tcPr>
            <w:tcW w:type="dxa" w:w="1008"/>
            <w:shd w:fill="FFFFFF"/>
            <w:tcMar>
              <w:top w:w="80" w:type="dxa"/>
              <w:bottom w:w="80" w:type="dxa"/>
              <w:left w:w="120" w:type="dxa"/>
              <w:right w:w="120" w:type="dxa"/>
            </w:tcMar>
          </w:tcPr>
          <w:p>
            <w:pPr>
              <w:spacing w:after="0"/>
              <w:jc w:val="left"/>
            </w:pPr>
            <w:r>
              <w:rPr>
                <w:rFonts w:ascii="Calibri" w:hAnsi="Calibri"/>
                <w:b w:val="0"/>
                <w:color w:val="212529"/>
                <w:sz w:val="18"/>
              </w:rPr>
              <w:t>&lt; 1e-04</w:t>
            </w:r>
          </w:p>
        </w:tc>
        <w:tc>
          <w:tcPr>
            <w:tcW w:type="dxa" w:w="2160"/>
            <w:shd w:fill="FFFFFF"/>
            <w:tcMar>
              <w:top w:w="80" w:type="dxa"/>
              <w:bottom w:w="80" w:type="dxa"/>
              <w:left w:w="120" w:type="dxa"/>
              <w:right w:w="120" w:type="dxa"/>
            </w:tcMar>
          </w:tcPr>
          <w:p>
            <w:pPr>
              <w:spacing w:after="0"/>
              <w:jc w:val="left"/>
            </w:pPr>
            <w:r>
              <w:rPr>
                <w:rFonts w:ascii="Calibri" w:hAnsi="Calibri"/>
                <w:b w:val="0"/>
                <w:color w:val="212529"/>
                <w:sz w:val="18"/>
              </w:rPr>
              <w:t>Lower modeled odds of &gt;50K</w:t>
            </w:r>
          </w:p>
        </w:tc>
      </w:tr>
      <w:tr>
        <w:tc>
          <w:tcPr>
            <w:tcW w:type="dxa" w:w="2592"/>
            <w:shd w:fill="F9FAFB"/>
            <w:tcMar>
              <w:top w:w="80" w:type="dxa"/>
              <w:bottom w:w="80" w:type="dxa"/>
              <w:left w:w="120" w:type="dxa"/>
              <w:right w:w="120" w:type="dxa"/>
            </w:tcMar>
          </w:tcPr>
          <w:p>
            <w:pPr>
              <w:spacing w:after="0"/>
              <w:jc w:val="left"/>
            </w:pPr>
            <w:r>
              <w:rPr>
                <w:rFonts w:ascii="Calibri" w:hAnsi="Calibri"/>
                <w:b/>
                <w:color w:val="212529"/>
                <w:sz w:val="18"/>
              </w:rPr>
              <w:t>occupationProf-specialty</w:t>
            </w:r>
          </w:p>
        </w:tc>
        <w:tc>
          <w:tcPr>
            <w:tcW w:type="dxa" w:w="1296"/>
            <w:shd w:fill="F9FAFB"/>
            <w:tcMar>
              <w:top w:w="80" w:type="dxa"/>
              <w:bottom w:w="80" w:type="dxa"/>
              <w:left w:w="120" w:type="dxa"/>
              <w:right w:w="120" w:type="dxa"/>
            </w:tcMar>
          </w:tcPr>
          <w:p>
            <w:pPr>
              <w:spacing w:after="0"/>
              <w:jc w:val="left"/>
            </w:pPr>
            <w:r>
              <w:rPr>
                <w:rFonts w:ascii="Calibri" w:hAnsi="Calibri"/>
                <w:b/>
                <w:color w:val="212529"/>
                <w:sz w:val="18"/>
              </w:rPr>
              <w:t>1.3073</w:t>
            </w:r>
          </w:p>
        </w:tc>
        <w:tc>
          <w:tcPr>
            <w:tcW w:type="dxa" w:w="1152"/>
            <w:shd w:fill="F9FAFB"/>
            <w:tcMar>
              <w:top w:w="80" w:type="dxa"/>
              <w:bottom w:w="80" w:type="dxa"/>
              <w:left w:w="120" w:type="dxa"/>
              <w:right w:w="120" w:type="dxa"/>
            </w:tcMar>
          </w:tcPr>
          <w:p>
            <w:pPr>
              <w:spacing w:after="0"/>
              <w:jc w:val="left"/>
            </w:pPr>
            <w:r>
              <w:rPr>
                <w:rFonts w:ascii="Calibri" w:hAnsi="Calibri"/>
                <w:b w:val="0"/>
                <w:color w:val="212529"/>
                <w:sz w:val="18"/>
              </w:rPr>
              <w:t>1.1095</w:t>
            </w:r>
          </w:p>
        </w:tc>
        <w:tc>
          <w:tcPr>
            <w:tcW w:type="dxa" w:w="1152"/>
            <w:shd w:fill="F9FAFB"/>
            <w:tcMar>
              <w:top w:w="80" w:type="dxa"/>
              <w:bottom w:w="80" w:type="dxa"/>
              <w:left w:w="120" w:type="dxa"/>
              <w:right w:w="120" w:type="dxa"/>
            </w:tcMar>
          </w:tcPr>
          <w:p>
            <w:pPr>
              <w:spacing w:after="0"/>
              <w:jc w:val="left"/>
            </w:pPr>
            <w:r>
              <w:rPr>
                <w:rFonts w:ascii="Calibri" w:hAnsi="Calibri"/>
                <w:b w:val="0"/>
                <w:color w:val="212529"/>
                <w:sz w:val="18"/>
              </w:rPr>
              <w:t>1.5403</w:t>
            </w:r>
          </w:p>
        </w:tc>
        <w:tc>
          <w:tcPr>
            <w:tcW w:type="dxa" w:w="1008"/>
            <w:shd w:fill="F9FAFB"/>
            <w:tcMar>
              <w:top w:w="80" w:type="dxa"/>
              <w:bottom w:w="80" w:type="dxa"/>
              <w:left w:w="120" w:type="dxa"/>
              <w:right w:w="120" w:type="dxa"/>
            </w:tcMar>
          </w:tcPr>
          <w:p>
            <w:pPr>
              <w:spacing w:after="0"/>
              <w:jc w:val="left"/>
            </w:pPr>
            <w:r>
              <w:rPr>
                <w:rFonts w:ascii="Calibri" w:hAnsi="Calibri"/>
                <w:b w:val="0"/>
                <w:color w:val="212529"/>
                <w:sz w:val="18"/>
              </w:rPr>
              <w:t>0.00136490</w:t>
            </w:r>
          </w:p>
        </w:tc>
        <w:tc>
          <w:tcPr>
            <w:tcW w:type="dxa" w:w="2160"/>
            <w:shd w:fill="F9FAFB"/>
            <w:tcMar>
              <w:top w:w="80" w:type="dxa"/>
              <w:bottom w:w="80" w:type="dxa"/>
              <w:left w:w="120" w:type="dxa"/>
              <w:right w:w="120" w:type="dxa"/>
            </w:tcMar>
          </w:tcPr>
          <w:p>
            <w:pPr>
              <w:spacing w:after="0"/>
              <w:jc w:val="left"/>
            </w:pPr>
            <w:r>
              <w:rPr>
                <w:rFonts w:ascii="Calibri" w:hAnsi="Calibri"/>
                <w:b w:val="0"/>
                <w:color w:val="212529"/>
                <w:sz w:val="18"/>
              </w:rPr>
              <w:t>Higher modeled odds of &gt;50K</w:t>
            </w:r>
          </w:p>
        </w:tc>
      </w:tr>
      <w:tr>
        <w:tc>
          <w:tcPr>
            <w:tcW w:type="dxa" w:w="2592"/>
            <w:shd w:fill="FFFFFF"/>
            <w:tcMar>
              <w:top w:w="80" w:type="dxa"/>
              <w:bottom w:w="80" w:type="dxa"/>
              <w:left w:w="120" w:type="dxa"/>
              <w:right w:w="120" w:type="dxa"/>
            </w:tcMar>
          </w:tcPr>
          <w:p>
            <w:pPr>
              <w:spacing w:after="0"/>
              <w:jc w:val="left"/>
            </w:pPr>
            <w:r>
              <w:rPr>
                <w:rFonts w:ascii="Calibri" w:hAnsi="Calibri"/>
                <w:b/>
                <w:color w:val="212529"/>
                <w:sz w:val="18"/>
              </w:rPr>
              <w:t>relationshipOwn-child</w:t>
            </w:r>
          </w:p>
        </w:tc>
        <w:tc>
          <w:tcPr>
            <w:tcW w:type="dxa" w:w="1296"/>
            <w:shd w:fill="FFFFFF"/>
            <w:tcMar>
              <w:top w:w="80" w:type="dxa"/>
              <w:bottom w:w="80" w:type="dxa"/>
              <w:left w:w="120" w:type="dxa"/>
              <w:right w:w="120" w:type="dxa"/>
            </w:tcMar>
          </w:tcPr>
          <w:p>
            <w:pPr>
              <w:spacing w:after="0"/>
              <w:jc w:val="left"/>
            </w:pPr>
            <w:r>
              <w:rPr>
                <w:rFonts w:ascii="Calibri" w:hAnsi="Calibri"/>
                <w:b/>
                <w:color w:val="212529"/>
                <w:sz w:val="18"/>
              </w:rPr>
              <w:t>0.3474</w:t>
            </w:r>
          </w:p>
        </w:tc>
        <w:tc>
          <w:tcPr>
            <w:tcW w:type="dxa" w:w="1152"/>
            <w:shd w:fill="FFFFFF"/>
            <w:tcMar>
              <w:top w:w="80" w:type="dxa"/>
              <w:bottom w:w="80" w:type="dxa"/>
              <w:left w:w="120" w:type="dxa"/>
              <w:right w:w="120" w:type="dxa"/>
            </w:tcMar>
          </w:tcPr>
          <w:p>
            <w:pPr>
              <w:spacing w:after="0"/>
              <w:jc w:val="left"/>
            </w:pPr>
            <w:r>
              <w:rPr>
                <w:rFonts w:ascii="Calibri" w:hAnsi="Calibri"/>
                <w:b w:val="0"/>
                <w:color w:val="212529"/>
                <w:sz w:val="18"/>
              </w:rPr>
              <w:t>0.1896</w:t>
            </w:r>
          </w:p>
        </w:tc>
        <w:tc>
          <w:tcPr>
            <w:tcW w:type="dxa" w:w="1152"/>
            <w:shd w:fill="FFFFFF"/>
            <w:tcMar>
              <w:top w:w="80" w:type="dxa"/>
              <w:bottom w:w="80" w:type="dxa"/>
              <w:left w:w="120" w:type="dxa"/>
              <w:right w:w="120" w:type="dxa"/>
            </w:tcMar>
          </w:tcPr>
          <w:p>
            <w:pPr>
              <w:spacing w:after="0"/>
              <w:jc w:val="left"/>
            </w:pPr>
            <w:r>
              <w:rPr>
                <w:rFonts w:ascii="Calibri" w:hAnsi="Calibri"/>
                <w:b w:val="0"/>
                <w:color w:val="212529"/>
                <w:sz w:val="18"/>
              </w:rPr>
              <w:t>0.6364</w:t>
            </w:r>
          </w:p>
        </w:tc>
        <w:tc>
          <w:tcPr>
            <w:tcW w:type="dxa" w:w="1008"/>
            <w:shd w:fill="FFFFFF"/>
            <w:tcMar>
              <w:top w:w="80" w:type="dxa"/>
              <w:bottom w:w="80" w:type="dxa"/>
              <w:left w:w="120" w:type="dxa"/>
              <w:right w:w="120" w:type="dxa"/>
            </w:tcMar>
          </w:tcPr>
          <w:p>
            <w:pPr>
              <w:spacing w:after="0"/>
              <w:jc w:val="left"/>
            </w:pPr>
            <w:r>
              <w:rPr>
                <w:rFonts w:ascii="Calibri" w:hAnsi="Calibri"/>
                <w:b w:val="0"/>
                <w:color w:val="212529"/>
                <w:sz w:val="18"/>
              </w:rPr>
              <w:t>0.00061945</w:t>
            </w:r>
          </w:p>
        </w:tc>
        <w:tc>
          <w:tcPr>
            <w:tcW w:type="dxa" w:w="2160"/>
            <w:shd w:fill="FFFFFF"/>
            <w:tcMar>
              <w:top w:w="80" w:type="dxa"/>
              <w:bottom w:w="80" w:type="dxa"/>
              <w:left w:w="120" w:type="dxa"/>
              <w:right w:w="120" w:type="dxa"/>
            </w:tcMar>
          </w:tcPr>
          <w:p>
            <w:pPr>
              <w:spacing w:after="0"/>
              <w:jc w:val="left"/>
            </w:pPr>
            <w:r>
              <w:rPr>
                <w:rFonts w:ascii="Calibri" w:hAnsi="Calibri"/>
                <w:b w:val="0"/>
                <w:color w:val="212529"/>
                <w:sz w:val="18"/>
              </w:rPr>
              <w:t>Lower modeled odds of &gt;50K</w:t>
            </w:r>
          </w:p>
        </w:tc>
      </w:tr>
      <w:tr>
        <w:tc>
          <w:tcPr>
            <w:tcW w:type="dxa" w:w="2592"/>
            <w:shd w:fill="F9FAFB"/>
            <w:tcMar>
              <w:top w:w="80" w:type="dxa"/>
              <w:bottom w:w="80" w:type="dxa"/>
              <w:left w:w="120" w:type="dxa"/>
              <w:right w:w="120" w:type="dxa"/>
            </w:tcMar>
          </w:tcPr>
          <w:p>
            <w:pPr>
              <w:spacing w:after="0"/>
              <w:jc w:val="left"/>
            </w:pPr>
            <w:r>
              <w:rPr>
                <w:rFonts w:ascii="Calibri" w:hAnsi="Calibri"/>
                <w:b/>
                <w:color w:val="212529"/>
                <w:sz w:val="18"/>
              </w:rPr>
              <w:t>relationshipWife</w:t>
            </w:r>
          </w:p>
        </w:tc>
        <w:tc>
          <w:tcPr>
            <w:tcW w:type="dxa" w:w="1296"/>
            <w:shd w:fill="F9FAFB"/>
            <w:tcMar>
              <w:top w:w="80" w:type="dxa"/>
              <w:bottom w:w="80" w:type="dxa"/>
              <w:left w:w="120" w:type="dxa"/>
              <w:right w:w="120" w:type="dxa"/>
            </w:tcMar>
          </w:tcPr>
          <w:p>
            <w:pPr>
              <w:spacing w:after="0"/>
              <w:jc w:val="left"/>
            </w:pPr>
            <w:r>
              <w:rPr>
                <w:rFonts w:ascii="Calibri" w:hAnsi="Calibri"/>
                <w:b/>
                <w:color w:val="212529"/>
                <w:sz w:val="18"/>
              </w:rPr>
              <w:t>3.5670</w:t>
            </w:r>
          </w:p>
        </w:tc>
        <w:tc>
          <w:tcPr>
            <w:tcW w:type="dxa" w:w="1152"/>
            <w:shd w:fill="F9FAFB"/>
            <w:tcMar>
              <w:top w:w="80" w:type="dxa"/>
              <w:bottom w:w="80" w:type="dxa"/>
              <w:left w:w="120" w:type="dxa"/>
              <w:right w:w="120" w:type="dxa"/>
            </w:tcMar>
          </w:tcPr>
          <w:p>
            <w:pPr>
              <w:spacing w:after="0"/>
              <w:jc w:val="left"/>
            </w:pPr>
            <w:r>
              <w:rPr>
                <w:rFonts w:ascii="Calibri" w:hAnsi="Calibri"/>
                <w:b w:val="0"/>
                <w:color w:val="212529"/>
                <w:sz w:val="18"/>
              </w:rPr>
              <w:t>2.8539</w:t>
            </w:r>
          </w:p>
        </w:tc>
        <w:tc>
          <w:tcPr>
            <w:tcW w:type="dxa" w:w="1152"/>
            <w:shd w:fill="F9FAFB"/>
            <w:tcMar>
              <w:top w:w="80" w:type="dxa"/>
              <w:bottom w:w="80" w:type="dxa"/>
              <w:left w:w="120" w:type="dxa"/>
              <w:right w:w="120" w:type="dxa"/>
            </w:tcMar>
          </w:tcPr>
          <w:p>
            <w:pPr>
              <w:spacing w:after="0"/>
              <w:jc w:val="left"/>
            </w:pPr>
            <w:r>
              <w:rPr>
                <w:rFonts w:ascii="Calibri" w:hAnsi="Calibri"/>
                <w:b w:val="0"/>
                <w:color w:val="212529"/>
                <w:sz w:val="18"/>
              </w:rPr>
              <w:t>4.4583</w:t>
            </w:r>
          </w:p>
        </w:tc>
        <w:tc>
          <w:tcPr>
            <w:tcW w:type="dxa" w:w="1008"/>
            <w:shd w:fill="F9FAFB"/>
            <w:tcMar>
              <w:top w:w="80" w:type="dxa"/>
              <w:bottom w:w="80" w:type="dxa"/>
              <w:left w:w="120" w:type="dxa"/>
              <w:right w:w="120" w:type="dxa"/>
            </w:tcMar>
          </w:tcPr>
          <w:p>
            <w:pPr>
              <w:spacing w:after="0"/>
              <w:jc w:val="left"/>
            </w:pPr>
            <w:r>
              <w:rPr>
                <w:rFonts w:ascii="Calibri" w:hAnsi="Calibri"/>
                <w:b w:val="0"/>
                <w:color w:val="212529"/>
                <w:sz w:val="18"/>
              </w:rPr>
              <w:t>&lt; 1e-04</w:t>
            </w:r>
          </w:p>
        </w:tc>
        <w:tc>
          <w:tcPr>
            <w:tcW w:type="dxa" w:w="2160"/>
            <w:shd w:fill="F9FAFB"/>
            <w:tcMar>
              <w:top w:w="80" w:type="dxa"/>
              <w:bottom w:w="80" w:type="dxa"/>
              <w:left w:w="120" w:type="dxa"/>
              <w:right w:w="120" w:type="dxa"/>
            </w:tcMar>
          </w:tcPr>
          <w:p>
            <w:pPr>
              <w:spacing w:after="0"/>
              <w:jc w:val="left"/>
            </w:pPr>
            <w:r>
              <w:rPr>
                <w:rFonts w:ascii="Calibri" w:hAnsi="Calibri"/>
                <w:b w:val="0"/>
                <w:color w:val="212529"/>
                <w:sz w:val="18"/>
              </w:rPr>
              <w:t>Higher modeled odds of &gt;50K</w:t>
            </w:r>
          </w:p>
        </w:tc>
      </w:tr>
      <w:tr>
        <w:tc>
          <w:tcPr>
            <w:tcW w:type="dxa" w:w="2592"/>
            <w:shd w:fill="FFFFFF"/>
            <w:tcMar>
              <w:top w:w="80" w:type="dxa"/>
              <w:bottom w:w="80" w:type="dxa"/>
              <w:left w:w="120" w:type="dxa"/>
              <w:right w:w="120" w:type="dxa"/>
            </w:tcMar>
          </w:tcPr>
          <w:p>
            <w:pPr>
              <w:spacing w:after="0"/>
              <w:jc w:val="left"/>
            </w:pPr>
            <w:r>
              <w:rPr>
                <w:rFonts w:ascii="Calibri" w:hAnsi="Calibri"/>
                <w:b/>
                <w:color w:val="212529"/>
                <w:sz w:val="18"/>
              </w:rPr>
              <w:t>sexMale</w:t>
            </w:r>
          </w:p>
        </w:tc>
        <w:tc>
          <w:tcPr>
            <w:tcW w:type="dxa" w:w="1296"/>
            <w:shd w:fill="FFFFFF"/>
            <w:tcMar>
              <w:top w:w="80" w:type="dxa"/>
              <w:bottom w:w="80" w:type="dxa"/>
              <w:left w:w="120" w:type="dxa"/>
              <w:right w:w="120" w:type="dxa"/>
            </w:tcMar>
          </w:tcPr>
          <w:p>
            <w:pPr>
              <w:spacing w:after="0"/>
              <w:jc w:val="left"/>
            </w:pPr>
            <w:r>
              <w:rPr>
                <w:rFonts w:ascii="Calibri" w:hAnsi="Calibri"/>
                <w:b/>
                <w:color w:val="212529"/>
                <w:sz w:val="18"/>
              </w:rPr>
              <w:t>2.3734</w:t>
            </w:r>
          </w:p>
        </w:tc>
        <w:tc>
          <w:tcPr>
            <w:tcW w:type="dxa" w:w="1152"/>
            <w:shd w:fill="FFFFFF"/>
            <w:tcMar>
              <w:top w:w="80" w:type="dxa"/>
              <w:bottom w:w="80" w:type="dxa"/>
              <w:left w:w="120" w:type="dxa"/>
              <w:right w:w="120" w:type="dxa"/>
            </w:tcMar>
          </w:tcPr>
          <w:p>
            <w:pPr>
              <w:spacing w:after="0"/>
              <w:jc w:val="left"/>
            </w:pPr>
            <w:r>
              <w:rPr>
                <w:rFonts w:ascii="Calibri" w:hAnsi="Calibri"/>
                <w:b w:val="0"/>
                <w:color w:val="212529"/>
                <w:sz w:val="18"/>
              </w:rPr>
              <w:t>1.9955</w:t>
            </w:r>
          </w:p>
        </w:tc>
        <w:tc>
          <w:tcPr>
            <w:tcW w:type="dxa" w:w="1152"/>
            <w:shd w:fill="FFFFFF"/>
            <w:tcMar>
              <w:top w:w="80" w:type="dxa"/>
              <w:bottom w:w="80" w:type="dxa"/>
              <w:left w:w="120" w:type="dxa"/>
              <w:right w:w="120" w:type="dxa"/>
            </w:tcMar>
          </w:tcPr>
          <w:p>
            <w:pPr>
              <w:spacing w:after="0"/>
              <w:jc w:val="left"/>
            </w:pPr>
            <w:r>
              <w:rPr>
                <w:rFonts w:ascii="Calibri" w:hAnsi="Calibri"/>
                <w:b w:val="0"/>
                <w:color w:val="212529"/>
                <w:sz w:val="18"/>
              </w:rPr>
              <w:t>2.8228</w:t>
            </w:r>
          </w:p>
        </w:tc>
        <w:tc>
          <w:tcPr>
            <w:tcW w:type="dxa" w:w="1008"/>
            <w:shd w:fill="FFFFFF"/>
            <w:tcMar>
              <w:top w:w="80" w:type="dxa"/>
              <w:bottom w:w="80" w:type="dxa"/>
              <w:left w:w="120" w:type="dxa"/>
              <w:right w:w="120" w:type="dxa"/>
            </w:tcMar>
          </w:tcPr>
          <w:p>
            <w:pPr>
              <w:spacing w:after="0"/>
              <w:jc w:val="left"/>
            </w:pPr>
            <w:r>
              <w:rPr>
                <w:rFonts w:ascii="Calibri" w:hAnsi="Calibri"/>
                <w:b w:val="0"/>
                <w:color w:val="212529"/>
                <w:sz w:val="18"/>
              </w:rPr>
              <w:t>&lt; 1e-04</w:t>
            </w:r>
          </w:p>
        </w:tc>
        <w:tc>
          <w:tcPr>
            <w:tcW w:type="dxa" w:w="2160"/>
            <w:shd w:fill="FFFFFF"/>
            <w:tcMar>
              <w:top w:w="80" w:type="dxa"/>
              <w:bottom w:w="80" w:type="dxa"/>
              <w:left w:w="120" w:type="dxa"/>
              <w:right w:w="120" w:type="dxa"/>
            </w:tcMar>
          </w:tcPr>
          <w:p>
            <w:pPr>
              <w:spacing w:after="0"/>
              <w:jc w:val="left"/>
            </w:pPr>
            <w:r>
              <w:rPr>
                <w:rFonts w:ascii="Calibri" w:hAnsi="Calibri"/>
                <w:b w:val="0"/>
                <w:color w:val="212529"/>
                <w:sz w:val="18"/>
              </w:rPr>
              <w:t>Higher modeled odds of &gt;50K</w:t>
            </w:r>
          </w:p>
        </w:tc>
      </w:tr>
      <w:tr>
        <w:tc>
          <w:tcPr>
            <w:tcW w:type="dxa" w:w="2592"/>
            <w:shd w:fill="F9FAFB"/>
            <w:tcMar>
              <w:top w:w="80" w:type="dxa"/>
              <w:bottom w:w="80" w:type="dxa"/>
              <w:left w:w="120" w:type="dxa"/>
              <w:right w:w="120" w:type="dxa"/>
            </w:tcMar>
          </w:tcPr>
          <w:p>
            <w:pPr>
              <w:spacing w:after="0"/>
              <w:jc w:val="left"/>
            </w:pPr>
            <w:r>
              <w:rPr>
                <w:rFonts w:ascii="Calibri" w:hAnsi="Calibri"/>
                <w:b/>
                <w:color w:val="212529"/>
                <w:sz w:val="18"/>
              </w:rPr>
              <w:t>hours_per_week</w:t>
            </w:r>
          </w:p>
        </w:tc>
        <w:tc>
          <w:tcPr>
            <w:tcW w:type="dxa" w:w="1296"/>
            <w:shd w:fill="F9FAFB"/>
            <w:tcMar>
              <w:top w:w="80" w:type="dxa"/>
              <w:bottom w:w="80" w:type="dxa"/>
              <w:left w:w="120" w:type="dxa"/>
              <w:right w:w="120" w:type="dxa"/>
            </w:tcMar>
          </w:tcPr>
          <w:p>
            <w:pPr>
              <w:spacing w:after="0"/>
              <w:jc w:val="left"/>
            </w:pPr>
            <w:r>
              <w:rPr>
                <w:rFonts w:ascii="Calibri" w:hAnsi="Calibri"/>
                <w:b/>
                <w:color w:val="212529"/>
                <w:sz w:val="18"/>
              </w:rPr>
              <w:t>1.0323</w:t>
            </w:r>
          </w:p>
        </w:tc>
        <w:tc>
          <w:tcPr>
            <w:tcW w:type="dxa" w:w="1152"/>
            <w:shd w:fill="F9FAFB"/>
            <w:tcMar>
              <w:top w:w="80" w:type="dxa"/>
              <w:bottom w:w="80" w:type="dxa"/>
              <w:left w:w="120" w:type="dxa"/>
              <w:right w:w="120" w:type="dxa"/>
            </w:tcMar>
          </w:tcPr>
          <w:p>
            <w:pPr>
              <w:spacing w:after="0"/>
              <w:jc w:val="left"/>
            </w:pPr>
            <w:r>
              <w:rPr>
                <w:rFonts w:ascii="Calibri" w:hAnsi="Calibri"/>
                <w:b w:val="0"/>
                <w:color w:val="212529"/>
                <w:sz w:val="18"/>
              </w:rPr>
              <w:t>1.0286</w:t>
            </w:r>
          </w:p>
        </w:tc>
        <w:tc>
          <w:tcPr>
            <w:tcW w:type="dxa" w:w="1152"/>
            <w:shd w:fill="F9FAFB"/>
            <w:tcMar>
              <w:top w:w="80" w:type="dxa"/>
              <w:bottom w:w="80" w:type="dxa"/>
              <w:left w:w="120" w:type="dxa"/>
              <w:right w:w="120" w:type="dxa"/>
            </w:tcMar>
          </w:tcPr>
          <w:p>
            <w:pPr>
              <w:spacing w:after="0"/>
              <w:jc w:val="left"/>
            </w:pPr>
            <w:r>
              <w:rPr>
                <w:rFonts w:ascii="Calibri" w:hAnsi="Calibri"/>
                <w:b w:val="0"/>
                <w:color w:val="212529"/>
                <w:sz w:val="18"/>
              </w:rPr>
              <w:t>1.0359</w:t>
            </w:r>
          </w:p>
        </w:tc>
        <w:tc>
          <w:tcPr>
            <w:tcW w:type="dxa" w:w="1008"/>
            <w:shd w:fill="F9FAFB"/>
            <w:tcMar>
              <w:top w:w="80" w:type="dxa"/>
              <w:bottom w:w="80" w:type="dxa"/>
              <w:left w:w="120" w:type="dxa"/>
              <w:right w:w="120" w:type="dxa"/>
            </w:tcMar>
          </w:tcPr>
          <w:p>
            <w:pPr>
              <w:spacing w:after="0"/>
              <w:jc w:val="left"/>
            </w:pPr>
            <w:r>
              <w:rPr>
                <w:rFonts w:ascii="Calibri" w:hAnsi="Calibri"/>
                <w:b w:val="0"/>
                <w:color w:val="212529"/>
                <w:sz w:val="18"/>
              </w:rPr>
              <w:t>&lt; 1e-04</w:t>
            </w:r>
          </w:p>
        </w:tc>
        <w:tc>
          <w:tcPr>
            <w:tcW w:type="dxa" w:w="2160"/>
            <w:shd w:fill="F9FAFB"/>
            <w:tcMar>
              <w:top w:w="80" w:type="dxa"/>
              <w:bottom w:w="80" w:type="dxa"/>
              <w:left w:w="120" w:type="dxa"/>
              <w:right w:w="120" w:type="dxa"/>
            </w:tcMar>
          </w:tcPr>
          <w:p>
            <w:pPr>
              <w:spacing w:after="0"/>
              <w:jc w:val="left"/>
            </w:pPr>
            <w:r>
              <w:rPr>
                <w:rFonts w:ascii="Calibri" w:hAnsi="Calibri"/>
                <w:b w:val="0"/>
                <w:color w:val="212529"/>
                <w:sz w:val="18"/>
              </w:rPr>
              <w:t>Higher modeled odds of &gt;50K</w:t>
            </w:r>
          </w:p>
        </w:tc>
      </w:tr>
      <w:tr>
        <w:tc>
          <w:tcPr>
            <w:tcW w:type="dxa" w:w="2592"/>
            <w:shd w:fill="FFFFFF"/>
            <w:tcMar>
              <w:top w:w="80" w:type="dxa"/>
              <w:bottom w:w="80" w:type="dxa"/>
              <w:left w:w="120" w:type="dxa"/>
              <w:right w:w="120" w:type="dxa"/>
            </w:tcMar>
          </w:tcPr>
          <w:p>
            <w:pPr>
              <w:spacing w:after="0"/>
              <w:jc w:val="left"/>
            </w:pPr>
            <w:r>
              <w:rPr>
                <w:rFonts w:ascii="Calibri" w:hAnsi="Calibri"/>
                <w:b/>
                <w:color w:val="212529"/>
                <w:sz w:val="18"/>
              </w:rPr>
              <w:t>native_regionUnited-States</w:t>
            </w:r>
          </w:p>
        </w:tc>
        <w:tc>
          <w:tcPr>
            <w:tcW w:type="dxa" w:w="1296"/>
            <w:shd w:fill="FFFFFF"/>
            <w:tcMar>
              <w:top w:w="80" w:type="dxa"/>
              <w:bottom w:w="80" w:type="dxa"/>
              <w:left w:w="120" w:type="dxa"/>
              <w:right w:w="120" w:type="dxa"/>
            </w:tcMar>
          </w:tcPr>
          <w:p>
            <w:pPr>
              <w:spacing w:after="0"/>
              <w:jc w:val="left"/>
            </w:pPr>
            <w:r>
              <w:rPr>
                <w:rFonts w:ascii="Calibri" w:hAnsi="Calibri"/>
                <w:b/>
                <w:color w:val="212529"/>
                <w:sz w:val="18"/>
              </w:rPr>
              <w:t>1.2166</w:t>
            </w:r>
          </w:p>
        </w:tc>
        <w:tc>
          <w:tcPr>
            <w:tcW w:type="dxa" w:w="1152"/>
            <w:shd w:fill="FFFFFF"/>
            <w:tcMar>
              <w:top w:w="80" w:type="dxa"/>
              <w:bottom w:w="80" w:type="dxa"/>
              <w:left w:w="120" w:type="dxa"/>
              <w:right w:w="120" w:type="dxa"/>
            </w:tcMar>
          </w:tcPr>
          <w:p>
            <w:pPr>
              <w:spacing w:after="0"/>
              <w:jc w:val="left"/>
            </w:pPr>
            <w:r>
              <w:rPr>
                <w:rFonts w:ascii="Calibri" w:hAnsi="Calibri"/>
                <w:b w:val="0"/>
                <w:color w:val="212529"/>
                <w:sz w:val="18"/>
              </w:rPr>
              <w:t>1.0286</w:t>
            </w:r>
          </w:p>
        </w:tc>
        <w:tc>
          <w:tcPr>
            <w:tcW w:type="dxa" w:w="1152"/>
            <w:shd w:fill="FFFFFF"/>
            <w:tcMar>
              <w:top w:w="80" w:type="dxa"/>
              <w:bottom w:w="80" w:type="dxa"/>
              <w:left w:w="120" w:type="dxa"/>
              <w:right w:w="120" w:type="dxa"/>
            </w:tcMar>
          </w:tcPr>
          <w:p>
            <w:pPr>
              <w:spacing w:after="0"/>
              <w:jc w:val="left"/>
            </w:pPr>
            <w:r>
              <w:rPr>
                <w:rFonts w:ascii="Calibri" w:hAnsi="Calibri"/>
                <w:b w:val="0"/>
                <w:color w:val="212529"/>
                <w:sz w:val="18"/>
              </w:rPr>
              <w:t>1.4390</w:t>
            </w:r>
          </w:p>
        </w:tc>
        <w:tc>
          <w:tcPr>
            <w:tcW w:type="dxa" w:w="1008"/>
            <w:shd w:fill="FFFFFF"/>
            <w:tcMar>
              <w:top w:w="80" w:type="dxa"/>
              <w:bottom w:w="80" w:type="dxa"/>
              <w:left w:w="120" w:type="dxa"/>
              <w:right w:w="120" w:type="dxa"/>
            </w:tcMar>
          </w:tcPr>
          <w:p>
            <w:pPr>
              <w:spacing w:after="0"/>
              <w:jc w:val="left"/>
            </w:pPr>
            <w:r>
              <w:rPr>
                <w:rFonts w:ascii="Calibri" w:hAnsi="Calibri"/>
                <w:b w:val="0"/>
                <w:color w:val="212529"/>
                <w:sz w:val="18"/>
              </w:rPr>
              <w:t>0.02207612</w:t>
            </w:r>
          </w:p>
        </w:tc>
        <w:tc>
          <w:tcPr>
            <w:tcW w:type="dxa" w:w="2160"/>
            <w:shd w:fill="FFFFFF"/>
            <w:tcMar>
              <w:top w:w="80" w:type="dxa"/>
              <w:bottom w:w="80" w:type="dxa"/>
              <w:left w:w="120" w:type="dxa"/>
              <w:right w:w="120" w:type="dxa"/>
            </w:tcMar>
          </w:tcPr>
          <w:p>
            <w:pPr>
              <w:spacing w:after="0"/>
              <w:jc w:val="left"/>
            </w:pPr>
            <w:r>
              <w:rPr>
                <w:rFonts w:ascii="Calibri" w:hAnsi="Calibri"/>
                <w:b w:val="0"/>
                <w:color w:val="212529"/>
                <w:sz w:val="18"/>
              </w:rPr>
              <w:t>Higher modeled odds of &gt;50K</w:t>
            </w:r>
          </w:p>
        </w:tc>
      </w:tr>
    </w:tbl>
    <w:p>
      <w:pPr>
        <w:spacing w:after="160"/>
      </w:pPr>
      <w:r>
        <w:rPr>
          <w:i/>
          <w:color w:val="6C757D"/>
          <w:sz w:val="17"/>
        </w:rPr>
        <w:t>Table 5 Note: Logistic regression odds ratios with 95% Wald confidence intervals. Reference categories: workclassFederal-gov, marital_statusDivorced, occupationAdm-clerical, relationshipHusband, raceAmer-Indian-Eskimo, sexFemale, native_regionNon-US.</w:t>
      </w:r>
    </w:p>
    <w:p>
      <w:pPr>
        <w:spacing w:before="160" w:after="60"/>
        <w:jc w:val="center"/>
      </w:pPr>
      <w:r>
        <w:drawing>
          <wp:inline xmlns:a="http://schemas.openxmlformats.org/drawingml/2006/main" xmlns:pic="http://schemas.openxmlformats.org/drawingml/2006/picture">
            <wp:extent cx="5303520" cy="3868450"/>
            <wp:docPr id="11" name="Picture 11"/>
            <wp:cNvGraphicFramePr>
              <a:graphicFrameLocks noChangeAspect="1"/>
            </wp:cNvGraphicFramePr>
            <a:graphic>
              <a:graphicData uri="http://schemas.openxmlformats.org/drawingml/2006/picture">
                <pic:pic>
                  <pic:nvPicPr>
                    <pic:cNvPr id="0" name="week3_odds_ratios_forest.png"/>
                    <pic:cNvPicPr/>
                  </pic:nvPicPr>
                  <pic:blipFill>
                    <a:blip r:embed="rId21"/>
                    <a:stretch>
                      <a:fillRect/>
                    </a:stretch>
                  </pic:blipFill>
                  <pic:spPr>
                    <a:xfrm>
                      <a:off x="0" y="0"/>
                      <a:ext cx="5303520" cy="3868450"/>
                    </a:xfrm>
                    <a:prstGeom prst="rect"/>
                  </pic:spPr>
                </pic:pic>
              </a:graphicData>
            </a:graphic>
          </wp:inline>
        </w:drawing>
      </w:r>
    </w:p>
    <w:p>
      <w:pPr>
        <w:spacing w:after="160"/>
        <w:jc w:val="center"/>
      </w:pPr>
      <w:r>
        <w:rPr>
          <w:b/>
          <w:color w:val="1B365D"/>
          <w:sz w:val="19"/>
        </w:rPr>
        <w:t xml:space="preserve">Figure 11: </w:t>
      </w:r>
      <w:r>
        <w:rPr>
          <w:b/>
          <w:color w:val="465C7A"/>
          <w:sz w:val="19"/>
        </w:rPr>
        <w:t xml:space="preserve">Odds Ratios Forest Plot for Key Human Capital &amp; Demographic Predictors. </w:t>
      </w:r>
      <w:r>
        <w:rPr>
          <w:i/>
          <w:color w:val="6C757D"/>
          <w:sz w:val="18"/>
        </w:rPr>
        <w:t>Forest plot showing estimated odds ratios and 95% Wald confidence intervals on a logarithmic scale. Married status and executive roles show the largest positive multiplicative effects.</w:t>
      </w:r>
    </w:p>
    <w:p>
      <w:pPr>
        <w:spacing w:after="120" w:line="276" w:lineRule="auto"/>
      </w:pPr>
      <w:r>
        <w:rPr>
          <w:rFonts w:ascii="Calibri" w:hAnsi="Calibri"/>
          <w:b/>
          <w:color w:val="1B365D"/>
          <w:sz w:val="22"/>
        </w:rPr>
        <w:t xml:space="preserve">Substantive Insights: </w:t>
      </w:r>
      <w:r>
        <w:rPr>
          <w:rFonts w:ascii="Calibri" w:hAnsi="Calibri"/>
          <w:color w:val="212529"/>
          <w:sz w:val="22"/>
        </w:rPr>
        <w:t>Econometric Interpretation of Key Odds Ratios:</w:t>
      </w:r>
    </w:p>
    <w:p>
      <w:pPr>
        <w:pStyle w:val="ListBullet"/>
        <w:spacing w:after="60" w:line="276" w:lineRule="auto"/>
      </w:pPr>
      <w:r>
        <w:rPr>
          <w:rFonts w:ascii="Calibri" w:hAnsi="Calibri"/>
          <w:b/>
          <w:color w:val="1B365D"/>
          <w:sz w:val="21"/>
        </w:rPr>
        <w:t xml:space="preserve">Education Premium: </w:t>
      </w:r>
      <w:r>
        <w:rPr>
          <w:rFonts w:ascii="Calibri" w:hAnsi="Calibri"/>
          <w:color w:val="212529"/>
          <w:sz w:val="21"/>
        </w:rPr>
        <w:t>Education (Human Capital): Holding all other variables constant, each additional year of formal schooling increases the odds of earning &gt;$50,000 by 34.9% (OR = 1.349, 95% CI [1.323, 1.376], p &lt; 0.0001). Compounded over a four-year undergraduate degree, this represents a 3.3-fold increase in odds.</w:t>
      </w:r>
    </w:p>
    <w:p>
      <w:pPr>
        <w:pStyle w:val="ListBullet"/>
        <w:spacing w:after="60" w:line="276" w:lineRule="auto"/>
      </w:pPr>
      <w:r>
        <w:rPr>
          <w:rFonts w:ascii="Calibri" w:hAnsi="Calibri"/>
          <w:b/>
          <w:color w:val="1B365D"/>
          <w:sz w:val="21"/>
        </w:rPr>
        <w:t xml:space="preserve">Family Structure: </w:t>
      </w:r>
      <w:r>
        <w:rPr>
          <w:rFonts w:ascii="Calibri" w:hAnsi="Calibri"/>
          <w:color w:val="212529"/>
          <w:sz w:val="21"/>
        </w:rPr>
        <w:t>Marital Status &amp; Household Structure: Being married with a civilian spouse multiplies the odds of high earnings by 7.16 (OR = 7.164, 95% CI [3.884, 13.216], p &lt; 0.0001) relative to divorced individuals, while being a married spouse identified as 'Wife' multiplies odds by 3.57 (OR = 3.567, 95% CI [2.854, 4.458]). Conversely, the presence of dependent children reduces high-income odds by 65.3% (OR = 0.347, 95% CI [0.190, 0.636]).</w:t>
      </w:r>
    </w:p>
    <w:p>
      <w:pPr>
        <w:pStyle w:val="ListBullet"/>
        <w:spacing w:after="60" w:line="276" w:lineRule="auto"/>
      </w:pPr>
      <w:r>
        <w:rPr>
          <w:rFonts w:ascii="Calibri" w:hAnsi="Calibri"/>
          <w:b/>
          <w:color w:val="1B365D"/>
          <w:sz w:val="21"/>
        </w:rPr>
        <w:t xml:space="preserve">Occupational Returns: </w:t>
      </w:r>
      <w:r>
        <w:rPr>
          <w:rFonts w:ascii="Calibri" w:hAnsi="Calibri"/>
          <w:color w:val="212529"/>
          <w:sz w:val="21"/>
        </w:rPr>
        <w:t>Occupational Sorting: Compared to administrative-clerical baseline workers, executive-managerial personnel enjoy 2.10 times higher odds (OR = 2.095, 95% CI [1.774, 2.476], p &lt; 0.0001), while tech-support specialists experience 1.79 times higher odds (OR = 1.786). In contrast, service workers face a 55.2% reduction in odds (OR = 0.448).</w:t>
      </w:r>
    </w:p>
    <w:p>
      <w:pPr>
        <w:pStyle w:val="ListBullet"/>
        <w:spacing w:after="60" w:line="276" w:lineRule="auto"/>
      </w:pPr>
      <w:r>
        <w:rPr>
          <w:rFonts w:ascii="Calibri" w:hAnsi="Calibri"/>
          <w:b/>
          <w:color w:val="1B365D"/>
          <w:sz w:val="21"/>
        </w:rPr>
        <w:t xml:space="preserve">Gender Wage Disparity: </w:t>
      </w:r>
      <w:r>
        <w:rPr>
          <w:rFonts w:ascii="Calibri" w:hAnsi="Calibri"/>
          <w:color w:val="212529"/>
          <w:sz w:val="21"/>
        </w:rPr>
        <w:t>Sex Disparities (Gender Gap): After comprehensively controlling for education, age, weekly hours, marital status, capital gains, and occupation, male workers exhibit 2.37 times higher odds of earning &gt;$50,000 than female workers (OR = 2.373, 95% CI [1.996, 2.823], p &lt; 0.0001). This confirms a substantial unexplained residual wage gap consistent with 1994 labor market literature.</w:t>
      </w:r>
    </w:p>
    <w:p>
      <w:pPr>
        <w:pStyle w:val="Heading1"/>
        <w:keepNext/>
        <w:spacing w:before="360" w:after="120"/>
      </w:pPr>
      <w:r>
        <w:rPr>
          <w:rFonts w:ascii="Calibri" w:hAnsi="Calibri"/>
          <w:b/>
          <w:color w:val="1B365D"/>
          <w:sz w:val="34"/>
        </w:rPr>
        <w:t>Section 8: Regularized Logistic Regression (Elastic Net)</w:t>
      </w:r>
    </w:p>
    <w:p>
      <w:pPr>
        <w:spacing w:after="120" w:line="276" w:lineRule="auto"/>
      </w:pPr>
      <w:r>
        <w:rPr>
          <w:rFonts w:ascii="Calibri" w:hAnsi="Calibri"/>
          <w:color w:val="212529"/>
          <w:sz w:val="22"/>
        </w:rPr>
        <w:t>To evaluate whether standard logistic regression suffered from overfitting or variance inflation, an optimized regularized model was fitted using Elastic Net (`glmnet`). Elastic Net penalizes the log-likelihood using a weighted mixture of L1 (Lasso) and L2 (Ridge) penalties: P_alpha(beta) = (1 - alpha)/2 * ||beta||_2^2 + alpha * ||beta||_1, setting alpha = 0.5.</w:t>
      </w:r>
    </w:p>
    <w:p>
      <w:pPr>
        <w:spacing w:after="120" w:line="276" w:lineRule="auto"/>
      </w:pPr>
      <w:r>
        <w:rPr>
          <w:rFonts w:ascii="Calibri" w:hAnsi="Calibri"/>
          <w:color w:val="212529"/>
          <w:sz w:val="22"/>
        </w:rPr>
        <w:t>Hyperparameter tuning was conducted strictly within the training set using 5-fold cross-validation targeting ROC-AUC. The optimal regularization penalty chosen was the 1-standard-error rule: lambda_1se = 0.009265. At this penalty, cross-validated AUC reached 0.9051. Sparse dummy coefficients for zero-count categories (e.g. `workclassWithout-pay` and `workclassNever-worked`, which produced large standard errors under unpenalized GLM) were smoothly shrunken toward zero, stabilizing numerical estimation.</w:t>
      </w:r>
    </w:p>
    <w:p>
      <w:pPr>
        <w:pStyle w:val="Heading1"/>
        <w:keepNext/>
        <w:spacing w:before="360" w:after="120"/>
      </w:pPr>
      <w:r>
        <w:rPr>
          <w:rFonts w:ascii="Calibri" w:hAnsi="Calibri"/>
          <w:b/>
          <w:color w:val="1B365D"/>
          <w:sz w:val="34"/>
        </w:rPr>
        <w:t>Section 9: Empirical Model Evaluation &amp; Test-Set Benchmarks</w:t>
      </w:r>
    </w:p>
    <w:p>
      <w:pPr>
        <w:spacing w:after="120" w:line="276" w:lineRule="auto"/>
      </w:pPr>
      <w:r>
        <w:rPr>
          <w:rFonts w:ascii="Calibri" w:hAnsi="Calibri"/>
          <w:color w:val="212529"/>
          <w:sz w:val="22"/>
        </w:rPr>
        <w:t>To perform an unbiased evaluation, all three classifiers—Baseline, Standard Logistic Regression, and Regularized Elastic Net—were evaluated on the untouched holdout test partition (N = 6,508). Table 6 presents the multi-metric performance benchmark:</w:t>
      </w:r>
    </w:p>
    <w:tbl>
      <w:tblPr>
        <w:tblW w:type="auto" w:w="0"/>
        <w:jc w:val="center"/>
        <w:tblLook w:firstColumn="1" w:firstRow="1" w:lastColumn="0" w:lastRow="0" w:noHBand="0" w:noVBand="1" w:val="04A0"/>
        <w:tblBorders>
          <w:top w:val="single" w:sz="6" w:space="0" w:color="D0D7DE"/>
          <w:bottom w:val="single" w:sz="8" w:space="0" w:color="D0D7DE"/>
          <w:insideH w:val="single" w:sz="4" w:space="0" w:color="D0D7DE"/>
          <w:insideV w:val="none"/>
          <w:left w:val="none"/>
          <w:right w:val="none"/>
        </w:tblBorders>
      </w:tblPr>
      <w:tblGrid>
        <w:gridCol w:w="1040"/>
        <w:gridCol w:w="1040"/>
        <w:gridCol w:w="1040"/>
        <w:gridCol w:w="1040"/>
        <w:gridCol w:w="1040"/>
        <w:gridCol w:w="1040"/>
        <w:gridCol w:w="1040"/>
        <w:gridCol w:w="1040"/>
        <w:gridCol w:w="1040"/>
      </w:tblGrid>
      <w:tr>
        <w:tc>
          <w:tcPr>
            <w:tcW w:type="dxa" w:w="2592"/>
            <w:shd w:fill="1B365D"/>
            <w:tcMar>
              <w:top w:w="120" w:type="dxa"/>
              <w:bottom w:w="120" w:type="dxa"/>
              <w:left w:w="120" w:type="dxa"/>
              <w:right w:w="120" w:type="dxa"/>
            </w:tcMar>
          </w:tcPr>
          <w:p>
            <w:pPr>
              <w:spacing w:after="0"/>
              <w:jc w:val="left"/>
            </w:pPr>
            <w:r>
              <w:rPr>
                <w:rFonts w:ascii="Calibri" w:hAnsi="Calibri"/>
                <w:b/>
                <w:color w:val="FFFFFF"/>
                <w:sz w:val="19"/>
              </w:rPr>
              <w:t>Model Name</w:t>
            </w:r>
          </w:p>
        </w:tc>
        <w:tc>
          <w:tcPr>
            <w:tcW w:type="dxa" w:w="864"/>
            <w:shd w:fill="1B365D"/>
            <w:tcMar>
              <w:top w:w="120" w:type="dxa"/>
              <w:bottom w:w="120" w:type="dxa"/>
              <w:left w:w="120" w:type="dxa"/>
              <w:right w:w="120" w:type="dxa"/>
            </w:tcMar>
          </w:tcPr>
          <w:p>
            <w:pPr>
              <w:spacing w:after="0"/>
              <w:jc w:val="left"/>
            </w:pPr>
            <w:r>
              <w:rPr>
                <w:rFonts w:ascii="Calibri" w:hAnsi="Calibri"/>
                <w:b/>
                <w:color w:val="FFFFFF"/>
                <w:sz w:val="19"/>
              </w:rPr>
              <w:t>Accuracy</w:t>
            </w:r>
          </w:p>
        </w:tc>
        <w:tc>
          <w:tcPr>
            <w:tcW w:type="dxa" w:w="864"/>
            <w:shd w:fill="1B365D"/>
            <w:tcMar>
              <w:top w:w="120" w:type="dxa"/>
              <w:bottom w:w="120" w:type="dxa"/>
              <w:left w:w="120" w:type="dxa"/>
              <w:right w:w="120" w:type="dxa"/>
            </w:tcMar>
          </w:tcPr>
          <w:p>
            <w:pPr>
              <w:spacing w:after="0"/>
              <w:jc w:val="left"/>
            </w:pPr>
            <w:r>
              <w:rPr>
                <w:rFonts w:ascii="Calibri" w:hAnsi="Calibri"/>
                <w:b/>
                <w:color w:val="FFFFFF"/>
                <w:sz w:val="19"/>
              </w:rPr>
              <w:t>Balanced Acc</w:t>
            </w:r>
          </w:p>
        </w:tc>
        <w:tc>
          <w:tcPr>
            <w:tcW w:type="dxa" w:w="864"/>
            <w:shd w:fill="1B365D"/>
            <w:tcMar>
              <w:top w:w="120" w:type="dxa"/>
              <w:bottom w:w="120" w:type="dxa"/>
              <w:left w:w="120" w:type="dxa"/>
              <w:right w:w="120" w:type="dxa"/>
            </w:tcMar>
          </w:tcPr>
          <w:p>
            <w:pPr>
              <w:spacing w:after="0"/>
              <w:jc w:val="left"/>
            </w:pPr>
            <w:r>
              <w:rPr>
                <w:rFonts w:ascii="Calibri" w:hAnsi="Calibri"/>
                <w:b/>
                <w:color w:val="FFFFFF"/>
                <w:sz w:val="19"/>
              </w:rPr>
              <w:t>Precision</w:t>
            </w:r>
          </w:p>
        </w:tc>
        <w:tc>
          <w:tcPr>
            <w:tcW w:type="dxa" w:w="864"/>
            <w:shd w:fill="1B365D"/>
            <w:tcMar>
              <w:top w:w="120" w:type="dxa"/>
              <w:bottom w:w="120" w:type="dxa"/>
              <w:left w:w="120" w:type="dxa"/>
              <w:right w:w="120" w:type="dxa"/>
            </w:tcMar>
          </w:tcPr>
          <w:p>
            <w:pPr>
              <w:spacing w:after="0"/>
              <w:jc w:val="left"/>
            </w:pPr>
            <w:r>
              <w:rPr>
                <w:rFonts w:ascii="Calibri" w:hAnsi="Calibri"/>
                <w:b/>
                <w:color w:val="FFFFFF"/>
                <w:sz w:val="19"/>
              </w:rPr>
              <w:t>Recall (Sens)</w:t>
            </w:r>
          </w:p>
        </w:tc>
        <w:tc>
          <w:tcPr>
            <w:tcW w:type="dxa" w:w="864"/>
            <w:shd w:fill="1B365D"/>
            <w:tcMar>
              <w:top w:w="120" w:type="dxa"/>
              <w:bottom w:w="120" w:type="dxa"/>
              <w:left w:w="120" w:type="dxa"/>
              <w:right w:w="120" w:type="dxa"/>
            </w:tcMar>
          </w:tcPr>
          <w:p>
            <w:pPr>
              <w:spacing w:after="0"/>
              <w:jc w:val="left"/>
            </w:pPr>
            <w:r>
              <w:rPr>
                <w:rFonts w:ascii="Calibri" w:hAnsi="Calibri"/>
                <w:b/>
                <w:color w:val="FFFFFF"/>
                <w:sz w:val="19"/>
              </w:rPr>
              <w:t>Specificity</w:t>
            </w:r>
          </w:p>
        </w:tc>
        <w:tc>
          <w:tcPr>
            <w:tcW w:type="dxa" w:w="864"/>
            <w:shd w:fill="1B365D"/>
            <w:tcMar>
              <w:top w:w="120" w:type="dxa"/>
              <w:bottom w:w="120" w:type="dxa"/>
              <w:left w:w="120" w:type="dxa"/>
              <w:right w:w="120" w:type="dxa"/>
            </w:tcMar>
          </w:tcPr>
          <w:p>
            <w:pPr>
              <w:spacing w:after="0"/>
              <w:jc w:val="left"/>
            </w:pPr>
            <w:r>
              <w:rPr>
                <w:rFonts w:ascii="Calibri" w:hAnsi="Calibri"/>
                <w:b/>
                <w:color w:val="FFFFFF"/>
                <w:sz w:val="19"/>
              </w:rPr>
              <w:t>F1-Score</w:t>
            </w:r>
          </w:p>
        </w:tc>
        <w:tc>
          <w:tcPr>
            <w:tcW w:type="dxa" w:w="864"/>
            <w:shd w:fill="1B365D"/>
            <w:tcMar>
              <w:top w:w="120" w:type="dxa"/>
              <w:bottom w:w="120" w:type="dxa"/>
              <w:left w:w="120" w:type="dxa"/>
              <w:right w:w="120" w:type="dxa"/>
            </w:tcMar>
          </w:tcPr>
          <w:p>
            <w:pPr>
              <w:spacing w:after="0"/>
              <w:jc w:val="left"/>
            </w:pPr>
            <w:r>
              <w:rPr>
                <w:rFonts w:ascii="Calibri" w:hAnsi="Calibri"/>
                <w:b/>
                <w:color w:val="FFFFFF"/>
                <w:sz w:val="19"/>
              </w:rPr>
              <w:t>ROC-AUC</w:t>
            </w:r>
          </w:p>
        </w:tc>
        <w:tc>
          <w:tcPr>
            <w:tcW w:type="dxa" w:w="864"/>
            <w:shd w:fill="1B365D"/>
            <w:tcMar>
              <w:top w:w="120" w:type="dxa"/>
              <w:bottom w:w="120" w:type="dxa"/>
              <w:left w:w="120" w:type="dxa"/>
              <w:right w:w="120" w:type="dxa"/>
            </w:tcMar>
          </w:tcPr>
          <w:p>
            <w:pPr>
              <w:spacing w:after="0"/>
              <w:jc w:val="left"/>
            </w:pPr>
            <w:r>
              <w:rPr>
                <w:rFonts w:ascii="Calibri" w:hAnsi="Calibri"/>
                <w:b/>
                <w:color w:val="FFFFFF"/>
                <w:sz w:val="19"/>
              </w:rPr>
              <w:t>PR-AUC</w:t>
            </w:r>
          </w:p>
        </w:tc>
      </w:tr>
      <w:tr>
        <w:tc>
          <w:tcPr>
            <w:tcW w:type="dxa" w:w="2592"/>
            <w:shd w:fill="FFFFFF"/>
            <w:tcMar>
              <w:top w:w="80" w:type="dxa"/>
              <w:bottom w:w="80" w:type="dxa"/>
              <w:left w:w="120" w:type="dxa"/>
              <w:right w:w="120" w:type="dxa"/>
            </w:tcMar>
          </w:tcPr>
          <w:p>
            <w:pPr>
              <w:spacing w:after="0"/>
              <w:jc w:val="left"/>
            </w:pPr>
            <w:r>
              <w:rPr>
                <w:rFonts w:ascii="Calibri" w:hAnsi="Calibri"/>
                <w:b/>
                <w:color w:val="212529"/>
                <w:sz w:val="18"/>
              </w:rPr>
              <w:t>Baseline (Majority Class)</w:t>
            </w:r>
          </w:p>
        </w:tc>
        <w:tc>
          <w:tcPr>
            <w:tcW w:type="dxa" w:w="864"/>
            <w:shd w:fill="FFFFFF"/>
            <w:tcMar>
              <w:top w:w="80" w:type="dxa"/>
              <w:bottom w:w="80" w:type="dxa"/>
              <w:left w:w="120" w:type="dxa"/>
              <w:right w:w="120" w:type="dxa"/>
            </w:tcMar>
          </w:tcPr>
          <w:p>
            <w:pPr>
              <w:spacing w:after="0"/>
              <w:jc w:val="left"/>
            </w:pPr>
            <w:r>
              <w:rPr>
                <w:rFonts w:ascii="Calibri" w:hAnsi="Calibri"/>
                <w:b w:val="0"/>
                <w:color w:val="212529"/>
                <w:sz w:val="18"/>
              </w:rPr>
              <w:t>75.91%</w:t>
            </w:r>
          </w:p>
        </w:tc>
        <w:tc>
          <w:tcPr>
            <w:tcW w:type="dxa" w:w="864"/>
            <w:shd w:fill="FFFFFF"/>
            <w:tcMar>
              <w:top w:w="80" w:type="dxa"/>
              <w:bottom w:w="80" w:type="dxa"/>
              <w:left w:w="120" w:type="dxa"/>
              <w:right w:w="120" w:type="dxa"/>
            </w:tcMar>
          </w:tcPr>
          <w:p>
            <w:pPr>
              <w:spacing w:after="0"/>
              <w:jc w:val="left"/>
            </w:pPr>
            <w:r>
              <w:rPr>
                <w:rFonts w:ascii="Calibri" w:hAnsi="Calibri"/>
                <w:b w:val="0"/>
                <w:color w:val="212529"/>
                <w:sz w:val="18"/>
              </w:rPr>
              <w:t>50.00%</w:t>
            </w:r>
          </w:p>
        </w:tc>
        <w:tc>
          <w:tcPr>
            <w:tcW w:type="dxa" w:w="864"/>
            <w:shd w:fill="FFFFFF"/>
            <w:tcMar>
              <w:top w:w="80" w:type="dxa"/>
              <w:bottom w:w="80" w:type="dxa"/>
              <w:left w:w="120" w:type="dxa"/>
              <w:right w:w="120" w:type="dxa"/>
            </w:tcMar>
          </w:tcPr>
          <w:p>
            <w:pPr>
              <w:spacing w:after="0"/>
              <w:jc w:val="left"/>
            </w:pPr>
            <w:r>
              <w:rPr>
                <w:rFonts w:ascii="Calibri" w:hAnsi="Calibri"/>
                <w:b w:val="0"/>
                <w:color w:val="212529"/>
                <w:sz w:val="18"/>
              </w:rPr>
              <w:t>0.00%</w:t>
            </w:r>
          </w:p>
        </w:tc>
        <w:tc>
          <w:tcPr>
            <w:tcW w:type="dxa" w:w="864"/>
            <w:shd w:fill="FFFFFF"/>
            <w:tcMar>
              <w:top w:w="80" w:type="dxa"/>
              <w:bottom w:w="80" w:type="dxa"/>
              <w:left w:w="120" w:type="dxa"/>
              <w:right w:w="120" w:type="dxa"/>
            </w:tcMar>
          </w:tcPr>
          <w:p>
            <w:pPr>
              <w:spacing w:after="0"/>
              <w:jc w:val="left"/>
            </w:pPr>
            <w:r>
              <w:rPr>
                <w:rFonts w:ascii="Calibri" w:hAnsi="Calibri"/>
                <w:b/>
                <w:color w:val="212529"/>
                <w:sz w:val="18"/>
              </w:rPr>
              <w:t>0.00%</w:t>
            </w:r>
          </w:p>
        </w:tc>
        <w:tc>
          <w:tcPr>
            <w:tcW w:type="dxa" w:w="864"/>
            <w:shd w:fill="FFFFFF"/>
            <w:tcMar>
              <w:top w:w="80" w:type="dxa"/>
              <w:bottom w:w="80" w:type="dxa"/>
              <w:left w:w="120" w:type="dxa"/>
              <w:right w:w="120" w:type="dxa"/>
            </w:tcMar>
          </w:tcPr>
          <w:p>
            <w:pPr>
              <w:spacing w:after="0"/>
              <w:jc w:val="left"/>
            </w:pPr>
            <w:r>
              <w:rPr>
                <w:rFonts w:ascii="Calibri" w:hAnsi="Calibri"/>
                <w:b w:val="0"/>
                <w:color w:val="212529"/>
                <w:sz w:val="18"/>
              </w:rPr>
              <w:t>100.00%</w:t>
            </w:r>
          </w:p>
        </w:tc>
        <w:tc>
          <w:tcPr>
            <w:tcW w:type="dxa" w:w="864"/>
            <w:shd w:fill="FFFFFF"/>
            <w:tcMar>
              <w:top w:w="80" w:type="dxa"/>
              <w:bottom w:w="80" w:type="dxa"/>
              <w:left w:w="120" w:type="dxa"/>
              <w:right w:w="120" w:type="dxa"/>
            </w:tcMar>
          </w:tcPr>
          <w:p>
            <w:pPr>
              <w:spacing w:after="0"/>
              <w:jc w:val="left"/>
            </w:pPr>
            <w:r>
              <w:rPr>
                <w:rFonts w:ascii="Calibri" w:hAnsi="Calibri"/>
                <w:b/>
                <w:color w:val="212529"/>
                <w:sz w:val="18"/>
              </w:rPr>
              <w:t>0.0000</w:t>
            </w:r>
          </w:p>
        </w:tc>
        <w:tc>
          <w:tcPr>
            <w:tcW w:type="dxa" w:w="864"/>
            <w:shd w:fill="FFFFFF"/>
            <w:tcMar>
              <w:top w:w="80" w:type="dxa"/>
              <w:bottom w:w="80" w:type="dxa"/>
              <w:left w:w="120" w:type="dxa"/>
              <w:right w:w="120" w:type="dxa"/>
            </w:tcMar>
          </w:tcPr>
          <w:p>
            <w:pPr>
              <w:spacing w:after="0"/>
              <w:jc w:val="left"/>
            </w:pPr>
            <w:r>
              <w:rPr>
                <w:rFonts w:ascii="Calibri" w:hAnsi="Calibri"/>
                <w:b/>
                <w:color w:val="212529"/>
                <w:sz w:val="18"/>
              </w:rPr>
              <w:t>0.5000</w:t>
            </w:r>
          </w:p>
        </w:tc>
        <w:tc>
          <w:tcPr>
            <w:tcW w:type="dxa" w:w="864"/>
            <w:shd w:fill="FFFFFF"/>
            <w:tcMar>
              <w:top w:w="80" w:type="dxa"/>
              <w:bottom w:w="80" w:type="dxa"/>
              <w:left w:w="120" w:type="dxa"/>
              <w:right w:w="120" w:type="dxa"/>
            </w:tcMar>
          </w:tcPr>
          <w:p>
            <w:pPr>
              <w:spacing w:after="0"/>
              <w:jc w:val="left"/>
            </w:pPr>
            <w:r>
              <w:rPr>
                <w:rFonts w:ascii="Calibri" w:hAnsi="Calibri"/>
                <w:b w:val="0"/>
                <w:color w:val="212529"/>
                <w:sz w:val="18"/>
              </w:rPr>
              <w:t>0.2409</w:t>
            </w:r>
          </w:p>
        </w:tc>
      </w:tr>
      <w:tr>
        <w:tc>
          <w:tcPr>
            <w:tcW w:type="dxa" w:w="2592"/>
            <w:shd w:fill="F9FAFB"/>
            <w:tcMar>
              <w:top w:w="80" w:type="dxa"/>
              <w:bottom w:w="80" w:type="dxa"/>
              <w:left w:w="120" w:type="dxa"/>
              <w:right w:w="120" w:type="dxa"/>
            </w:tcMar>
          </w:tcPr>
          <w:p>
            <w:pPr>
              <w:spacing w:after="0"/>
              <w:jc w:val="left"/>
            </w:pPr>
            <w:r>
              <w:rPr>
                <w:rFonts w:ascii="Calibri" w:hAnsi="Calibri"/>
                <w:b/>
                <w:color w:val="212529"/>
                <w:sz w:val="18"/>
              </w:rPr>
              <w:t>Logistic Regression (Standard GLM)</w:t>
            </w:r>
          </w:p>
        </w:tc>
        <w:tc>
          <w:tcPr>
            <w:tcW w:type="dxa" w:w="864"/>
            <w:shd w:fill="F9FAFB"/>
            <w:tcMar>
              <w:top w:w="80" w:type="dxa"/>
              <w:bottom w:w="80" w:type="dxa"/>
              <w:left w:w="120" w:type="dxa"/>
              <w:right w:w="120" w:type="dxa"/>
            </w:tcMar>
          </w:tcPr>
          <w:p>
            <w:pPr>
              <w:spacing w:after="0"/>
              <w:jc w:val="left"/>
            </w:pPr>
            <w:r>
              <w:rPr>
                <w:rFonts w:ascii="Calibri" w:hAnsi="Calibri"/>
                <w:b w:val="0"/>
                <w:color w:val="212529"/>
                <w:sz w:val="18"/>
              </w:rPr>
              <w:t>84.76%</w:t>
            </w:r>
          </w:p>
        </w:tc>
        <w:tc>
          <w:tcPr>
            <w:tcW w:type="dxa" w:w="864"/>
            <w:shd w:fill="F9FAFB"/>
            <w:tcMar>
              <w:top w:w="80" w:type="dxa"/>
              <w:bottom w:w="80" w:type="dxa"/>
              <w:left w:w="120" w:type="dxa"/>
              <w:right w:w="120" w:type="dxa"/>
            </w:tcMar>
          </w:tcPr>
          <w:p>
            <w:pPr>
              <w:spacing w:after="0"/>
              <w:jc w:val="left"/>
            </w:pPr>
            <w:r>
              <w:rPr>
                <w:rFonts w:ascii="Calibri" w:hAnsi="Calibri"/>
                <w:b w:val="0"/>
                <w:color w:val="212529"/>
                <w:sz w:val="18"/>
              </w:rPr>
              <w:t>76.36%</w:t>
            </w:r>
          </w:p>
        </w:tc>
        <w:tc>
          <w:tcPr>
            <w:tcW w:type="dxa" w:w="864"/>
            <w:shd w:fill="F9FAFB"/>
            <w:tcMar>
              <w:top w:w="80" w:type="dxa"/>
              <w:bottom w:w="80" w:type="dxa"/>
              <w:left w:w="120" w:type="dxa"/>
              <w:right w:w="120" w:type="dxa"/>
            </w:tcMar>
          </w:tcPr>
          <w:p>
            <w:pPr>
              <w:spacing w:after="0"/>
              <w:jc w:val="left"/>
            </w:pPr>
            <w:r>
              <w:rPr>
                <w:rFonts w:ascii="Calibri" w:hAnsi="Calibri"/>
                <w:b w:val="0"/>
                <w:color w:val="212529"/>
                <w:sz w:val="18"/>
              </w:rPr>
              <w:t>71.98%</w:t>
            </w:r>
          </w:p>
        </w:tc>
        <w:tc>
          <w:tcPr>
            <w:tcW w:type="dxa" w:w="864"/>
            <w:shd w:fill="F9FAFB"/>
            <w:tcMar>
              <w:top w:w="80" w:type="dxa"/>
              <w:bottom w:w="80" w:type="dxa"/>
              <w:left w:w="120" w:type="dxa"/>
              <w:right w:w="120" w:type="dxa"/>
            </w:tcMar>
          </w:tcPr>
          <w:p>
            <w:pPr>
              <w:spacing w:after="0"/>
              <w:jc w:val="left"/>
            </w:pPr>
            <w:r>
              <w:rPr>
                <w:rFonts w:ascii="Calibri" w:hAnsi="Calibri"/>
                <w:b/>
                <w:color w:val="212529"/>
                <w:sz w:val="18"/>
              </w:rPr>
              <w:t>60.14%</w:t>
            </w:r>
          </w:p>
        </w:tc>
        <w:tc>
          <w:tcPr>
            <w:tcW w:type="dxa" w:w="864"/>
            <w:shd w:fill="F9FAFB"/>
            <w:tcMar>
              <w:top w:w="80" w:type="dxa"/>
              <w:bottom w:w="80" w:type="dxa"/>
              <w:left w:w="120" w:type="dxa"/>
              <w:right w:w="120" w:type="dxa"/>
            </w:tcMar>
          </w:tcPr>
          <w:p>
            <w:pPr>
              <w:spacing w:after="0"/>
              <w:jc w:val="left"/>
            </w:pPr>
            <w:r>
              <w:rPr>
                <w:rFonts w:ascii="Calibri" w:hAnsi="Calibri"/>
                <w:b w:val="0"/>
                <w:color w:val="212529"/>
                <w:sz w:val="18"/>
              </w:rPr>
              <w:t>92.57%</w:t>
            </w:r>
          </w:p>
        </w:tc>
        <w:tc>
          <w:tcPr>
            <w:tcW w:type="dxa" w:w="864"/>
            <w:shd w:fill="F9FAFB"/>
            <w:tcMar>
              <w:top w:w="80" w:type="dxa"/>
              <w:bottom w:w="80" w:type="dxa"/>
              <w:left w:w="120" w:type="dxa"/>
              <w:right w:w="120" w:type="dxa"/>
            </w:tcMar>
          </w:tcPr>
          <w:p>
            <w:pPr>
              <w:spacing w:after="0"/>
              <w:jc w:val="left"/>
            </w:pPr>
            <w:r>
              <w:rPr>
                <w:rFonts w:ascii="Calibri" w:hAnsi="Calibri"/>
                <w:b/>
                <w:color w:val="212529"/>
                <w:sz w:val="18"/>
              </w:rPr>
              <w:t>0.6553</w:t>
            </w:r>
          </w:p>
        </w:tc>
        <w:tc>
          <w:tcPr>
            <w:tcW w:type="dxa" w:w="864"/>
            <w:shd w:fill="F9FAFB"/>
            <w:tcMar>
              <w:top w:w="80" w:type="dxa"/>
              <w:bottom w:w="80" w:type="dxa"/>
              <w:left w:w="120" w:type="dxa"/>
              <w:right w:w="120" w:type="dxa"/>
            </w:tcMar>
          </w:tcPr>
          <w:p>
            <w:pPr>
              <w:spacing w:after="0"/>
              <w:jc w:val="left"/>
            </w:pPr>
            <w:r>
              <w:rPr>
                <w:rFonts w:ascii="Calibri" w:hAnsi="Calibri"/>
                <w:b/>
                <w:color w:val="212529"/>
                <w:sz w:val="18"/>
              </w:rPr>
              <w:t>0.9047</w:t>
            </w:r>
          </w:p>
        </w:tc>
        <w:tc>
          <w:tcPr>
            <w:tcW w:type="dxa" w:w="864"/>
            <w:shd w:fill="F9FAFB"/>
            <w:tcMar>
              <w:top w:w="80" w:type="dxa"/>
              <w:bottom w:w="80" w:type="dxa"/>
              <w:left w:w="120" w:type="dxa"/>
              <w:right w:w="120" w:type="dxa"/>
            </w:tcMar>
          </w:tcPr>
          <w:p>
            <w:pPr>
              <w:spacing w:after="0"/>
              <w:jc w:val="left"/>
            </w:pPr>
            <w:r>
              <w:rPr>
                <w:rFonts w:ascii="Calibri" w:hAnsi="Calibri"/>
                <w:b w:val="0"/>
                <w:color w:val="212529"/>
                <w:sz w:val="18"/>
              </w:rPr>
              <w:t>0.7271</w:t>
            </w:r>
          </w:p>
        </w:tc>
      </w:tr>
      <w:tr>
        <w:tc>
          <w:tcPr>
            <w:tcW w:type="dxa" w:w="2592"/>
            <w:shd w:fill="FFFFFF"/>
            <w:tcMar>
              <w:top w:w="80" w:type="dxa"/>
              <w:bottom w:w="80" w:type="dxa"/>
              <w:left w:w="120" w:type="dxa"/>
              <w:right w:w="120" w:type="dxa"/>
            </w:tcMar>
          </w:tcPr>
          <w:p>
            <w:pPr>
              <w:spacing w:after="0"/>
              <w:jc w:val="left"/>
            </w:pPr>
            <w:r>
              <w:rPr>
                <w:rFonts w:ascii="Calibri" w:hAnsi="Calibri"/>
                <w:b/>
                <w:color w:val="212529"/>
                <w:sz w:val="18"/>
              </w:rPr>
              <w:t>Regularized Logistic Regression (Elastic Net)</w:t>
            </w:r>
          </w:p>
        </w:tc>
        <w:tc>
          <w:tcPr>
            <w:tcW w:type="dxa" w:w="864"/>
            <w:shd w:fill="FFFFFF"/>
            <w:tcMar>
              <w:top w:w="80" w:type="dxa"/>
              <w:bottom w:w="80" w:type="dxa"/>
              <w:left w:w="120" w:type="dxa"/>
              <w:right w:w="120" w:type="dxa"/>
            </w:tcMar>
          </w:tcPr>
          <w:p>
            <w:pPr>
              <w:spacing w:after="0"/>
              <w:jc w:val="left"/>
            </w:pPr>
            <w:r>
              <w:rPr>
                <w:rFonts w:ascii="Calibri" w:hAnsi="Calibri"/>
                <w:b w:val="0"/>
                <w:color w:val="212529"/>
                <w:sz w:val="18"/>
              </w:rPr>
              <w:t>84.10%</w:t>
            </w:r>
          </w:p>
        </w:tc>
        <w:tc>
          <w:tcPr>
            <w:tcW w:type="dxa" w:w="864"/>
            <w:shd w:fill="FFFFFF"/>
            <w:tcMar>
              <w:top w:w="80" w:type="dxa"/>
              <w:bottom w:w="80" w:type="dxa"/>
              <w:left w:w="120" w:type="dxa"/>
              <w:right w:w="120" w:type="dxa"/>
            </w:tcMar>
          </w:tcPr>
          <w:p>
            <w:pPr>
              <w:spacing w:after="0"/>
              <w:jc w:val="left"/>
            </w:pPr>
            <w:r>
              <w:rPr>
                <w:rFonts w:ascii="Calibri" w:hAnsi="Calibri"/>
                <w:b w:val="0"/>
                <w:color w:val="212529"/>
                <w:sz w:val="18"/>
              </w:rPr>
              <w:t>74.18%</w:t>
            </w:r>
          </w:p>
        </w:tc>
        <w:tc>
          <w:tcPr>
            <w:tcW w:type="dxa" w:w="864"/>
            <w:shd w:fill="FFFFFF"/>
            <w:tcMar>
              <w:top w:w="80" w:type="dxa"/>
              <w:bottom w:w="80" w:type="dxa"/>
              <w:left w:w="120" w:type="dxa"/>
              <w:right w:w="120" w:type="dxa"/>
            </w:tcMar>
          </w:tcPr>
          <w:p>
            <w:pPr>
              <w:spacing w:after="0"/>
              <w:jc w:val="left"/>
            </w:pPr>
            <w:r>
              <w:rPr>
                <w:rFonts w:ascii="Calibri" w:hAnsi="Calibri"/>
                <w:b w:val="0"/>
                <w:color w:val="212529"/>
                <w:sz w:val="18"/>
              </w:rPr>
              <w:t>72.34%</w:t>
            </w:r>
          </w:p>
        </w:tc>
        <w:tc>
          <w:tcPr>
            <w:tcW w:type="dxa" w:w="864"/>
            <w:shd w:fill="FFFFFF"/>
            <w:tcMar>
              <w:top w:w="80" w:type="dxa"/>
              <w:bottom w:w="80" w:type="dxa"/>
              <w:left w:w="120" w:type="dxa"/>
              <w:right w:w="120" w:type="dxa"/>
            </w:tcMar>
          </w:tcPr>
          <w:p>
            <w:pPr>
              <w:spacing w:after="0"/>
              <w:jc w:val="left"/>
            </w:pPr>
            <w:r>
              <w:rPr>
                <w:rFonts w:ascii="Calibri" w:hAnsi="Calibri"/>
                <w:b/>
                <w:color w:val="212529"/>
                <w:sz w:val="18"/>
              </w:rPr>
              <w:t>55.04%</w:t>
            </w:r>
          </w:p>
        </w:tc>
        <w:tc>
          <w:tcPr>
            <w:tcW w:type="dxa" w:w="864"/>
            <w:shd w:fill="FFFFFF"/>
            <w:tcMar>
              <w:top w:w="80" w:type="dxa"/>
              <w:bottom w:w="80" w:type="dxa"/>
              <w:left w:w="120" w:type="dxa"/>
              <w:right w:w="120" w:type="dxa"/>
            </w:tcMar>
          </w:tcPr>
          <w:p>
            <w:pPr>
              <w:spacing w:after="0"/>
              <w:jc w:val="left"/>
            </w:pPr>
            <w:r>
              <w:rPr>
                <w:rFonts w:ascii="Calibri" w:hAnsi="Calibri"/>
                <w:b w:val="0"/>
                <w:color w:val="212529"/>
                <w:sz w:val="18"/>
              </w:rPr>
              <w:t>93.32%</w:t>
            </w:r>
          </w:p>
        </w:tc>
        <w:tc>
          <w:tcPr>
            <w:tcW w:type="dxa" w:w="864"/>
            <w:shd w:fill="FFFFFF"/>
            <w:tcMar>
              <w:top w:w="80" w:type="dxa"/>
              <w:bottom w:w="80" w:type="dxa"/>
              <w:left w:w="120" w:type="dxa"/>
              <w:right w:w="120" w:type="dxa"/>
            </w:tcMar>
          </w:tcPr>
          <w:p>
            <w:pPr>
              <w:spacing w:after="0"/>
              <w:jc w:val="left"/>
            </w:pPr>
            <w:r>
              <w:rPr>
                <w:rFonts w:ascii="Calibri" w:hAnsi="Calibri"/>
                <w:b/>
                <w:color w:val="212529"/>
                <w:sz w:val="18"/>
              </w:rPr>
              <w:t>0.6251</w:t>
            </w:r>
          </w:p>
        </w:tc>
        <w:tc>
          <w:tcPr>
            <w:tcW w:type="dxa" w:w="864"/>
            <w:shd w:fill="FFFFFF"/>
            <w:tcMar>
              <w:top w:w="80" w:type="dxa"/>
              <w:bottom w:w="80" w:type="dxa"/>
              <w:left w:w="120" w:type="dxa"/>
              <w:right w:w="120" w:type="dxa"/>
            </w:tcMar>
          </w:tcPr>
          <w:p>
            <w:pPr>
              <w:spacing w:after="0"/>
              <w:jc w:val="left"/>
            </w:pPr>
            <w:r>
              <w:rPr>
                <w:rFonts w:ascii="Calibri" w:hAnsi="Calibri"/>
                <w:b/>
                <w:color w:val="212529"/>
                <w:sz w:val="18"/>
              </w:rPr>
              <w:t>0.9004</w:t>
            </w:r>
          </w:p>
        </w:tc>
        <w:tc>
          <w:tcPr>
            <w:tcW w:type="dxa" w:w="864"/>
            <w:shd w:fill="FFFFFF"/>
            <w:tcMar>
              <w:top w:w="80" w:type="dxa"/>
              <w:bottom w:w="80" w:type="dxa"/>
              <w:left w:w="120" w:type="dxa"/>
              <w:right w:w="120" w:type="dxa"/>
            </w:tcMar>
          </w:tcPr>
          <w:p>
            <w:pPr>
              <w:spacing w:after="0"/>
              <w:jc w:val="left"/>
            </w:pPr>
            <w:r>
              <w:rPr>
                <w:rFonts w:ascii="Calibri" w:hAnsi="Calibri"/>
                <w:b w:val="0"/>
                <w:color w:val="212529"/>
                <w:sz w:val="18"/>
              </w:rPr>
              <w:t>0.7214</w:t>
            </w:r>
          </w:p>
        </w:tc>
      </w:tr>
    </w:tbl>
    <w:p>
      <w:pPr>
        <w:spacing w:after="160"/>
      </w:pPr>
      <w:r>
        <w:rPr>
          <w:i/>
          <w:color w:val="6C757D"/>
          <w:sz w:val="17"/>
        </w:rPr>
        <w:t>Table 6 Note: Evaluated on N = 6,508 test observations (&lt;=50K: 4,940; &gt;50K: 1,568). Decision cutoff = 0.50. Positive class = &gt;$50,000 annual income.</w:t>
      </w:r>
    </w:p>
    <w:p>
      <w:pPr>
        <w:spacing w:before="160" w:after="60"/>
        <w:jc w:val="center"/>
      </w:pPr>
      <w:r>
        <w:drawing>
          <wp:inline xmlns:a="http://schemas.openxmlformats.org/drawingml/2006/main" xmlns:pic="http://schemas.openxmlformats.org/drawingml/2006/picture">
            <wp:extent cx="5303520" cy="4242816"/>
            <wp:docPr id="12" name="Picture 12"/>
            <wp:cNvGraphicFramePr>
              <a:graphicFrameLocks noChangeAspect="1"/>
            </wp:cNvGraphicFramePr>
            <a:graphic>
              <a:graphicData uri="http://schemas.openxmlformats.org/drawingml/2006/picture">
                <pic:pic>
                  <pic:nvPicPr>
                    <pic:cNvPr id="0" name="week3_confusion_matrix_logistic.png"/>
                    <pic:cNvPicPr/>
                  </pic:nvPicPr>
                  <pic:blipFill>
                    <a:blip r:embed="rId22"/>
                    <a:stretch>
                      <a:fillRect/>
                    </a:stretch>
                  </pic:blipFill>
                  <pic:spPr>
                    <a:xfrm>
                      <a:off x="0" y="0"/>
                      <a:ext cx="5303520" cy="4242816"/>
                    </a:xfrm>
                    <a:prstGeom prst="rect"/>
                  </pic:spPr>
                </pic:pic>
              </a:graphicData>
            </a:graphic>
          </wp:inline>
        </w:drawing>
      </w:r>
    </w:p>
    <w:p>
      <w:pPr>
        <w:spacing w:after="160"/>
        <w:jc w:val="center"/>
      </w:pPr>
      <w:r>
        <w:rPr>
          <w:b/>
          <w:color w:val="1B365D"/>
          <w:sz w:val="19"/>
        </w:rPr>
        <w:t xml:space="preserve">Figure 12: </w:t>
      </w:r>
      <w:r>
        <w:rPr>
          <w:b/>
          <w:color w:val="465C7A"/>
          <w:sz w:val="19"/>
        </w:rPr>
        <w:t xml:space="preserve">Holdout Test Confusion Matrix: Logistic Regression. </w:t>
      </w:r>
      <w:r>
        <w:rPr>
          <w:i/>
          <w:color w:val="6C757D"/>
          <w:sz w:val="18"/>
        </w:rPr>
        <w:t>Classification breakdown for standard logistic regression at cutoff 0.50 (Holdout N = 6,508). Correct classifications account for 84.76% of all test cases.</w:t>
      </w:r>
    </w:p>
    <w:p>
      <w:pPr>
        <w:spacing w:before="160" w:after="60"/>
        <w:jc w:val="center"/>
      </w:pPr>
      <w:r>
        <w:drawing>
          <wp:inline xmlns:a="http://schemas.openxmlformats.org/drawingml/2006/main" xmlns:pic="http://schemas.openxmlformats.org/drawingml/2006/picture">
            <wp:extent cx="5303520" cy="4211619"/>
            <wp:docPr id="13" name="Picture 13"/>
            <wp:cNvGraphicFramePr>
              <a:graphicFrameLocks noChangeAspect="1"/>
            </wp:cNvGraphicFramePr>
            <a:graphic>
              <a:graphicData uri="http://schemas.openxmlformats.org/drawingml/2006/picture">
                <pic:pic>
                  <pic:nvPicPr>
                    <pic:cNvPr id="0" name="week3_roc_curves.png"/>
                    <pic:cNvPicPr/>
                  </pic:nvPicPr>
                  <pic:blipFill>
                    <a:blip r:embed="rId23"/>
                    <a:stretch>
                      <a:fillRect/>
                    </a:stretch>
                  </pic:blipFill>
                  <pic:spPr>
                    <a:xfrm>
                      <a:off x="0" y="0"/>
                      <a:ext cx="5303520" cy="4211619"/>
                    </a:xfrm>
                    <a:prstGeom prst="rect"/>
                  </pic:spPr>
                </pic:pic>
              </a:graphicData>
            </a:graphic>
          </wp:inline>
        </w:drawing>
      </w:r>
    </w:p>
    <w:p>
      <w:pPr>
        <w:spacing w:after="160"/>
        <w:jc w:val="center"/>
      </w:pPr>
      <w:r>
        <w:rPr>
          <w:b/>
          <w:color w:val="1B365D"/>
          <w:sz w:val="19"/>
        </w:rPr>
        <w:t xml:space="preserve">Figure 13: </w:t>
      </w:r>
      <w:r>
        <w:rPr>
          <w:b/>
          <w:color w:val="465C7A"/>
          <w:sz w:val="19"/>
        </w:rPr>
        <w:t xml:space="preserve">Receiver Operating Characteristic (ROC) Comparison. </w:t>
      </w:r>
      <w:r>
        <w:rPr>
          <w:i/>
          <w:color w:val="6C757D"/>
          <w:sz w:val="18"/>
        </w:rPr>
        <w:t>Comparison of ROC curves for Logistic Regression (AUC = 0.905) and Elastic Net (AUC = 0.900) across all operational decision thresholds.</w:t>
      </w:r>
    </w:p>
    <w:p>
      <w:pPr>
        <w:spacing w:before="160" w:after="60"/>
        <w:jc w:val="center"/>
      </w:pPr>
      <w:r>
        <w:drawing>
          <wp:inline xmlns:a="http://schemas.openxmlformats.org/drawingml/2006/main" xmlns:pic="http://schemas.openxmlformats.org/drawingml/2006/picture">
            <wp:extent cx="5303520" cy="4211619"/>
            <wp:docPr id="14" name="Picture 14"/>
            <wp:cNvGraphicFramePr>
              <a:graphicFrameLocks noChangeAspect="1"/>
            </wp:cNvGraphicFramePr>
            <a:graphic>
              <a:graphicData uri="http://schemas.openxmlformats.org/drawingml/2006/picture">
                <pic:pic>
                  <pic:nvPicPr>
                    <pic:cNvPr id="0" name="week3_pr_curves.png"/>
                    <pic:cNvPicPr/>
                  </pic:nvPicPr>
                  <pic:blipFill>
                    <a:blip r:embed="rId24"/>
                    <a:stretch>
                      <a:fillRect/>
                    </a:stretch>
                  </pic:blipFill>
                  <pic:spPr>
                    <a:xfrm>
                      <a:off x="0" y="0"/>
                      <a:ext cx="5303520" cy="4211619"/>
                    </a:xfrm>
                    <a:prstGeom prst="rect"/>
                  </pic:spPr>
                </pic:pic>
              </a:graphicData>
            </a:graphic>
          </wp:inline>
        </w:drawing>
      </w:r>
    </w:p>
    <w:p>
      <w:pPr>
        <w:spacing w:after="160"/>
        <w:jc w:val="center"/>
      </w:pPr>
      <w:r>
        <w:rPr>
          <w:b/>
          <w:color w:val="1B365D"/>
          <w:sz w:val="19"/>
        </w:rPr>
        <w:t xml:space="preserve">Figure 14: </w:t>
      </w:r>
      <w:r>
        <w:rPr>
          <w:b/>
          <w:color w:val="465C7A"/>
          <w:sz w:val="19"/>
        </w:rPr>
        <w:t xml:space="preserve">Precision-Recall Curve Under Class Imbalance. </w:t>
      </w:r>
      <w:r>
        <w:rPr>
          <w:i/>
          <w:color w:val="6C757D"/>
          <w:sz w:val="18"/>
        </w:rPr>
        <w:t>Precision-Recall curves benchmarked against the 24.09% prevalence baseline. Logistic Regression maintains strong precision (PR-AUC = 0.727).</w:t>
      </w:r>
    </w:p>
    <w:p>
      <w:pPr>
        <w:spacing w:before="160" w:after="60"/>
        <w:jc w:val="center"/>
      </w:pPr>
      <w:r>
        <w:drawing>
          <wp:inline xmlns:a="http://schemas.openxmlformats.org/drawingml/2006/main" xmlns:pic="http://schemas.openxmlformats.org/drawingml/2006/picture">
            <wp:extent cx="5303520" cy="3244506"/>
            <wp:docPr id="15" name="Picture 15"/>
            <wp:cNvGraphicFramePr>
              <a:graphicFrameLocks noChangeAspect="1"/>
            </wp:cNvGraphicFramePr>
            <a:graphic>
              <a:graphicData uri="http://schemas.openxmlformats.org/drawingml/2006/picture">
                <pic:pic>
                  <pic:nvPicPr>
                    <pic:cNvPr id="0" name="week3_model_comparison.png"/>
                    <pic:cNvPicPr/>
                  </pic:nvPicPr>
                  <pic:blipFill>
                    <a:blip r:embed="rId25"/>
                    <a:stretch>
                      <a:fillRect/>
                    </a:stretch>
                  </pic:blipFill>
                  <pic:spPr>
                    <a:xfrm>
                      <a:off x="0" y="0"/>
                      <a:ext cx="5303520" cy="3244506"/>
                    </a:xfrm>
                    <a:prstGeom prst="rect"/>
                  </pic:spPr>
                </pic:pic>
              </a:graphicData>
            </a:graphic>
          </wp:inline>
        </w:drawing>
      </w:r>
    </w:p>
    <w:p>
      <w:pPr>
        <w:spacing w:after="160"/>
        <w:jc w:val="center"/>
      </w:pPr>
      <w:r>
        <w:rPr>
          <w:b/>
          <w:color w:val="1B365D"/>
          <w:sz w:val="19"/>
        </w:rPr>
        <w:t xml:space="preserve">Figure 15: </w:t>
      </w:r>
      <w:r>
        <w:rPr>
          <w:b/>
          <w:color w:val="465C7A"/>
          <w:sz w:val="19"/>
        </w:rPr>
        <w:t xml:space="preserve">Multi-Metric Benchmark Across Classification Models. </w:t>
      </w:r>
      <w:r>
        <w:rPr>
          <w:i/>
          <w:color w:val="6C757D"/>
          <w:sz w:val="18"/>
        </w:rPr>
        <w:t>Bar chart benchmarking Baseline, Logistic Regression, and Regularized Elastic Net across seven classification performance dimensions.</w:t>
      </w:r>
    </w:p>
    <w:p>
      <w:pPr>
        <w:spacing w:after="120" w:line="276" w:lineRule="auto"/>
      </w:pPr>
      <w:r>
        <w:rPr>
          <w:rFonts w:ascii="Calibri" w:hAnsi="Calibri"/>
          <w:b/>
          <w:color w:val="1B365D"/>
          <w:sz w:val="22"/>
        </w:rPr>
        <w:t xml:space="preserve">Performance Analysis: </w:t>
      </w:r>
      <w:r>
        <w:rPr>
          <w:rFonts w:ascii="Calibri" w:hAnsi="Calibri"/>
          <w:color w:val="212529"/>
          <w:sz w:val="22"/>
        </w:rPr>
        <w:t>Synthesis of Holdout Benchmark Results:</w:t>
      </w:r>
    </w:p>
    <w:p>
      <w:pPr>
        <w:pStyle w:val="ListBullet"/>
        <w:spacing w:after="60" w:line="276" w:lineRule="auto"/>
      </w:pPr>
      <w:r>
        <w:rPr>
          <w:rFonts w:ascii="Calibri" w:hAnsi="Calibri"/>
          <w:b/>
          <w:color w:val="1B365D"/>
          <w:sz w:val="21"/>
        </w:rPr>
        <w:t xml:space="preserve">Area Under ROC Curve: </w:t>
      </w:r>
      <w:r>
        <w:rPr>
          <w:rFonts w:ascii="Calibri" w:hAnsi="Calibri"/>
          <w:color w:val="212529"/>
          <w:sz w:val="21"/>
        </w:rPr>
        <w:t>Discrimination (ROC-AUC): Standard Logistic Regression achieves an outstanding ROC-AUC of 0.9047, indicating a 90.5% probability that a randomly selected high earner will be assigned a higher model probability than a randomly selected low earner. Elastic Net achieves a nearly identical AUC of 0.9004.</w:t>
      </w:r>
    </w:p>
    <w:p>
      <w:pPr>
        <w:pStyle w:val="ListBullet"/>
        <w:spacing w:after="60" w:line="276" w:lineRule="auto"/>
      </w:pPr>
      <w:r>
        <w:rPr>
          <w:rFonts w:ascii="Calibri" w:hAnsi="Calibri"/>
          <w:b/>
          <w:color w:val="1B365D"/>
          <w:sz w:val="21"/>
        </w:rPr>
        <w:t xml:space="preserve">Precision &amp; Coverage: </w:t>
      </w:r>
      <w:r>
        <w:rPr>
          <w:rFonts w:ascii="Calibri" w:hAnsi="Calibri"/>
          <w:color w:val="212529"/>
          <w:sz w:val="21"/>
        </w:rPr>
        <w:t>Precision-Recall Dynamics: Under class imbalance (24.1% positive class), the Precision-Recall AUC reaches 0.7271—more than triple the uninformative baseline of 0.2409. At cutoff 0.50, precision is 71.98%, meaning that over 7 out of 10 individuals predicted to earn &gt;$50,000 genuinely do so.</w:t>
      </w:r>
    </w:p>
    <w:p>
      <w:pPr>
        <w:pStyle w:val="ListBullet"/>
        <w:spacing w:after="60" w:line="276" w:lineRule="auto"/>
      </w:pPr>
      <w:r>
        <w:rPr>
          <w:rFonts w:ascii="Calibri" w:hAnsi="Calibri"/>
          <w:b/>
          <w:color w:val="1B365D"/>
          <w:sz w:val="21"/>
        </w:rPr>
        <w:t xml:space="preserve">Sensitivity Balance: </w:t>
      </w:r>
      <w:r>
        <w:rPr>
          <w:rFonts w:ascii="Calibri" w:hAnsi="Calibri"/>
          <w:color w:val="212529"/>
          <w:sz w:val="21"/>
        </w:rPr>
        <w:t>Sensitivity vs. Specificity Trade-Off: Specificity is exceptionally high (92.57%), resulting in very few false accusations of high earnings (FP = 367 out of 4,940 actual low earners). Sensitivity is 60.14% (TP = 943 out of 1,568 actual high earners), reflecting conservative classification behavior at the 0.50 cutoff.</w:t>
      </w:r>
    </w:p>
    <w:p>
      <w:pPr>
        <w:pStyle w:val="Heading1"/>
        <w:keepNext/>
        <w:spacing w:before="360" w:after="120"/>
      </w:pPr>
      <w:r>
        <w:rPr>
          <w:rFonts w:ascii="Calibri" w:hAnsi="Calibri"/>
          <w:b/>
          <w:color w:val="1B365D"/>
          <w:sz w:val="34"/>
        </w:rPr>
        <w:t>Section 10: Model Diagnostics, Probability Calibration &amp; Residuals</w:t>
      </w:r>
    </w:p>
    <w:p>
      <w:pPr>
        <w:spacing w:after="120" w:line="276" w:lineRule="auto"/>
      </w:pPr>
      <w:r>
        <w:rPr>
          <w:rFonts w:ascii="Calibri" w:hAnsi="Calibri"/>
          <w:color w:val="212529"/>
          <w:sz w:val="22"/>
        </w:rPr>
        <w:t>Machine learning models often produce uncalibrated probability scores that cannot be interpreted as true posterior risks. Furthermore, influential observations and extreme leverage points can distort parameter estimation. A rigorous diagnostic battery was therefore executed on the logistic regression model.</w:t>
      </w:r>
    </w:p>
    <w:p>
      <w:pPr>
        <w:pStyle w:val="Heading2"/>
        <w:keepNext/>
        <w:spacing w:before="260" w:after="80"/>
      </w:pPr>
      <w:r>
        <w:rPr>
          <w:rFonts w:ascii="Calibri" w:hAnsi="Calibri"/>
          <w:b/>
          <w:color w:val="465C7A"/>
          <w:sz w:val="27"/>
        </w:rPr>
        <w:t>Deciles of Risk Probability Calibration</w:t>
      </w:r>
    </w:p>
    <w:p>
      <w:pPr>
        <w:spacing w:after="120" w:line="276" w:lineRule="auto"/>
      </w:pPr>
      <w:r>
        <w:rPr>
          <w:rFonts w:ascii="Calibri" w:hAnsi="Calibri"/>
          <w:color w:val="212529"/>
          <w:sz w:val="22"/>
        </w:rPr>
        <w:t>Holdout test predictions were grouped into ten deciles based on modeled probability P(Y=1). In Table 7, the mean predicted probability within each decile is compared directly against the empirically observed proportion of high earners:</w:t>
      </w:r>
    </w:p>
    <w:tbl>
      <w:tblPr>
        <w:tblW w:type="auto" w:w="0"/>
        <w:jc w:val="center"/>
        <w:tblLook w:firstColumn="1" w:firstRow="1" w:lastColumn="0" w:lastRow="0" w:noHBand="0" w:noVBand="1" w:val="04A0"/>
        <w:tblBorders>
          <w:top w:val="single" w:sz="6" w:space="0" w:color="D0D7DE"/>
          <w:bottom w:val="single" w:sz="8" w:space="0" w:color="D0D7DE"/>
          <w:insideH w:val="single" w:sz="4" w:space="0" w:color="D0D7DE"/>
          <w:insideV w:val="none"/>
          <w:left w:val="none"/>
          <w:right w:val="none"/>
        </w:tblBorders>
      </w:tblPr>
      <w:tblGrid>
        <w:gridCol w:w="1560"/>
        <w:gridCol w:w="1560"/>
        <w:gridCol w:w="1560"/>
        <w:gridCol w:w="1560"/>
        <w:gridCol w:w="1560"/>
        <w:gridCol w:w="1560"/>
      </w:tblGrid>
      <w:tr>
        <w:tc>
          <w:tcPr>
            <w:tcW w:type="dxa" w:w="1872"/>
            <w:shd w:fill="1B365D"/>
            <w:tcMar>
              <w:top w:w="120" w:type="dxa"/>
              <w:bottom w:w="120" w:type="dxa"/>
              <w:left w:w="120" w:type="dxa"/>
              <w:right w:w="120" w:type="dxa"/>
            </w:tcMar>
          </w:tcPr>
          <w:p>
            <w:pPr>
              <w:spacing w:after="0"/>
              <w:jc w:val="left"/>
            </w:pPr>
            <w:r>
              <w:rPr>
                <w:rFonts w:ascii="Calibri" w:hAnsi="Calibri"/>
                <w:b/>
                <w:color w:val="FFFFFF"/>
                <w:sz w:val="19"/>
              </w:rPr>
              <w:t>Probability Decile</w:t>
            </w:r>
          </w:p>
        </w:tc>
        <w:tc>
          <w:tcPr>
            <w:tcW w:type="dxa" w:w="1296"/>
            <w:shd w:fill="1B365D"/>
            <w:tcMar>
              <w:top w:w="120" w:type="dxa"/>
              <w:bottom w:w="120" w:type="dxa"/>
              <w:left w:w="120" w:type="dxa"/>
              <w:right w:w="120" w:type="dxa"/>
            </w:tcMar>
          </w:tcPr>
          <w:p>
            <w:pPr>
              <w:spacing w:after="0"/>
              <w:jc w:val="left"/>
            </w:pPr>
            <w:r>
              <w:rPr>
                <w:rFonts w:ascii="Calibri" w:hAnsi="Calibri"/>
                <w:b/>
                <w:color w:val="FFFFFF"/>
                <w:sz w:val="19"/>
              </w:rPr>
              <w:t>Bin Count</w:t>
            </w:r>
          </w:p>
        </w:tc>
        <w:tc>
          <w:tcPr>
            <w:tcW w:type="dxa" w:w="1584"/>
            <w:shd w:fill="1B365D"/>
            <w:tcMar>
              <w:top w:w="120" w:type="dxa"/>
              <w:bottom w:w="120" w:type="dxa"/>
              <w:left w:w="120" w:type="dxa"/>
              <w:right w:w="120" w:type="dxa"/>
            </w:tcMar>
          </w:tcPr>
          <w:p>
            <w:pPr>
              <w:spacing w:after="0"/>
              <w:jc w:val="left"/>
            </w:pPr>
            <w:r>
              <w:rPr>
                <w:rFonts w:ascii="Calibri" w:hAnsi="Calibri"/>
                <w:b/>
                <w:color w:val="FFFFFF"/>
                <w:sz w:val="19"/>
              </w:rPr>
              <w:t>Mean Predicted Prob</w:t>
            </w:r>
          </w:p>
        </w:tc>
        <w:tc>
          <w:tcPr>
            <w:tcW w:type="dxa" w:w="1584"/>
            <w:shd w:fill="1B365D"/>
            <w:tcMar>
              <w:top w:w="120" w:type="dxa"/>
              <w:bottom w:w="120" w:type="dxa"/>
              <w:left w:w="120" w:type="dxa"/>
              <w:right w:w="120" w:type="dxa"/>
            </w:tcMar>
          </w:tcPr>
          <w:p>
            <w:pPr>
              <w:spacing w:after="0"/>
              <w:jc w:val="left"/>
            </w:pPr>
            <w:r>
              <w:rPr>
                <w:rFonts w:ascii="Calibri" w:hAnsi="Calibri"/>
                <w:b/>
                <w:color w:val="FFFFFF"/>
                <w:sz w:val="19"/>
              </w:rPr>
              <w:t>Observed High Earners</w:t>
            </w:r>
          </w:p>
        </w:tc>
        <w:tc>
          <w:tcPr>
            <w:tcW w:type="dxa" w:w="1440"/>
            <w:shd w:fill="1B365D"/>
            <w:tcMar>
              <w:top w:w="120" w:type="dxa"/>
              <w:bottom w:w="120" w:type="dxa"/>
              <w:left w:w="120" w:type="dxa"/>
              <w:right w:w="120" w:type="dxa"/>
            </w:tcMar>
          </w:tcPr>
          <w:p>
            <w:pPr>
              <w:spacing w:after="0"/>
              <w:jc w:val="left"/>
            </w:pPr>
            <w:r>
              <w:rPr>
                <w:rFonts w:ascii="Calibri" w:hAnsi="Calibri"/>
                <w:b/>
                <w:color w:val="FFFFFF"/>
                <w:sz w:val="19"/>
              </w:rPr>
              <w:t>Observed Rate</w:t>
            </w:r>
          </w:p>
        </w:tc>
        <w:tc>
          <w:tcPr>
            <w:tcW w:type="dxa" w:w="1584"/>
            <w:shd w:fill="1B365D"/>
            <w:tcMar>
              <w:top w:w="120" w:type="dxa"/>
              <w:bottom w:w="120" w:type="dxa"/>
              <w:left w:w="120" w:type="dxa"/>
              <w:right w:w="120" w:type="dxa"/>
            </w:tcMar>
          </w:tcPr>
          <w:p>
            <w:pPr>
              <w:spacing w:after="0"/>
              <w:jc w:val="left"/>
            </w:pPr>
            <w:r>
              <w:rPr>
                <w:rFonts w:ascii="Calibri" w:hAnsi="Calibri"/>
                <w:b/>
                <w:color w:val="FFFFFF"/>
                <w:sz w:val="19"/>
              </w:rPr>
              <w:t>Calibration Error</w:t>
            </w:r>
          </w:p>
        </w:tc>
      </w:tr>
      <w:tr>
        <w:tc>
          <w:tcPr>
            <w:tcW w:type="dxa" w:w="1872"/>
            <w:shd w:fill="FFFFFF"/>
            <w:tcMar>
              <w:top w:w="80" w:type="dxa"/>
              <w:bottom w:w="80" w:type="dxa"/>
              <w:left w:w="120" w:type="dxa"/>
              <w:right w:w="120" w:type="dxa"/>
            </w:tcMar>
          </w:tcPr>
          <w:p>
            <w:pPr>
              <w:spacing w:after="0"/>
              <w:jc w:val="left"/>
            </w:pPr>
            <w:r>
              <w:rPr>
                <w:rFonts w:ascii="Calibri" w:hAnsi="Calibri"/>
                <w:b/>
                <w:color w:val="212529"/>
                <w:sz w:val="18"/>
              </w:rPr>
              <w:t>[0,0.1]</w:t>
            </w:r>
          </w:p>
        </w:tc>
        <w:tc>
          <w:tcPr>
            <w:tcW w:type="dxa" w:w="1296"/>
            <w:shd w:fill="FFFFFF"/>
            <w:tcMar>
              <w:top w:w="80" w:type="dxa"/>
              <w:bottom w:w="80" w:type="dxa"/>
              <w:left w:w="120" w:type="dxa"/>
              <w:right w:w="120" w:type="dxa"/>
            </w:tcMar>
          </w:tcPr>
          <w:p>
            <w:pPr>
              <w:spacing w:after="0"/>
              <w:jc w:val="left"/>
            </w:pPr>
            <w:r>
              <w:rPr>
                <w:rFonts w:ascii="Calibri" w:hAnsi="Calibri"/>
                <w:b w:val="0"/>
                <w:color w:val="212529"/>
                <w:sz w:val="18"/>
              </w:rPr>
              <w:t>3,207</w:t>
            </w:r>
          </w:p>
        </w:tc>
        <w:tc>
          <w:tcPr>
            <w:tcW w:type="dxa" w:w="1584"/>
            <w:shd w:fill="FFFFFF"/>
            <w:tcMar>
              <w:top w:w="80" w:type="dxa"/>
              <w:bottom w:w="80" w:type="dxa"/>
              <w:left w:w="120" w:type="dxa"/>
              <w:right w:w="120" w:type="dxa"/>
            </w:tcMar>
          </w:tcPr>
          <w:p>
            <w:pPr>
              <w:spacing w:after="0"/>
              <w:jc w:val="left"/>
            </w:pPr>
            <w:r>
              <w:rPr>
                <w:rFonts w:ascii="Calibri" w:hAnsi="Calibri"/>
                <w:b w:val="0"/>
                <w:color w:val="212529"/>
                <w:sz w:val="18"/>
              </w:rPr>
              <w:t>2.59%</w:t>
            </w:r>
          </w:p>
        </w:tc>
        <w:tc>
          <w:tcPr>
            <w:tcW w:type="dxa" w:w="1584"/>
            <w:shd w:fill="FFFFFF"/>
            <w:tcMar>
              <w:top w:w="80" w:type="dxa"/>
              <w:bottom w:w="80" w:type="dxa"/>
              <w:left w:w="120" w:type="dxa"/>
              <w:right w:w="120" w:type="dxa"/>
            </w:tcMar>
          </w:tcPr>
          <w:p>
            <w:pPr>
              <w:spacing w:after="0"/>
              <w:jc w:val="left"/>
            </w:pPr>
            <w:r>
              <w:rPr>
                <w:rFonts w:ascii="Calibri" w:hAnsi="Calibri"/>
                <w:b w:val="0"/>
                <w:color w:val="212529"/>
                <w:sz w:val="18"/>
              </w:rPr>
              <w:t>62</w:t>
            </w:r>
          </w:p>
        </w:tc>
        <w:tc>
          <w:tcPr>
            <w:tcW w:type="dxa" w:w="1440"/>
            <w:shd w:fill="FFFFFF"/>
            <w:tcMar>
              <w:top w:w="80" w:type="dxa"/>
              <w:bottom w:w="80" w:type="dxa"/>
              <w:left w:w="120" w:type="dxa"/>
              <w:right w:w="120" w:type="dxa"/>
            </w:tcMar>
          </w:tcPr>
          <w:p>
            <w:pPr>
              <w:spacing w:after="0"/>
              <w:jc w:val="left"/>
            </w:pPr>
            <w:r>
              <w:rPr>
                <w:rFonts w:ascii="Calibri" w:hAnsi="Calibri"/>
                <w:b/>
                <w:color w:val="212529"/>
                <w:sz w:val="18"/>
              </w:rPr>
              <w:t>1.93%</w:t>
            </w:r>
          </w:p>
        </w:tc>
        <w:tc>
          <w:tcPr>
            <w:tcW w:type="dxa" w:w="1584"/>
            <w:shd w:fill="FFFFFF"/>
            <w:tcMar>
              <w:top w:w="80" w:type="dxa"/>
              <w:bottom w:w="80" w:type="dxa"/>
              <w:left w:w="120" w:type="dxa"/>
              <w:right w:w="120" w:type="dxa"/>
            </w:tcMar>
          </w:tcPr>
          <w:p>
            <w:pPr>
              <w:spacing w:after="0"/>
              <w:jc w:val="left"/>
            </w:pPr>
            <w:r>
              <w:rPr>
                <w:rFonts w:ascii="Calibri" w:hAnsi="Calibri"/>
                <w:b/>
                <w:color w:val="27AE60"/>
                <w:sz w:val="18"/>
              </w:rPr>
              <w:t>-0.66%</w:t>
            </w:r>
          </w:p>
        </w:tc>
      </w:tr>
      <w:tr>
        <w:tc>
          <w:tcPr>
            <w:tcW w:type="dxa" w:w="1872"/>
            <w:shd w:fill="F9FAFB"/>
            <w:tcMar>
              <w:top w:w="80" w:type="dxa"/>
              <w:bottom w:w="80" w:type="dxa"/>
              <w:left w:w="120" w:type="dxa"/>
              <w:right w:w="120" w:type="dxa"/>
            </w:tcMar>
          </w:tcPr>
          <w:p>
            <w:pPr>
              <w:spacing w:after="0"/>
              <w:jc w:val="left"/>
            </w:pPr>
            <w:r>
              <w:rPr>
                <w:rFonts w:ascii="Calibri" w:hAnsi="Calibri"/>
                <w:b/>
                <w:color w:val="212529"/>
                <w:sz w:val="18"/>
              </w:rPr>
              <w:t>(0.1,0.2]</w:t>
            </w:r>
          </w:p>
        </w:tc>
        <w:tc>
          <w:tcPr>
            <w:tcW w:type="dxa" w:w="1296"/>
            <w:shd w:fill="F9FAFB"/>
            <w:tcMar>
              <w:top w:w="80" w:type="dxa"/>
              <w:bottom w:w="80" w:type="dxa"/>
              <w:left w:w="120" w:type="dxa"/>
              <w:right w:w="120" w:type="dxa"/>
            </w:tcMar>
          </w:tcPr>
          <w:p>
            <w:pPr>
              <w:spacing w:after="0"/>
              <w:jc w:val="left"/>
            </w:pPr>
            <w:r>
              <w:rPr>
                <w:rFonts w:ascii="Calibri" w:hAnsi="Calibri"/>
                <w:b w:val="0"/>
                <w:color w:val="212529"/>
                <w:sz w:val="18"/>
              </w:rPr>
              <w:t>669</w:t>
            </w:r>
          </w:p>
        </w:tc>
        <w:tc>
          <w:tcPr>
            <w:tcW w:type="dxa" w:w="1584"/>
            <w:shd w:fill="F9FAFB"/>
            <w:tcMar>
              <w:top w:w="80" w:type="dxa"/>
              <w:bottom w:w="80" w:type="dxa"/>
              <w:left w:w="120" w:type="dxa"/>
              <w:right w:w="120" w:type="dxa"/>
            </w:tcMar>
          </w:tcPr>
          <w:p>
            <w:pPr>
              <w:spacing w:after="0"/>
              <w:jc w:val="left"/>
            </w:pPr>
            <w:r>
              <w:rPr>
                <w:rFonts w:ascii="Calibri" w:hAnsi="Calibri"/>
                <w:b w:val="0"/>
                <w:color w:val="212529"/>
                <w:sz w:val="18"/>
              </w:rPr>
              <w:t>14.71%</w:t>
            </w:r>
          </w:p>
        </w:tc>
        <w:tc>
          <w:tcPr>
            <w:tcW w:type="dxa" w:w="1584"/>
            <w:shd w:fill="F9FAFB"/>
            <w:tcMar>
              <w:top w:w="80" w:type="dxa"/>
              <w:bottom w:w="80" w:type="dxa"/>
              <w:left w:w="120" w:type="dxa"/>
              <w:right w:w="120" w:type="dxa"/>
            </w:tcMar>
          </w:tcPr>
          <w:p>
            <w:pPr>
              <w:spacing w:after="0"/>
              <w:jc w:val="left"/>
            </w:pPr>
            <w:r>
              <w:rPr>
                <w:rFonts w:ascii="Calibri" w:hAnsi="Calibri"/>
                <w:b w:val="0"/>
                <w:color w:val="212529"/>
                <w:sz w:val="18"/>
              </w:rPr>
              <w:t>103</w:t>
            </w:r>
          </w:p>
        </w:tc>
        <w:tc>
          <w:tcPr>
            <w:tcW w:type="dxa" w:w="1440"/>
            <w:shd w:fill="F9FAFB"/>
            <w:tcMar>
              <w:top w:w="80" w:type="dxa"/>
              <w:bottom w:w="80" w:type="dxa"/>
              <w:left w:w="120" w:type="dxa"/>
              <w:right w:w="120" w:type="dxa"/>
            </w:tcMar>
          </w:tcPr>
          <w:p>
            <w:pPr>
              <w:spacing w:after="0"/>
              <w:jc w:val="left"/>
            </w:pPr>
            <w:r>
              <w:rPr>
                <w:rFonts w:ascii="Calibri" w:hAnsi="Calibri"/>
                <w:b/>
                <w:color w:val="212529"/>
                <w:sz w:val="18"/>
              </w:rPr>
              <w:t>15.40%</w:t>
            </w:r>
          </w:p>
        </w:tc>
        <w:tc>
          <w:tcPr>
            <w:tcW w:type="dxa" w:w="1584"/>
            <w:shd w:fill="F9FAFB"/>
            <w:tcMar>
              <w:top w:w="80" w:type="dxa"/>
              <w:bottom w:w="80" w:type="dxa"/>
              <w:left w:w="120" w:type="dxa"/>
              <w:right w:w="120" w:type="dxa"/>
            </w:tcMar>
          </w:tcPr>
          <w:p>
            <w:pPr>
              <w:spacing w:after="0"/>
              <w:jc w:val="left"/>
            </w:pPr>
            <w:r>
              <w:rPr>
                <w:rFonts w:ascii="Calibri" w:hAnsi="Calibri"/>
                <w:b/>
                <w:color w:val="27AE60"/>
                <w:sz w:val="18"/>
              </w:rPr>
              <w:t>+0.69%</w:t>
            </w:r>
          </w:p>
        </w:tc>
      </w:tr>
      <w:tr>
        <w:tc>
          <w:tcPr>
            <w:tcW w:type="dxa" w:w="1872"/>
            <w:shd w:fill="FFFFFF"/>
            <w:tcMar>
              <w:top w:w="80" w:type="dxa"/>
              <w:bottom w:w="80" w:type="dxa"/>
              <w:left w:w="120" w:type="dxa"/>
              <w:right w:w="120" w:type="dxa"/>
            </w:tcMar>
          </w:tcPr>
          <w:p>
            <w:pPr>
              <w:spacing w:after="0"/>
              <w:jc w:val="left"/>
            </w:pPr>
            <w:r>
              <w:rPr>
                <w:rFonts w:ascii="Calibri" w:hAnsi="Calibri"/>
                <w:b/>
                <w:color w:val="212529"/>
                <w:sz w:val="18"/>
              </w:rPr>
              <w:t>(0.2,0.3]</w:t>
            </w:r>
          </w:p>
        </w:tc>
        <w:tc>
          <w:tcPr>
            <w:tcW w:type="dxa" w:w="1296"/>
            <w:shd w:fill="FFFFFF"/>
            <w:tcMar>
              <w:top w:w="80" w:type="dxa"/>
              <w:bottom w:w="80" w:type="dxa"/>
              <w:left w:w="120" w:type="dxa"/>
              <w:right w:w="120" w:type="dxa"/>
            </w:tcMar>
          </w:tcPr>
          <w:p>
            <w:pPr>
              <w:spacing w:after="0"/>
              <w:jc w:val="left"/>
            </w:pPr>
            <w:r>
              <w:rPr>
                <w:rFonts w:ascii="Calibri" w:hAnsi="Calibri"/>
                <w:b w:val="0"/>
                <w:color w:val="212529"/>
                <w:sz w:val="18"/>
              </w:rPr>
              <w:t>564</w:t>
            </w:r>
          </w:p>
        </w:tc>
        <w:tc>
          <w:tcPr>
            <w:tcW w:type="dxa" w:w="1584"/>
            <w:shd w:fill="FFFFFF"/>
            <w:tcMar>
              <w:top w:w="80" w:type="dxa"/>
              <w:bottom w:w="80" w:type="dxa"/>
              <w:left w:w="120" w:type="dxa"/>
              <w:right w:w="120" w:type="dxa"/>
            </w:tcMar>
          </w:tcPr>
          <w:p>
            <w:pPr>
              <w:spacing w:after="0"/>
              <w:jc w:val="left"/>
            </w:pPr>
            <w:r>
              <w:rPr>
                <w:rFonts w:ascii="Calibri" w:hAnsi="Calibri"/>
                <w:b w:val="0"/>
                <w:color w:val="212529"/>
                <w:sz w:val="18"/>
              </w:rPr>
              <w:t>24.97%</w:t>
            </w:r>
          </w:p>
        </w:tc>
        <w:tc>
          <w:tcPr>
            <w:tcW w:type="dxa" w:w="1584"/>
            <w:shd w:fill="FFFFFF"/>
            <w:tcMar>
              <w:top w:w="80" w:type="dxa"/>
              <w:bottom w:w="80" w:type="dxa"/>
              <w:left w:w="120" w:type="dxa"/>
              <w:right w:w="120" w:type="dxa"/>
            </w:tcMar>
          </w:tcPr>
          <w:p>
            <w:pPr>
              <w:spacing w:after="0"/>
              <w:jc w:val="left"/>
            </w:pPr>
            <w:r>
              <w:rPr>
                <w:rFonts w:ascii="Calibri" w:hAnsi="Calibri"/>
                <w:b w:val="0"/>
                <w:color w:val="212529"/>
                <w:sz w:val="18"/>
              </w:rPr>
              <w:t>157</w:t>
            </w:r>
          </w:p>
        </w:tc>
        <w:tc>
          <w:tcPr>
            <w:tcW w:type="dxa" w:w="1440"/>
            <w:shd w:fill="FFFFFF"/>
            <w:tcMar>
              <w:top w:w="80" w:type="dxa"/>
              <w:bottom w:w="80" w:type="dxa"/>
              <w:left w:w="120" w:type="dxa"/>
              <w:right w:w="120" w:type="dxa"/>
            </w:tcMar>
          </w:tcPr>
          <w:p>
            <w:pPr>
              <w:spacing w:after="0"/>
              <w:jc w:val="left"/>
            </w:pPr>
            <w:r>
              <w:rPr>
                <w:rFonts w:ascii="Calibri" w:hAnsi="Calibri"/>
                <w:b/>
                <w:color w:val="212529"/>
                <w:sz w:val="18"/>
              </w:rPr>
              <w:t>27.84%</w:t>
            </w:r>
          </w:p>
        </w:tc>
        <w:tc>
          <w:tcPr>
            <w:tcW w:type="dxa" w:w="1584"/>
            <w:shd w:fill="FFFFFF"/>
            <w:tcMar>
              <w:top w:w="80" w:type="dxa"/>
              <w:bottom w:w="80" w:type="dxa"/>
              <w:left w:w="120" w:type="dxa"/>
              <w:right w:w="120" w:type="dxa"/>
            </w:tcMar>
          </w:tcPr>
          <w:p>
            <w:pPr>
              <w:spacing w:after="0"/>
              <w:jc w:val="left"/>
            </w:pPr>
            <w:r>
              <w:rPr>
                <w:rFonts w:ascii="Calibri" w:hAnsi="Calibri"/>
                <w:b/>
                <w:color w:val="1B365D"/>
                <w:sz w:val="18"/>
              </w:rPr>
              <w:t>+2.87%</w:t>
            </w:r>
          </w:p>
        </w:tc>
      </w:tr>
      <w:tr>
        <w:tc>
          <w:tcPr>
            <w:tcW w:type="dxa" w:w="1872"/>
            <w:shd w:fill="F9FAFB"/>
            <w:tcMar>
              <w:top w:w="80" w:type="dxa"/>
              <w:bottom w:w="80" w:type="dxa"/>
              <w:left w:w="120" w:type="dxa"/>
              <w:right w:w="120" w:type="dxa"/>
            </w:tcMar>
          </w:tcPr>
          <w:p>
            <w:pPr>
              <w:spacing w:after="0"/>
              <w:jc w:val="left"/>
            </w:pPr>
            <w:r>
              <w:rPr>
                <w:rFonts w:ascii="Calibri" w:hAnsi="Calibri"/>
                <w:b/>
                <w:color w:val="212529"/>
                <w:sz w:val="18"/>
              </w:rPr>
              <w:t>(0.3,0.4]</w:t>
            </w:r>
          </w:p>
        </w:tc>
        <w:tc>
          <w:tcPr>
            <w:tcW w:type="dxa" w:w="1296"/>
            <w:shd w:fill="F9FAFB"/>
            <w:tcMar>
              <w:top w:w="80" w:type="dxa"/>
              <w:bottom w:w="80" w:type="dxa"/>
              <w:left w:w="120" w:type="dxa"/>
              <w:right w:w="120" w:type="dxa"/>
            </w:tcMar>
          </w:tcPr>
          <w:p>
            <w:pPr>
              <w:spacing w:after="0"/>
              <w:jc w:val="left"/>
            </w:pPr>
            <w:r>
              <w:rPr>
                <w:rFonts w:ascii="Calibri" w:hAnsi="Calibri"/>
                <w:b w:val="0"/>
                <w:color w:val="212529"/>
                <w:sz w:val="18"/>
              </w:rPr>
              <w:t>451</w:t>
            </w:r>
          </w:p>
        </w:tc>
        <w:tc>
          <w:tcPr>
            <w:tcW w:type="dxa" w:w="1584"/>
            <w:shd w:fill="F9FAFB"/>
            <w:tcMar>
              <w:top w:w="80" w:type="dxa"/>
              <w:bottom w:w="80" w:type="dxa"/>
              <w:left w:w="120" w:type="dxa"/>
              <w:right w:w="120" w:type="dxa"/>
            </w:tcMar>
          </w:tcPr>
          <w:p>
            <w:pPr>
              <w:spacing w:after="0"/>
              <w:jc w:val="left"/>
            </w:pPr>
            <w:r>
              <w:rPr>
                <w:rFonts w:ascii="Calibri" w:hAnsi="Calibri"/>
                <w:b w:val="0"/>
                <w:color w:val="212529"/>
                <w:sz w:val="18"/>
              </w:rPr>
              <w:t>34.71%</w:t>
            </w:r>
          </w:p>
        </w:tc>
        <w:tc>
          <w:tcPr>
            <w:tcW w:type="dxa" w:w="1584"/>
            <w:shd w:fill="F9FAFB"/>
            <w:tcMar>
              <w:top w:w="80" w:type="dxa"/>
              <w:bottom w:w="80" w:type="dxa"/>
              <w:left w:w="120" w:type="dxa"/>
              <w:right w:w="120" w:type="dxa"/>
            </w:tcMar>
          </w:tcPr>
          <w:p>
            <w:pPr>
              <w:spacing w:after="0"/>
              <w:jc w:val="left"/>
            </w:pPr>
            <w:r>
              <w:rPr>
                <w:rFonts w:ascii="Calibri" w:hAnsi="Calibri"/>
                <w:b w:val="0"/>
                <w:color w:val="212529"/>
                <w:sz w:val="18"/>
              </w:rPr>
              <w:t>167</w:t>
            </w:r>
          </w:p>
        </w:tc>
        <w:tc>
          <w:tcPr>
            <w:tcW w:type="dxa" w:w="1440"/>
            <w:shd w:fill="F9FAFB"/>
            <w:tcMar>
              <w:top w:w="80" w:type="dxa"/>
              <w:bottom w:w="80" w:type="dxa"/>
              <w:left w:w="120" w:type="dxa"/>
              <w:right w:w="120" w:type="dxa"/>
            </w:tcMar>
          </w:tcPr>
          <w:p>
            <w:pPr>
              <w:spacing w:after="0"/>
              <w:jc w:val="left"/>
            </w:pPr>
            <w:r>
              <w:rPr>
                <w:rFonts w:ascii="Calibri" w:hAnsi="Calibri"/>
                <w:b/>
                <w:color w:val="212529"/>
                <w:sz w:val="18"/>
              </w:rPr>
              <w:t>37.03%</w:t>
            </w:r>
          </w:p>
        </w:tc>
        <w:tc>
          <w:tcPr>
            <w:tcW w:type="dxa" w:w="1584"/>
            <w:shd w:fill="F9FAFB"/>
            <w:tcMar>
              <w:top w:w="80" w:type="dxa"/>
              <w:bottom w:w="80" w:type="dxa"/>
              <w:left w:w="120" w:type="dxa"/>
              <w:right w:w="120" w:type="dxa"/>
            </w:tcMar>
          </w:tcPr>
          <w:p>
            <w:pPr>
              <w:spacing w:after="0"/>
              <w:jc w:val="left"/>
            </w:pPr>
            <w:r>
              <w:rPr>
                <w:rFonts w:ascii="Calibri" w:hAnsi="Calibri"/>
                <w:b/>
                <w:color w:val="1B365D"/>
                <w:sz w:val="18"/>
              </w:rPr>
              <w:t>+2.32%</w:t>
            </w:r>
          </w:p>
        </w:tc>
      </w:tr>
      <w:tr>
        <w:tc>
          <w:tcPr>
            <w:tcW w:type="dxa" w:w="1872"/>
            <w:shd w:fill="FFFFFF"/>
            <w:tcMar>
              <w:top w:w="80" w:type="dxa"/>
              <w:bottom w:w="80" w:type="dxa"/>
              <w:left w:w="120" w:type="dxa"/>
              <w:right w:w="120" w:type="dxa"/>
            </w:tcMar>
          </w:tcPr>
          <w:p>
            <w:pPr>
              <w:spacing w:after="0"/>
              <w:jc w:val="left"/>
            </w:pPr>
            <w:r>
              <w:rPr>
                <w:rFonts w:ascii="Calibri" w:hAnsi="Calibri"/>
                <w:b/>
                <w:color w:val="212529"/>
                <w:sz w:val="18"/>
              </w:rPr>
              <w:t>(0.4,0.5]</w:t>
            </w:r>
          </w:p>
        </w:tc>
        <w:tc>
          <w:tcPr>
            <w:tcW w:type="dxa" w:w="1296"/>
            <w:shd w:fill="FFFFFF"/>
            <w:tcMar>
              <w:top w:w="80" w:type="dxa"/>
              <w:bottom w:w="80" w:type="dxa"/>
              <w:left w:w="120" w:type="dxa"/>
              <w:right w:w="120" w:type="dxa"/>
            </w:tcMar>
          </w:tcPr>
          <w:p>
            <w:pPr>
              <w:spacing w:after="0"/>
              <w:jc w:val="left"/>
            </w:pPr>
            <w:r>
              <w:rPr>
                <w:rFonts w:ascii="Calibri" w:hAnsi="Calibri"/>
                <w:b w:val="0"/>
                <w:color w:val="212529"/>
                <w:sz w:val="18"/>
              </w:rPr>
              <w:t>307</w:t>
            </w:r>
          </w:p>
        </w:tc>
        <w:tc>
          <w:tcPr>
            <w:tcW w:type="dxa" w:w="1584"/>
            <w:shd w:fill="FFFFFF"/>
            <w:tcMar>
              <w:top w:w="80" w:type="dxa"/>
              <w:bottom w:w="80" w:type="dxa"/>
              <w:left w:w="120" w:type="dxa"/>
              <w:right w:w="120" w:type="dxa"/>
            </w:tcMar>
          </w:tcPr>
          <w:p>
            <w:pPr>
              <w:spacing w:after="0"/>
              <w:jc w:val="left"/>
            </w:pPr>
            <w:r>
              <w:rPr>
                <w:rFonts w:ascii="Calibri" w:hAnsi="Calibri"/>
                <w:b w:val="0"/>
                <w:color w:val="212529"/>
                <w:sz w:val="18"/>
              </w:rPr>
              <w:t>44.63%</w:t>
            </w:r>
          </w:p>
        </w:tc>
        <w:tc>
          <w:tcPr>
            <w:tcW w:type="dxa" w:w="1584"/>
            <w:shd w:fill="FFFFFF"/>
            <w:tcMar>
              <w:top w:w="80" w:type="dxa"/>
              <w:bottom w:w="80" w:type="dxa"/>
              <w:left w:w="120" w:type="dxa"/>
              <w:right w:w="120" w:type="dxa"/>
            </w:tcMar>
          </w:tcPr>
          <w:p>
            <w:pPr>
              <w:spacing w:after="0"/>
              <w:jc w:val="left"/>
            </w:pPr>
            <w:r>
              <w:rPr>
                <w:rFonts w:ascii="Calibri" w:hAnsi="Calibri"/>
                <w:b w:val="0"/>
                <w:color w:val="212529"/>
                <w:sz w:val="18"/>
              </w:rPr>
              <w:t>136</w:t>
            </w:r>
          </w:p>
        </w:tc>
        <w:tc>
          <w:tcPr>
            <w:tcW w:type="dxa" w:w="1440"/>
            <w:shd w:fill="FFFFFF"/>
            <w:tcMar>
              <w:top w:w="80" w:type="dxa"/>
              <w:bottom w:w="80" w:type="dxa"/>
              <w:left w:w="120" w:type="dxa"/>
              <w:right w:w="120" w:type="dxa"/>
            </w:tcMar>
          </w:tcPr>
          <w:p>
            <w:pPr>
              <w:spacing w:after="0"/>
              <w:jc w:val="left"/>
            </w:pPr>
            <w:r>
              <w:rPr>
                <w:rFonts w:ascii="Calibri" w:hAnsi="Calibri"/>
                <w:b/>
                <w:color w:val="212529"/>
                <w:sz w:val="18"/>
              </w:rPr>
              <w:t>44.30%</w:t>
            </w:r>
          </w:p>
        </w:tc>
        <w:tc>
          <w:tcPr>
            <w:tcW w:type="dxa" w:w="1584"/>
            <w:shd w:fill="FFFFFF"/>
            <w:tcMar>
              <w:top w:w="80" w:type="dxa"/>
              <w:bottom w:w="80" w:type="dxa"/>
              <w:left w:w="120" w:type="dxa"/>
              <w:right w:w="120" w:type="dxa"/>
            </w:tcMar>
          </w:tcPr>
          <w:p>
            <w:pPr>
              <w:spacing w:after="0"/>
              <w:jc w:val="left"/>
            </w:pPr>
            <w:r>
              <w:rPr>
                <w:rFonts w:ascii="Calibri" w:hAnsi="Calibri"/>
                <w:b/>
                <w:color w:val="27AE60"/>
                <w:sz w:val="18"/>
              </w:rPr>
              <w:t>-0.33%</w:t>
            </w:r>
          </w:p>
        </w:tc>
      </w:tr>
      <w:tr>
        <w:tc>
          <w:tcPr>
            <w:tcW w:type="dxa" w:w="1872"/>
            <w:shd w:fill="F9FAFB"/>
            <w:tcMar>
              <w:top w:w="80" w:type="dxa"/>
              <w:bottom w:w="80" w:type="dxa"/>
              <w:left w:w="120" w:type="dxa"/>
              <w:right w:w="120" w:type="dxa"/>
            </w:tcMar>
          </w:tcPr>
          <w:p>
            <w:pPr>
              <w:spacing w:after="0"/>
              <w:jc w:val="left"/>
            </w:pPr>
            <w:r>
              <w:rPr>
                <w:rFonts w:ascii="Calibri" w:hAnsi="Calibri"/>
                <w:b/>
                <w:color w:val="212529"/>
                <w:sz w:val="18"/>
              </w:rPr>
              <w:t>(0.5,0.6]</w:t>
            </w:r>
          </w:p>
        </w:tc>
        <w:tc>
          <w:tcPr>
            <w:tcW w:type="dxa" w:w="1296"/>
            <w:shd w:fill="F9FAFB"/>
            <w:tcMar>
              <w:top w:w="80" w:type="dxa"/>
              <w:bottom w:w="80" w:type="dxa"/>
              <w:left w:w="120" w:type="dxa"/>
              <w:right w:w="120" w:type="dxa"/>
            </w:tcMar>
          </w:tcPr>
          <w:p>
            <w:pPr>
              <w:spacing w:after="0"/>
              <w:jc w:val="left"/>
            </w:pPr>
            <w:r>
              <w:rPr>
                <w:rFonts w:ascii="Calibri" w:hAnsi="Calibri"/>
                <w:b w:val="0"/>
                <w:color w:val="212529"/>
                <w:sz w:val="18"/>
              </w:rPr>
              <w:t>314</w:t>
            </w:r>
          </w:p>
        </w:tc>
        <w:tc>
          <w:tcPr>
            <w:tcW w:type="dxa" w:w="1584"/>
            <w:shd w:fill="F9FAFB"/>
            <w:tcMar>
              <w:top w:w="80" w:type="dxa"/>
              <w:bottom w:w="80" w:type="dxa"/>
              <w:left w:w="120" w:type="dxa"/>
              <w:right w:w="120" w:type="dxa"/>
            </w:tcMar>
          </w:tcPr>
          <w:p>
            <w:pPr>
              <w:spacing w:after="0"/>
              <w:jc w:val="left"/>
            </w:pPr>
            <w:r>
              <w:rPr>
                <w:rFonts w:ascii="Calibri" w:hAnsi="Calibri"/>
                <w:b w:val="0"/>
                <w:color w:val="212529"/>
                <w:sz w:val="18"/>
              </w:rPr>
              <w:t>54.96%</w:t>
            </w:r>
          </w:p>
        </w:tc>
        <w:tc>
          <w:tcPr>
            <w:tcW w:type="dxa" w:w="1584"/>
            <w:shd w:fill="F9FAFB"/>
            <w:tcMar>
              <w:top w:w="80" w:type="dxa"/>
              <w:bottom w:w="80" w:type="dxa"/>
              <w:left w:w="120" w:type="dxa"/>
              <w:right w:w="120" w:type="dxa"/>
            </w:tcMar>
          </w:tcPr>
          <w:p>
            <w:pPr>
              <w:spacing w:after="0"/>
              <w:jc w:val="left"/>
            </w:pPr>
            <w:r>
              <w:rPr>
                <w:rFonts w:ascii="Calibri" w:hAnsi="Calibri"/>
                <w:b w:val="0"/>
                <w:color w:val="212529"/>
                <w:sz w:val="18"/>
              </w:rPr>
              <w:t>168</w:t>
            </w:r>
          </w:p>
        </w:tc>
        <w:tc>
          <w:tcPr>
            <w:tcW w:type="dxa" w:w="1440"/>
            <w:shd w:fill="F9FAFB"/>
            <w:tcMar>
              <w:top w:w="80" w:type="dxa"/>
              <w:bottom w:w="80" w:type="dxa"/>
              <w:left w:w="120" w:type="dxa"/>
              <w:right w:w="120" w:type="dxa"/>
            </w:tcMar>
          </w:tcPr>
          <w:p>
            <w:pPr>
              <w:spacing w:after="0"/>
              <w:jc w:val="left"/>
            </w:pPr>
            <w:r>
              <w:rPr>
                <w:rFonts w:ascii="Calibri" w:hAnsi="Calibri"/>
                <w:b/>
                <w:color w:val="212529"/>
                <w:sz w:val="18"/>
              </w:rPr>
              <w:t>53.50%</w:t>
            </w:r>
          </w:p>
        </w:tc>
        <w:tc>
          <w:tcPr>
            <w:tcW w:type="dxa" w:w="1584"/>
            <w:shd w:fill="F9FAFB"/>
            <w:tcMar>
              <w:top w:w="80" w:type="dxa"/>
              <w:bottom w:w="80" w:type="dxa"/>
              <w:left w:w="120" w:type="dxa"/>
              <w:right w:w="120" w:type="dxa"/>
            </w:tcMar>
          </w:tcPr>
          <w:p>
            <w:pPr>
              <w:spacing w:after="0"/>
              <w:jc w:val="left"/>
            </w:pPr>
            <w:r>
              <w:rPr>
                <w:rFonts w:ascii="Calibri" w:hAnsi="Calibri"/>
                <w:b/>
                <w:color w:val="27AE60"/>
                <w:sz w:val="18"/>
              </w:rPr>
              <w:t>-1.46%</w:t>
            </w:r>
          </w:p>
        </w:tc>
      </w:tr>
      <w:tr>
        <w:tc>
          <w:tcPr>
            <w:tcW w:type="dxa" w:w="1872"/>
            <w:shd w:fill="FFFFFF"/>
            <w:tcMar>
              <w:top w:w="80" w:type="dxa"/>
              <w:bottom w:w="80" w:type="dxa"/>
              <w:left w:w="120" w:type="dxa"/>
              <w:right w:w="120" w:type="dxa"/>
            </w:tcMar>
          </w:tcPr>
          <w:p>
            <w:pPr>
              <w:spacing w:after="0"/>
              <w:jc w:val="left"/>
            </w:pPr>
            <w:r>
              <w:rPr>
                <w:rFonts w:ascii="Calibri" w:hAnsi="Calibri"/>
                <w:b/>
                <w:color w:val="212529"/>
                <w:sz w:val="18"/>
              </w:rPr>
              <w:t>(0.6,0.7]</w:t>
            </w:r>
          </w:p>
        </w:tc>
        <w:tc>
          <w:tcPr>
            <w:tcW w:type="dxa" w:w="1296"/>
            <w:shd w:fill="FFFFFF"/>
            <w:tcMar>
              <w:top w:w="80" w:type="dxa"/>
              <w:bottom w:w="80" w:type="dxa"/>
              <w:left w:w="120" w:type="dxa"/>
              <w:right w:w="120" w:type="dxa"/>
            </w:tcMar>
          </w:tcPr>
          <w:p>
            <w:pPr>
              <w:spacing w:after="0"/>
              <w:jc w:val="left"/>
            </w:pPr>
            <w:r>
              <w:rPr>
                <w:rFonts w:ascii="Calibri" w:hAnsi="Calibri"/>
                <w:b w:val="0"/>
                <w:color w:val="212529"/>
                <w:sz w:val="18"/>
              </w:rPr>
              <w:t>296</w:t>
            </w:r>
          </w:p>
        </w:tc>
        <w:tc>
          <w:tcPr>
            <w:tcW w:type="dxa" w:w="1584"/>
            <w:shd w:fill="FFFFFF"/>
            <w:tcMar>
              <w:top w:w="80" w:type="dxa"/>
              <w:bottom w:w="80" w:type="dxa"/>
              <w:left w:w="120" w:type="dxa"/>
              <w:right w:w="120" w:type="dxa"/>
            </w:tcMar>
          </w:tcPr>
          <w:p>
            <w:pPr>
              <w:spacing w:after="0"/>
              <w:jc w:val="left"/>
            </w:pPr>
            <w:r>
              <w:rPr>
                <w:rFonts w:ascii="Calibri" w:hAnsi="Calibri"/>
                <w:b w:val="0"/>
                <w:color w:val="212529"/>
                <w:sz w:val="18"/>
              </w:rPr>
              <w:t>65.14%</w:t>
            </w:r>
          </w:p>
        </w:tc>
        <w:tc>
          <w:tcPr>
            <w:tcW w:type="dxa" w:w="1584"/>
            <w:shd w:fill="FFFFFF"/>
            <w:tcMar>
              <w:top w:w="80" w:type="dxa"/>
              <w:bottom w:w="80" w:type="dxa"/>
              <w:left w:w="120" w:type="dxa"/>
              <w:right w:w="120" w:type="dxa"/>
            </w:tcMar>
          </w:tcPr>
          <w:p>
            <w:pPr>
              <w:spacing w:after="0"/>
              <w:jc w:val="left"/>
            </w:pPr>
            <w:r>
              <w:rPr>
                <w:rFonts w:ascii="Calibri" w:hAnsi="Calibri"/>
                <w:b w:val="0"/>
                <w:color w:val="212529"/>
                <w:sz w:val="18"/>
              </w:rPr>
              <w:t>188</w:t>
            </w:r>
          </w:p>
        </w:tc>
        <w:tc>
          <w:tcPr>
            <w:tcW w:type="dxa" w:w="1440"/>
            <w:shd w:fill="FFFFFF"/>
            <w:tcMar>
              <w:top w:w="80" w:type="dxa"/>
              <w:bottom w:w="80" w:type="dxa"/>
              <w:left w:w="120" w:type="dxa"/>
              <w:right w:w="120" w:type="dxa"/>
            </w:tcMar>
          </w:tcPr>
          <w:p>
            <w:pPr>
              <w:spacing w:after="0"/>
              <w:jc w:val="left"/>
            </w:pPr>
            <w:r>
              <w:rPr>
                <w:rFonts w:ascii="Calibri" w:hAnsi="Calibri"/>
                <w:b/>
                <w:color w:val="212529"/>
                <w:sz w:val="18"/>
              </w:rPr>
              <w:t>63.51%</w:t>
            </w:r>
          </w:p>
        </w:tc>
        <w:tc>
          <w:tcPr>
            <w:tcW w:type="dxa" w:w="1584"/>
            <w:shd w:fill="FFFFFF"/>
            <w:tcMar>
              <w:top w:w="80" w:type="dxa"/>
              <w:bottom w:w="80" w:type="dxa"/>
              <w:left w:w="120" w:type="dxa"/>
              <w:right w:w="120" w:type="dxa"/>
            </w:tcMar>
          </w:tcPr>
          <w:p>
            <w:pPr>
              <w:spacing w:after="0"/>
              <w:jc w:val="left"/>
            </w:pPr>
            <w:r>
              <w:rPr>
                <w:rFonts w:ascii="Calibri" w:hAnsi="Calibri"/>
                <w:b/>
                <w:color w:val="27AE60"/>
                <w:sz w:val="18"/>
              </w:rPr>
              <w:t>-1.63%</w:t>
            </w:r>
          </w:p>
        </w:tc>
      </w:tr>
      <w:tr>
        <w:tc>
          <w:tcPr>
            <w:tcW w:type="dxa" w:w="1872"/>
            <w:shd w:fill="F9FAFB"/>
            <w:tcMar>
              <w:top w:w="80" w:type="dxa"/>
              <w:bottom w:w="80" w:type="dxa"/>
              <w:left w:w="120" w:type="dxa"/>
              <w:right w:w="120" w:type="dxa"/>
            </w:tcMar>
          </w:tcPr>
          <w:p>
            <w:pPr>
              <w:spacing w:after="0"/>
              <w:jc w:val="left"/>
            </w:pPr>
            <w:r>
              <w:rPr>
                <w:rFonts w:ascii="Calibri" w:hAnsi="Calibri"/>
                <w:b/>
                <w:color w:val="212529"/>
                <w:sz w:val="18"/>
              </w:rPr>
              <w:t>(0.7,0.8]</w:t>
            </w:r>
          </w:p>
        </w:tc>
        <w:tc>
          <w:tcPr>
            <w:tcW w:type="dxa" w:w="1296"/>
            <w:shd w:fill="F9FAFB"/>
            <w:tcMar>
              <w:top w:w="80" w:type="dxa"/>
              <w:bottom w:w="80" w:type="dxa"/>
              <w:left w:w="120" w:type="dxa"/>
              <w:right w:w="120" w:type="dxa"/>
            </w:tcMar>
          </w:tcPr>
          <w:p>
            <w:pPr>
              <w:spacing w:after="0"/>
              <w:jc w:val="left"/>
            </w:pPr>
            <w:r>
              <w:rPr>
                <w:rFonts w:ascii="Calibri" w:hAnsi="Calibri"/>
                <w:b w:val="0"/>
                <w:color w:val="212529"/>
                <w:sz w:val="18"/>
              </w:rPr>
              <w:t>259</w:t>
            </w:r>
          </w:p>
        </w:tc>
        <w:tc>
          <w:tcPr>
            <w:tcW w:type="dxa" w:w="1584"/>
            <w:shd w:fill="F9FAFB"/>
            <w:tcMar>
              <w:top w:w="80" w:type="dxa"/>
              <w:bottom w:w="80" w:type="dxa"/>
              <w:left w:w="120" w:type="dxa"/>
              <w:right w:w="120" w:type="dxa"/>
            </w:tcMar>
          </w:tcPr>
          <w:p>
            <w:pPr>
              <w:spacing w:after="0"/>
              <w:jc w:val="left"/>
            </w:pPr>
            <w:r>
              <w:rPr>
                <w:rFonts w:ascii="Calibri" w:hAnsi="Calibri"/>
                <w:b w:val="0"/>
                <w:color w:val="212529"/>
                <w:sz w:val="18"/>
              </w:rPr>
              <w:t>74.72%</w:t>
            </w:r>
          </w:p>
        </w:tc>
        <w:tc>
          <w:tcPr>
            <w:tcW w:type="dxa" w:w="1584"/>
            <w:shd w:fill="F9FAFB"/>
            <w:tcMar>
              <w:top w:w="80" w:type="dxa"/>
              <w:bottom w:w="80" w:type="dxa"/>
              <w:left w:w="120" w:type="dxa"/>
              <w:right w:w="120" w:type="dxa"/>
            </w:tcMar>
          </w:tcPr>
          <w:p>
            <w:pPr>
              <w:spacing w:after="0"/>
              <w:jc w:val="left"/>
            </w:pPr>
            <w:r>
              <w:rPr>
                <w:rFonts w:ascii="Calibri" w:hAnsi="Calibri"/>
                <w:b w:val="0"/>
                <w:color w:val="212529"/>
                <w:sz w:val="18"/>
              </w:rPr>
              <w:t>195</w:t>
            </w:r>
          </w:p>
        </w:tc>
        <w:tc>
          <w:tcPr>
            <w:tcW w:type="dxa" w:w="1440"/>
            <w:shd w:fill="F9FAFB"/>
            <w:tcMar>
              <w:top w:w="80" w:type="dxa"/>
              <w:bottom w:w="80" w:type="dxa"/>
              <w:left w:w="120" w:type="dxa"/>
              <w:right w:w="120" w:type="dxa"/>
            </w:tcMar>
          </w:tcPr>
          <w:p>
            <w:pPr>
              <w:spacing w:after="0"/>
              <w:jc w:val="left"/>
            </w:pPr>
            <w:r>
              <w:rPr>
                <w:rFonts w:ascii="Calibri" w:hAnsi="Calibri"/>
                <w:b/>
                <w:color w:val="212529"/>
                <w:sz w:val="18"/>
              </w:rPr>
              <w:t>75.29%</w:t>
            </w:r>
          </w:p>
        </w:tc>
        <w:tc>
          <w:tcPr>
            <w:tcW w:type="dxa" w:w="1584"/>
            <w:shd w:fill="F9FAFB"/>
            <w:tcMar>
              <w:top w:w="80" w:type="dxa"/>
              <w:bottom w:w="80" w:type="dxa"/>
              <w:left w:w="120" w:type="dxa"/>
              <w:right w:w="120" w:type="dxa"/>
            </w:tcMar>
          </w:tcPr>
          <w:p>
            <w:pPr>
              <w:spacing w:after="0"/>
              <w:jc w:val="left"/>
            </w:pPr>
            <w:r>
              <w:rPr>
                <w:rFonts w:ascii="Calibri" w:hAnsi="Calibri"/>
                <w:b/>
                <w:color w:val="27AE60"/>
                <w:sz w:val="18"/>
              </w:rPr>
              <w:t>+0.57%</w:t>
            </w:r>
          </w:p>
        </w:tc>
      </w:tr>
      <w:tr>
        <w:tc>
          <w:tcPr>
            <w:tcW w:type="dxa" w:w="1872"/>
            <w:shd w:fill="FFFFFF"/>
            <w:tcMar>
              <w:top w:w="80" w:type="dxa"/>
              <w:bottom w:w="80" w:type="dxa"/>
              <w:left w:w="120" w:type="dxa"/>
              <w:right w:w="120" w:type="dxa"/>
            </w:tcMar>
          </w:tcPr>
          <w:p>
            <w:pPr>
              <w:spacing w:after="0"/>
              <w:jc w:val="left"/>
            </w:pPr>
            <w:r>
              <w:rPr>
                <w:rFonts w:ascii="Calibri" w:hAnsi="Calibri"/>
                <w:b/>
                <w:color w:val="212529"/>
                <w:sz w:val="18"/>
              </w:rPr>
              <w:t>(0.8,0.9]</w:t>
            </w:r>
          </w:p>
        </w:tc>
        <w:tc>
          <w:tcPr>
            <w:tcW w:type="dxa" w:w="1296"/>
            <w:shd w:fill="FFFFFF"/>
            <w:tcMar>
              <w:top w:w="80" w:type="dxa"/>
              <w:bottom w:w="80" w:type="dxa"/>
              <w:left w:w="120" w:type="dxa"/>
              <w:right w:w="120" w:type="dxa"/>
            </w:tcMar>
          </w:tcPr>
          <w:p>
            <w:pPr>
              <w:spacing w:after="0"/>
              <w:jc w:val="left"/>
            </w:pPr>
            <w:r>
              <w:rPr>
                <w:rFonts w:ascii="Calibri" w:hAnsi="Calibri"/>
                <w:b w:val="0"/>
                <w:color w:val="212529"/>
                <w:sz w:val="18"/>
              </w:rPr>
              <w:t>192</w:t>
            </w:r>
          </w:p>
        </w:tc>
        <w:tc>
          <w:tcPr>
            <w:tcW w:type="dxa" w:w="1584"/>
            <w:shd w:fill="FFFFFF"/>
            <w:tcMar>
              <w:top w:w="80" w:type="dxa"/>
              <w:bottom w:w="80" w:type="dxa"/>
              <w:left w:w="120" w:type="dxa"/>
              <w:right w:w="120" w:type="dxa"/>
            </w:tcMar>
          </w:tcPr>
          <w:p>
            <w:pPr>
              <w:spacing w:after="0"/>
              <w:jc w:val="left"/>
            </w:pPr>
            <w:r>
              <w:rPr>
                <w:rFonts w:ascii="Calibri" w:hAnsi="Calibri"/>
                <w:b w:val="0"/>
                <w:color w:val="212529"/>
                <w:sz w:val="18"/>
              </w:rPr>
              <w:t>84.44%</w:t>
            </w:r>
          </w:p>
        </w:tc>
        <w:tc>
          <w:tcPr>
            <w:tcW w:type="dxa" w:w="1584"/>
            <w:shd w:fill="FFFFFF"/>
            <w:tcMar>
              <w:top w:w="80" w:type="dxa"/>
              <w:bottom w:w="80" w:type="dxa"/>
              <w:left w:w="120" w:type="dxa"/>
              <w:right w:w="120" w:type="dxa"/>
            </w:tcMar>
          </w:tcPr>
          <w:p>
            <w:pPr>
              <w:spacing w:after="0"/>
              <w:jc w:val="left"/>
            </w:pPr>
            <w:r>
              <w:rPr>
                <w:rFonts w:ascii="Calibri" w:hAnsi="Calibri"/>
                <w:b w:val="0"/>
                <w:color w:val="212529"/>
                <w:sz w:val="18"/>
              </w:rPr>
              <w:t>153</w:t>
            </w:r>
          </w:p>
        </w:tc>
        <w:tc>
          <w:tcPr>
            <w:tcW w:type="dxa" w:w="1440"/>
            <w:shd w:fill="FFFFFF"/>
            <w:tcMar>
              <w:top w:w="80" w:type="dxa"/>
              <w:bottom w:w="80" w:type="dxa"/>
              <w:left w:w="120" w:type="dxa"/>
              <w:right w:w="120" w:type="dxa"/>
            </w:tcMar>
          </w:tcPr>
          <w:p>
            <w:pPr>
              <w:spacing w:after="0"/>
              <w:jc w:val="left"/>
            </w:pPr>
            <w:r>
              <w:rPr>
                <w:rFonts w:ascii="Calibri" w:hAnsi="Calibri"/>
                <w:b/>
                <w:color w:val="212529"/>
                <w:sz w:val="18"/>
              </w:rPr>
              <w:t>79.69%</w:t>
            </w:r>
          </w:p>
        </w:tc>
        <w:tc>
          <w:tcPr>
            <w:tcW w:type="dxa" w:w="1584"/>
            <w:shd w:fill="FFFFFF"/>
            <w:tcMar>
              <w:top w:w="80" w:type="dxa"/>
              <w:bottom w:w="80" w:type="dxa"/>
              <w:left w:w="120" w:type="dxa"/>
              <w:right w:w="120" w:type="dxa"/>
            </w:tcMar>
          </w:tcPr>
          <w:p>
            <w:pPr>
              <w:spacing w:after="0"/>
              <w:jc w:val="left"/>
            </w:pPr>
            <w:r>
              <w:rPr>
                <w:rFonts w:ascii="Calibri" w:hAnsi="Calibri"/>
                <w:b/>
                <w:color w:val="1B365D"/>
                <w:sz w:val="18"/>
              </w:rPr>
              <w:t>-4.75%</w:t>
            </w:r>
          </w:p>
        </w:tc>
      </w:tr>
      <w:tr>
        <w:tc>
          <w:tcPr>
            <w:tcW w:type="dxa" w:w="1872"/>
            <w:shd w:fill="F9FAFB"/>
            <w:tcMar>
              <w:top w:w="80" w:type="dxa"/>
              <w:bottom w:w="80" w:type="dxa"/>
              <w:left w:w="120" w:type="dxa"/>
              <w:right w:w="120" w:type="dxa"/>
            </w:tcMar>
          </w:tcPr>
          <w:p>
            <w:pPr>
              <w:spacing w:after="0"/>
              <w:jc w:val="left"/>
            </w:pPr>
            <w:r>
              <w:rPr>
                <w:rFonts w:ascii="Calibri" w:hAnsi="Calibri"/>
                <w:b/>
                <w:color w:val="212529"/>
                <w:sz w:val="18"/>
              </w:rPr>
              <w:t>(0.9,1]</w:t>
            </w:r>
          </w:p>
        </w:tc>
        <w:tc>
          <w:tcPr>
            <w:tcW w:type="dxa" w:w="1296"/>
            <w:shd w:fill="F9FAFB"/>
            <w:tcMar>
              <w:top w:w="80" w:type="dxa"/>
              <w:bottom w:w="80" w:type="dxa"/>
              <w:left w:w="120" w:type="dxa"/>
              <w:right w:w="120" w:type="dxa"/>
            </w:tcMar>
          </w:tcPr>
          <w:p>
            <w:pPr>
              <w:spacing w:after="0"/>
              <w:jc w:val="left"/>
            </w:pPr>
            <w:r>
              <w:rPr>
                <w:rFonts w:ascii="Calibri" w:hAnsi="Calibri"/>
                <w:b w:val="0"/>
                <w:color w:val="212529"/>
                <w:sz w:val="18"/>
              </w:rPr>
              <w:t>249</w:t>
            </w:r>
          </w:p>
        </w:tc>
        <w:tc>
          <w:tcPr>
            <w:tcW w:type="dxa" w:w="1584"/>
            <w:shd w:fill="F9FAFB"/>
            <w:tcMar>
              <w:top w:w="80" w:type="dxa"/>
              <w:bottom w:w="80" w:type="dxa"/>
              <w:left w:w="120" w:type="dxa"/>
              <w:right w:w="120" w:type="dxa"/>
            </w:tcMar>
          </w:tcPr>
          <w:p>
            <w:pPr>
              <w:spacing w:after="0"/>
              <w:jc w:val="left"/>
            </w:pPr>
            <w:r>
              <w:rPr>
                <w:rFonts w:ascii="Calibri" w:hAnsi="Calibri"/>
                <w:b w:val="0"/>
                <w:color w:val="212529"/>
                <w:sz w:val="18"/>
              </w:rPr>
              <w:t>96.58%</w:t>
            </w:r>
          </w:p>
        </w:tc>
        <w:tc>
          <w:tcPr>
            <w:tcW w:type="dxa" w:w="1584"/>
            <w:shd w:fill="F9FAFB"/>
            <w:tcMar>
              <w:top w:w="80" w:type="dxa"/>
              <w:bottom w:w="80" w:type="dxa"/>
              <w:left w:w="120" w:type="dxa"/>
              <w:right w:w="120" w:type="dxa"/>
            </w:tcMar>
          </w:tcPr>
          <w:p>
            <w:pPr>
              <w:spacing w:after="0"/>
              <w:jc w:val="left"/>
            </w:pPr>
            <w:r>
              <w:rPr>
                <w:rFonts w:ascii="Calibri" w:hAnsi="Calibri"/>
                <w:b w:val="0"/>
                <w:color w:val="212529"/>
                <w:sz w:val="18"/>
              </w:rPr>
              <w:t>239</w:t>
            </w:r>
          </w:p>
        </w:tc>
        <w:tc>
          <w:tcPr>
            <w:tcW w:type="dxa" w:w="1440"/>
            <w:shd w:fill="F9FAFB"/>
            <w:tcMar>
              <w:top w:w="80" w:type="dxa"/>
              <w:bottom w:w="80" w:type="dxa"/>
              <w:left w:w="120" w:type="dxa"/>
              <w:right w:w="120" w:type="dxa"/>
            </w:tcMar>
          </w:tcPr>
          <w:p>
            <w:pPr>
              <w:spacing w:after="0"/>
              <w:jc w:val="left"/>
            </w:pPr>
            <w:r>
              <w:rPr>
                <w:rFonts w:ascii="Calibri" w:hAnsi="Calibri"/>
                <w:b/>
                <w:color w:val="212529"/>
                <w:sz w:val="18"/>
              </w:rPr>
              <w:t>95.98%</w:t>
            </w:r>
          </w:p>
        </w:tc>
        <w:tc>
          <w:tcPr>
            <w:tcW w:type="dxa" w:w="1584"/>
            <w:shd w:fill="F9FAFB"/>
            <w:tcMar>
              <w:top w:w="80" w:type="dxa"/>
              <w:bottom w:w="80" w:type="dxa"/>
              <w:left w:w="120" w:type="dxa"/>
              <w:right w:w="120" w:type="dxa"/>
            </w:tcMar>
          </w:tcPr>
          <w:p>
            <w:pPr>
              <w:spacing w:after="0"/>
              <w:jc w:val="left"/>
            </w:pPr>
            <w:r>
              <w:rPr>
                <w:rFonts w:ascii="Calibri" w:hAnsi="Calibri"/>
                <w:b/>
                <w:color w:val="27AE60"/>
                <w:sz w:val="18"/>
              </w:rPr>
              <w:t>-0.60%</w:t>
            </w:r>
          </w:p>
        </w:tc>
      </w:tr>
    </w:tbl>
    <w:p>
      <w:pPr>
        <w:spacing w:after="160"/>
      </w:pPr>
      <w:r>
        <w:rPr>
          <w:i/>
          <w:color w:val="6C757D"/>
          <w:sz w:val="17"/>
        </w:rPr>
        <w:t>Table 7 Note: Decile calibration on holdout test set (N = 6,508). Calibration Error = Observed Rate - Mean Predicted Prob. Values close to zero indicate perfect reliability.</w:t>
      </w:r>
    </w:p>
    <w:p>
      <w:pPr>
        <w:spacing w:before="160" w:after="60"/>
        <w:jc w:val="center"/>
      </w:pPr>
      <w:r>
        <w:drawing>
          <wp:inline xmlns:a="http://schemas.openxmlformats.org/drawingml/2006/main" xmlns:pic="http://schemas.openxmlformats.org/drawingml/2006/picture">
            <wp:extent cx="5303520" cy="3683000"/>
            <wp:docPr id="16" name="Picture 16"/>
            <wp:cNvGraphicFramePr>
              <a:graphicFrameLocks noChangeAspect="1"/>
            </wp:cNvGraphicFramePr>
            <a:graphic>
              <a:graphicData uri="http://schemas.openxmlformats.org/drawingml/2006/picture">
                <pic:pic>
                  <pic:nvPicPr>
                    <pic:cNvPr id="0" name="week3_predicted_probabilities.png"/>
                    <pic:cNvPicPr/>
                  </pic:nvPicPr>
                  <pic:blipFill>
                    <a:blip r:embed="rId26"/>
                    <a:stretch>
                      <a:fillRect/>
                    </a:stretch>
                  </pic:blipFill>
                  <pic:spPr>
                    <a:xfrm>
                      <a:off x="0" y="0"/>
                      <a:ext cx="5303520" cy="3683000"/>
                    </a:xfrm>
                    <a:prstGeom prst="rect"/>
                  </pic:spPr>
                </pic:pic>
              </a:graphicData>
            </a:graphic>
          </wp:inline>
        </w:drawing>
      </w:r>
    </w:p>
    <w:p>
      <w:pPr>
        <w:spacing w:after="160"/>
        <w:jc w:val="center"/>
      </w:pPr>
      <w:r>
        <w:rPr>
          <w:b/>
          <w:color w:val="1B365D"/>
          <w:sz w:val="19"/>
        </w:rPr>
        <w:t xml:space="preserve">Figure 16: </w:t>
      </w:r>
      <w:r>
        <w:rPr>
          <w:b/>
          <w:color w:val="465C7A"/>
          <w:sz w:val="19"/>
        </w:rPr>
        <w:t xml:space="preserve">Distribution of Predicted Probabilities by True Class. </w:t>
      </w:r>
      <w:r>
        <w:rPr>
          <w:i/>
          <w:color w:val="6C757D"/>
          <w:sz w:val="18"/>
        </w:rPr>
        <w:t>Density distribution of predicted probabilities demonstrating clear bimodal separation: low earners cluster near 0.0 while high earners concentrate above 0.70.</w:t>
      </w:r>
    </w:p>
    <w:p>
      <w:pPr>
        <w:spacing w:before="160" w:after="60"/>
        <w:jc w:val="center"/>
      </w:pPr>
      <w:r>
        <w:drawing>
          <wp:inline xmlns:a="http://schemas.openxmlformats.org/drawingml/2006/main" xmlns:pic="http://schemas.openxmlformats.org/drawingml/2006/picture">
            <wp:extent cx="5303520" cy="4211619"/>
            <wp:docPr id="17" name="Picture 17"/>
            <wp:cNvGraphicFramePr>
              <a:graphicFrameLocks noChangeAspect="1"/>
            </wp:cNvGraphicFramePr>
            <a:graphic>
              <a:graphicData uri="http://schemas.openxmlformats.org/drawingml/2006/picture">
                <pic:pic>
                  <pic:nvPicPr>
                    <pic:cNvPr id="0" name="week3_calibration_plot.png"/>
                    <pic:cNvPicPr/>
                  </pic:nvPicPr>
                  <pic:blipFill>
                    <a:blip r:embed="rId27"/>
                    <a:stretch>
                      <a:fillRect/>
                    </a:stretch>
                  </pic:blipFill>
                  <pic:spPr>
                    <a:xfrm>
                      <a:off x="0" y="0"/>
                      <a:ext cx="5303520" cy="4211619"/>
                    </a:xfrm>
                    <a:prstGeom prst="rect"/>
                  </pic:spPr>
                </pic:pic>
              </a:graphicData>
            </a:graphic>
          </wp:inline>
        </w:drawing>
      </w:r>
    </w:p>
    <w:p>
      <w:pPr>
        <w:spacing w:after="160"/>
        <w:jc w:val="center"/>
      </w:pPr>
      <w:r>
        <w:rPr>
          <w:b/>
          <w:color w:val="1B365D"/>
          <w:sz w:val="19"/>
        </w:rPr>
        <w:t xml:space="preserve">Figure 17: </w:t>
      </w:r>
      <w:r>
        <w:rPr>
          <w:b/>
          <w:color w:val="465C7A"/>
          <w:sz w:val="19"/>
        </w:rPr>
        <w:t xml:space="preserve">Model Probability Calibration Curve Across Risk Deciles. </w:t>
      </w:r>
      <w:r>
        <w:rPr>
          <w:i/>
          <w:color w:val="6C757D"/>
          <w:sz w:val="18"/>
        </w:rPr>
        <w:t>Observed event rate plotted against mean modeled probability across decile bins. Close adherence to the dashed 45-degree diagonal confirms reliability.</w:t>
      </w:r>
    </w:p>
    <w:p>
      <w:pPr>
        <w:spacing w:before="160" w:after="60"/>
        <w:jc w:val="center"/>
      </w:pPr>
      <w:r>
        <w:drawing>
          <wp:inline xmlns:a="http://schemas.openxmlformats.org/drawingml/2006/main" xmlns:pic="http://schemas.openxmlformats.org/drawingml/2006/picture">
            <wp:extent cx="5303520" cy="3583459"/>
            <wp:docPr id="18" name="Picture 18"/>
            <wp:cNvGraphicFramePr>
              <a:graphicFrameLocks noChangeAspect="1"/>
            </wp:cNvGraphicFramePr>
            <a:graphic>
              <a:graphicData uri="http://schemas.openxmlformats.org/drawingml/2006/picture">
                <pic:pic>
                  <pic:nvPicPr>
                    <pic:cNvPr id="0" name="week3_cooks_distance_residuals.png"/>
                    <pic:cNvPicPr/>
                  </pic:nvPicPr>
                  <pic:blipFill>
                    <a:blip r:embed="rId28"/>
                    <a:stretch>
                      <a:fillRect/>
                    </a:stretch>
                  </pic:blipFill>
                  <pic:spPr>
                    <a:xfrm>
                      <a:off x="0" y="0"/>
                      <a:ext cx="5303520" cy="3583459"/>
                    </a:xfrm>
                    <a:prstGeom prst="rect"/>
                  </pic:spPr>
                </pic:pic>
              </a:graphicData>
            </a:graphic>
          </wp:inline>
        </w:drawing>
      </w:r>
    </w:p>
    <w:p>
      <w:pPr>
        <w:spacing w:after="160"/>
        <w:jc w:val="center"/>
      </w:pPr>
      <w:r>
        <w:rPr>
          <w:b/>
          <w:color w:val="1B365D"/>
          <w:sz w:val="19"/>
        </w:rPr>
        <w:t xml:space="preserve">Figure 18: </w:t>
      </w:r>
      <w:r>
        <w:rPr>
          <w:b/>
          <w:color w:val="465C7A"/>
          <w:sz w:val="19"/>
        </w:rPr>
        <w:t xml:space="preserve">Deviance Residuals vs Fitted Probability Diagnostic. </w:t>
      </w:r>
      <w:r>
        <w:rPr>
          <w:i/>
          <w:color w:val="6C757D"/>
          <w:sz w:val="18"/>
        </w:rPr>
        <w:t>Deviance residuals plotted against fitted probabilities with points colored by Cook's Distance. Maximum Cook's D = 0.0330, confirming absence of disruptive leverage.</w:t>
      </w:r>
    </w:p>
    <w:p>
      <w:pPr>
        <w:spacing w:after="120" w:line="276" w:lineRule="auto"/>
      </w:pPr>
      <w:r>
        <w:rPr>
          <w:rFonts w:ascii="Calibri" w:hAnsi="Calibri"/>
          <w:b/>
          <w:color w:val="1B365D"/>
          <w:sz w:val="22"/>
        </w:rPr>
        <w:t xml:space="preserve">Stability &amp; Reliability Audits: </w:t>
      </w:r>
      <w:r>
        <w:rPr>
          <w:rFonts w:ascii="Calibri" w:hAnsi="Calibri"/>
          <w:color w:val="212529"/>
          <w:sz w:val="22"/>
        </w:rPr>
        <w:t>Diagnostic Finding Summary:</w:t>
      </w:r>
    </w:p>
    <w:p>
      <w:pPr>
        <w:pStyle w:val="ListBullet"/>
        <w:spacing w:after="60" w:line="276" w:lineRule="auto"/>
      </w:pPr>
      <w:r>
        <w:rPr>
          <w:rFonts w:ascii="Calibri" w:hAnsi="Calibri"/>
          <w:b/>
          <w:color w:val="1B365D"/>
          <w:sz w:val="21"/>
        </w:rPr>
        <w:t xml:space="preserve">Probability Reliability: </w:t>
      </w:r>
      <w:r>
        <w:rPr>
          <w:rFonts w:ascii="Calibri" w:hAnsi="Calibri"/>
          <w:color w:val="212529"/>
          <w:sz w:val="21"/>
        </w:rPr>
        <w:t>Calibration Quality: In the lowest decile ([0, 0.1]), the mean predicted probability is 2.59% and the observed rate is 1.93% (error = -0.66%). In the highest decile ([0.9, 1.0]), the mean predicted probability is 96.58% and the observed rate is 95.98% (error = -0.60%). Across all ten risk deciles, the calibration error never exceeds 4.75%, demonstrating that the logistic link function produces trustworthy posterior probabilities.</w:t>
      </w:r>
    </w:p>
    <w:p>
      <w:pPr>
        <w:pStyle w:val="ListBullet"/>
        <w:spacing w:after="60" w:line="276" w:lineRule="auto"/>
      </w:pPr>
      <w:r>
        <w:rPr>
          <w:rFonts w:ascii="Calibri" w:hAnsi="Calibri"/>
          <w:b/>
          <w:color w:val="1B365D"/>
          <w:sz w:val="21"/>
        </w:rPr>
        <w:t xml:space="preserve">Influence Audits: </w:t>
      </w:r>
      <w:r>
        <w:rPr>
          <w:rFonts w:ascii="Calibri" w:hAnsi="Calibri"/>
          <w:color w:val="212529"/>
          <w:sz w:val="21"/>
        </w:rPr>
        <w:t>Influence &amp; Leverage Checks: In binary logistic regression, conventional linear regression diagnostics do not apply. Instead, Cook's Distance for GLM was evaluated. The maximum observed Cook's Distance is 0.0330, vastly below the standard alert threshold of 0.5 or 1.0. Deviance residuals remain within acceptable bounds ([-2.5, +2.5]), confirming that no single observation distorts the regression plane.</w:t>
      </w:r>
    </w:p>
    <w:p>
      <w:pPr>
        <w:pStyle w:val="Heading1"/>
        <w:keepNext/>
        <w:spacing w:before="360" w:after="120"/>
      </w:pPr>
      <w:r>
        <w:rPr>
          <w:rFonts w:ascii="Calibri" w:hAnsi="Calibri"/>
          <w:b/>
          <w:color w:val="1B365D"/>
          <w:sz w:val="34"/>
        </w:rPr>
        <w:t>Section 11: Misclassification Forensics &amp; Error Profiling</w:t>
      </w:r>
    </w:p>
    <w:p>
      <w:pPr>
        <w:spacing w:after="120" w:line="276" w:lineRule="auto"/>
      </w:pPr>
      <w:r>
        <w:rPr>
          <w:rFonts w:ascii="Calibri" w:hAnsi="Calibri"/>
          <w:color w:val="212529"/>
          <w:sz w:val="22"/>
        </w:rPr>
        <w:t>To understand the structural boundaries of model performance, a comprehensive error analysis was conducted on the 6,508 test predictions, segmenting individuals into True Negatives (TN), True Positives (TP), False Positives (FP), and False Negatives (FN). Table 8 profiles the socioeconomic characteristics of each quadrant:</w:t>
      </w:r>
    </w:p>
    <w:tbl>
      <w:tblPr>
        <w:tblW w:type="auto" w:w="0"/>
        <w:jc w:val="center"/>
        <w:tblLook w:firstColumn="1" w:firstRow="1" w:lastColumn="0" w:lastRow="0" w:noHBand="0" w:noVBand="1" w:val="04A0"/>
        <w:tblBorders>
          <w:top w:val="single" w:sz="6" w:space="0" w:color="D0D7DE"/>
          <w:bottom w:val="single" w:sz="8" w:space="0" w:color="D0D7DE"/>
          <w:insideH w:val="single" w:sz="4" w:space="0" w:color="D0D7DE"/>
          <w:insideV w:val="none"/>
          <w:left w:val="none"/>
          <w:right w:val="none"/>
        </w:tblBorders>
      </w:tblPr>
      <w:tblGrid>
        <w:gridCol w:w="1337"/>
        <w:gridCol w:w="1337"/>
        <w:gridCol w:w="1337"/>
        <w:gridCol w:w="1337"/>
        <w:gridCol w:w="1337"/>
        <w:gridCol w:w="1337"/>
        <w:gridCol w:w="1337"/>
      </w:tblGrid>
      <w:tr>
        <w:tc>
          <w:tcPr>
            <w:tcW w:type="dxa" w:w="2592"/>
            <w:shd w:fill="1B365D"/>
            <w:tcMar>
              <w:top w:w="120" w:type="dxa"/>
              <w:bottom w:w="120" w:type="dxa"/>
              <w:left w:w="120" w:type="dxa"/>
              <w:right w:w="120" w:type="dxa"/>
            </w:tcMar>
          </w:tcPr>
          <w:p>
            <w:pPr>
              <w:spacing w:after="0"/>
              <w:jc w:val="left"/>
            </w:pPr>
            <w:r>
              <w:rPr>
                <w:rFonts w:ascii="Calibri" w:hAnsi="Calibri"/>
                <w:b/>
                <w:color w:val="FFFFFF"/>
                <w:sz w:val="19"/>
              </w:rPr>
              <w:t>Classification Quadrant</w:t>
            </w:r>
          </w:p>
        </w:tc>
        <w:tc>
          <w:tcPr>
            <w:tcW w:type="dxa" w:w="1152"/>
            <w:shd w:fill="1B365D"/>
            <w:tcMar>
              <w:top w:w="120" w:type="dxa"/>
              <w:bottom w:w="120" w:type="dxa"/>
              <w:left w:w="120" w:type="dxa"/>
              <w:right w:w="120" w:type="dxa"/>
            </w:tcMar>
          </w:tcPr>
          <w:p>
            <w:pPr>
              <w:spacing w:after="0"/>
              <w:jc w:val="left"/>
            </w:pPr>
            <w:r>
              <w:rPr>
                <w:rFonts w:ascii="Calibri" w:hAnsi="Calibri"/>
                <w:b/>
                <w:color w:val="FFFFFF"/>
                <w:sz w:val="19"/>
              </w:rPr>
              <w:t>Count (N)</w:t>
            </w:r>
          </w:p>
        </w:tc>
        <w:tc>
          <w:tcPr>
            <w:tcW w:type="dxa" w:w="1008"/>
            <w:shd w:fill="1B365D"/>
            <w:tcMar>
              <w:top w:w="120" w:type="dxa"/>
              <w:bottom w:w="120" w:type="dxa"/>
              <w:left w:w="120" w:type="dxa"/>
              <w:right w:w="120" w:type="dxa"/>
            </w:tcMar>
          </w:tcPr>
          <w:p>
            <w:pPr>
              <w:spacing w:after="0"/>
              <w:jc w:val="left"/>
            </w:pPr>
            <w:r>
              <w:rPr>
                <w:rFonts w:ascii="Calibri" w:hAnsi="Calibri"/>
                <w:b/>
                <w:color w:val="FFFFFF"/>
                <w:sz w:val="19"/>
              </w:rPr>
              <w:t>% of Test</w:t>
            </w:r>
          </w:p>
        </w:tc>
        <w:tc>
          <w:tcPr>
            <w:tcW w:type="dxa" w:w="1008"/>
            <w:shd w:fill="1B365D"/>
            <w:tcMar>
              <w:top w:w="120" w:type="dxa"/>
              <w:bottom w:w="120" w:type="dxa"/>
              <w:left w:w="120" w:type="dxa"/>
              <w:right w:w="120" w:type="dxa"/>
            </w:tcMar>
          </w:tcPr>
          <w:p>
            <w:pPr>
              <w:spacing w:after="0"/>
              <w:jc w:val="left"/>
            </w:pPr>
            <w:r>
              <w:rPr>
                <w:rFonts w:ascii="Calibri" w:hAnsi="Calibri"/>
                <w:b/>
                <w:color w:val="FFFFFF"/>
                <w:sz w:val="19"/>
              </w:rPr>
              <w:t>Mean Age</w:t>
            </w:r>
          </w:p>
        </w:tc>
        <w:tc>
          <w:tcPr>
            <w:tcW w:type="dxa" w:w="1152"/>
            <w:shd w:fill="1B365D"/>
            <w:tcMar>
              <w:top w:w="120" w:type="dxa"/>
              <w:bottom w:w="120" w:type="dxa"/>
              <w:left w:w="120" w:type="dxa"/>
              <w:right w:w="120" w:type="dxa"/>
            </w:tcMar>
          </w:tcPr>
          <w:p>
            <w:pPr>
              <w:spacing w:after="0"/>
              <w:jc w:val="left"/>
            </w:pPr>
            <w:r>
              <w:rPr>
                <w:rFonts w:ascii="Calibri" w:hAnsi="Calibri"/>
                <w:b/>
                <w:color w:val="FFFFFF"/>
                <w:sz w:val="19"/>
              </w:rPr>
              <w:t>Mean Education (Yrs)</w:t>
            </w:r>
          </w:p>
        </w:tc>
        <w:tc>
          <w:tcPr>
            <w:tcW w:type="dxa" w:w="1152"/>
            <w:shd w:fill="1B365D"/>
            <w:tcMar>
              <w:top w:w="120" w:type="dxa"/>
              <w:bottom w:w="120" w:type="dxa"/>
              <w:left w:w="120" w:type="dxa"/>
              <w:right w:w="120" w:type="dxa"/>
            </w:tcMar>
          </w:tcPr>
          <w:p>
            <w:pPr>
              <w:spacing w:after="0"/>
              <w:jc w:val="left"/>
            </w:pPr>
            <w:r>
              <w:rPr>
                <w:rFonts w:ascii="Calibri" w:hAnsi="Calibri"/>
                <w:b/>
                <w:color w:val="FFFFFF"/>
                <w:sz w:val="19"/>
              </w:rPr>
              <w:t>Mean Hours/Wk</w:t>
            </w:r>
          </w:p>
        </w:tc>
        <w:tc>
          <w:tcPr>
            <w:tcW w:type="dxa" w:w="1296"/>
            <w:shd w:fill="1B365D"/>
            <w:tcMar>
              <w:top w:w="120" w:type="dxa"/>
              <w:bottom w:w="120" w:type="dxa"/>
              <w:left w:w="120" w:type="dxa"/>
              <w:right w:w="120" w:type="dxa"/>
            </w:tcMar>
          </w:tcPr>
          <w:p>
            <w:pPr>
              <w:spacing w:after="0"/>
              <w:jc w:val="left"/>
            </w:pPr>
            <w:r>
              <w:rPr>
                <w:rFonts w:ascii="Calibri" w:hAnsi="Calibri"/>
                <w:b/>
                <w:color w:val="FFFFFF"/>
                <w:sz w:val="19"/>
              </w:rPr>
              <w:t>Mean Capital Gain</w:t>
            </w:r>
          </w:p>
        </w:tc>
      </w:tr>
      <w:tr>
        <w:tc>
          <w:tcPr>
            <w:tcW w:type="dxa" w:w="2592"/>
            <w:shd w:fill="FFFFFF"/>
            <w:tcMar>
              <w:top w:w="80" w:type="dxa"/>
              <w:bottom w:w="80" w:type="dxa"/>
              <w:left w:w="120" w:type="dxa"/>
              <w:right w:w="120" w:type="dxa"/>
            </w:tcMar>
          </w:tcPr>
          <w:p>
            <w:pPr>
              <w:spacing w:after="0"/>
              <w:jc w:val="left"/>
            </w:pPr>
            <w:r>
              <w:rPr>
                <w:rFonts w:ascii="Calibri" w:hAnsi="Calibri"/>
                <w:b/>
                <w:color w:val="212529"/>
                <w:sz w:val="18"/>
              </w:rPr>
              <w:t>False Negative</w:t>
            </w:r>
          </w:p>
        </w:tc>
        <w:tc>
          <w:tcPr>
            <w:tcW w:type="dxa" w:w="1152"/>
            <w:shd w:fill="FFFFFF"/>
            <w:tcMar>
              <w:top w:w="80" w:type="dxa"/>
              <w:bottom w:w="80" w:type="dxa"/>
              <w:left w:w="120" w:type="dxa"/>
              <w:right w:w="120" w:type="dxa"/>
            </w:tcMar>
          </w:tcPr>
          <w:p>
            <w:pPr>
              <w:spacing w:after="0"/>
              <w:jc w:val="left"/>
            </w:pPr>
            <w:r>
              <w:rPr>
                <w:rFonts w:ascii="Calibri" w:hAnsi="Calibri"/>
                <w:b w:val="0"/>
                <w:color w:val="212529"/>
                <w:sz w:val="18"/>
              </w:rPr>
              <w:t>625</w:t>
            </w:r>
          </w:p>
        </w:tc>
        <w:tc>
          <w:tcPr>
            <w:tcW w:type="dxa" w:w="1008"/>
            <w:shd w:fill="FFFFFF"/>
            <w:tcMar>
              <w:top w:w="80" w:type="dxa"/>
              <w:bottom w:w="80" w:type="dxa"/>
              <w:left w:w="120" w:type="dxa"/>
              <w:right w:w="120" w:type="dxa"/>
            </w:tcMar>
          </w:tcPr>
          <w:p>
            <w:pPr>
              <w:spacing w:after="0"/>
              <w:jc w:val="left"/>
            </w:pPr>
            <w:r>
              <w:rPr>
                <w:rFonts w:ascii="Calibri" w:hAnsi="Calibri"/>
                <w:b w:val="0"/>
                <w:color w:val="212529"/>
                <w:sz w:val="18"/>
              </w:rPr>
              <w:t>9.60%</w:t>
            </w:r>
          </w:p>
        </w:tc>
        <w:tc>
          <w:tcPr>
            <w:tcW w:type="dxa" w:w="1008"/>
            <w:shd w:fill="FFFFFF"/>
            <w:tcMar>
              <w:top w:w="80" w:type="dxa"/>
              <w:bottom w:w="80" w:type="dxa"/>
              <w:left w:w="120" w:type="dxa"/>
              <w:right w:w="120" w:type="dxa"/>
            </w:tcMar>
          </w:tcPr>
          <w:p>
            <w:pPr>
              <w:spacing w:after="0"/>
              <w:jc w:val="left"/>
            </w:pPr>
            <w:r>
              <w:rPr>
                <w:rFonts w:ascii="Calibri" w:hAnsi="Calibri"/>
                <w:b w:val="0"/>
                <w:color w:val="212529"/>
                <w:sz w:val="18"/>
              </w:rPr>
              <w:t>43.0</w:t>
            </w:r>
          </w:p>
        </w:tc>
        <w:tc>
          <w:tcPr>
            <w:tcW w:type="dxa" w:w="1152"/>
            <w:shd w:fill="FFFFFF"/>
            <w:tcMar>
              <w:top w:w="80" w:type="dxa"/>
              <w:bottom w:w="80" w:type="dxa"/>
              <w:left w:w="120" w:type="dxa"/>
              <w:right w:w="120" w:type="dxa"/>
            </w:tcMar>
          </w:tcPr>
          <w:p>
            <w:pPr>
              <w:spacing w:after="0"/>
              <w:jc w:val="left"/>
            </w:pPr>
            <w:r>
              <w:rPr>
                <w:rFonts w:ascii="Calibri" w:hAnsi="Calibri"/>
                <w:b w:val="0"/>
                <w:color w:val="212529"/>
                <w:sz w:val="18"/>
              </w:rPr>
              <w:t>10.3</w:t>
            </w:r>
          </w:p>
        </w:tc>
        <w:tc>
          <w:tcPr>
            <w:tcW w:type="dxa" w:w="1152"/>
            <w:shd w:fill="FFFFFF"/>
            <w:tcMar>
              <w:top w:w="80" w:type="dxa"/>
              <w:bottom w:w="80" w:type="dxa"/>
              <w:left w:w="120" w:type="dxa"/>
              <w:right w:w="120" w:type="dxa"/>
            </w:tcMar>
          </w:tcPr>
          <w:p>
            <w:pPr>
              <w:spacing w:after="0"/>
              <w:jc w:val="left"/>
            </w:pPr>
            <w:r>
              <w:rPr>
                <w:rFonts w:ascii="Calibri" w:hAnsi="Calibri"/>
                <w:b w:val="0"/>
                <w:color w:val="212529"/>
                <w:sz w:val="18"/>
              </w:rPr>
              <w:t>42.8</w:t>
            </w:r>
          </w:p>
        </w:tc>
        <w:tc>
          <w:tcPr>
            <w:tcW w:type="dxa" w:w="1296"/>
            <w:shd w:fill="FFFFFF"/>
            <w:tcMar>
              <w:top w:w="80" w:type="dxa"/>
              <w:bottom w:w="80" w:type="dxa"/>
              <w:left w:w="120" w:type="dxa"/>
              <w:right w:w="120" w:type="dxa"/>
            </w:tcMar>
          </w:tcPr>
          <w:p>
            <w:pPr>
              <w:spacing w:after="0"/>
              <w:jc w:val="left"/>
            </w:pPr>
            <w:r>
              <w:rPr>
                <w:rFonts w:ascii="Calibri" w:hAnsi="Calibri"/>
                <w:b w:val="0"/>
                <w:color w:val="212529"/>
                <w:sz w:val="18"/>
              </w:rPr>
              <w:t>$293</w:t>
            </w:r>
          </w:p>
        </w:tc>
      </w:tr>
      <w:tr>
        <w:tc>
          <w:tcPr>
            <w:tcW w:type="dxa" w:w="2592"/>
            <w:shd w:fill="F9FAFB"/>
            <w:tcMar>
              <w:top w:w="80" w:type="dxa"/>
              <w:bottom w:w="80" w:type="dxa"/>
              <w:left w:w="120" w:type="dxa"/>
              <w:right w:w="120" w:type="dxa"/>
            </w:tcMar>
          </w:tcPr>
          <w:p>
            <w:pPr>
              <w:spacing w:after="0"/>
              <w:jc w:val="left"/>
            </w:pPr>
            <w:r>
              <w:rPr>
                <w:rFonts w:ascii="Calibri" w:hAnsi="Calibri"/>
                <w:b/>
                <w:color w:val="212529"/>
                <w:sz w:val="18"/>
              </w:rPr>
              <w:t>False Positive</w:t>
            </w:r>
          </w:p>
        </w:tc>
        <w:tc>
          <w:tcPr>
            <w:tcW w:type="dxa" w:w="1152"/>
            <w:shd w:fill="F9FAFB"/>
            <w:tcMar>
              <w:top w:w="80" w:type="dxa"/>
              <w:bottom w:w="80" w:type="dxa"/>
              <w:left w:w="120" w:type="dxa"/>
              <w:right w:w="120" w:type="dxa"/>
            </w:tcMar>
          </w:tcPr>
          <w:p>
            <w:pPr>
              <w:spacing w:after="0"/>
              <w:jc w:val="left"/>
            </w:pPr>
            <w:r>
              <w:rPr>
                <w:rFonts w:ascii="Calibri" w:hAnsi="Calibri"/>
                <w:b w:val="0"/>
                <w:color w:val="212529"/>
                <w:sz w:val="18"/>
              </w:rPr>
              <w:t>367</w:t>
            </w:r>
          </w:p>
        </w:tc>
        <w:tc>
          <w:tcPr>
            <w:tcW w:type="dxa" w:w="1008"/>
            <w:shd w:fill="F9FAFB"/>
            <w:tcMar>
              <w:top w:w="80" w:type="dxa"/>
              <w:bottom w:w="80" w:type="dxa"/>
              <w:left w:w="120" w:type="dxa"/>
              <w:right w:w="120" w:type="dxa"/>
            </w:tcMar>
          </w:tcPr>
          <w:p>
            <w:pPr>
              <w:spacing w:after="0"/>
              <w:jc w:val="left"/>
            </w:pPr>
            <w:r>
              <w:rPr>
                <w:rFonts w:ascii="Calibri" w:hAnsi="Calibri"/>
                <w:b w:val="0"/>
                <w:color w:val="212529"/>
                <w:sz w:val="18"/>
              </w:rPr>
              <w:t>5.64%</w:t>
            </w:r>
          </w:p>
        </w:tc>
        <w:tc>
          <w:tcPr>
            <w:tcW w:type="dxa" w:w="1008"/>
            <w:shd w:fill="F9FAFB"/>
            <w:tcMar>
              <w:top w:w="80" w:type="dxa"/>
              <w:bottom w:w="80" w:type="dxa"/>
              <w:left w:w="120" w:type="dxa"/>
              <w:right w:w="120" w:type="dxa"/>
            </w:tcMar>
          </w:tcPr>
          <w:p>
            <w:pPr>
              <w:spacing w:after="0"/>
              <w:jc w:val="left"/>
            </w:pPr>
            <w:r>
              <w:rPr>
                <w:rFonts w:ascii="Calibri" w:hAnsi="Calibri"/>
                <w:b w:val="0"/>
                <w:color w:val="212529"/>
                <w:sz w:val="18"/>
              </w:rPr>
              <w:t>45.3</w:t>
            </w:r>
          </w:p>
        </w:tc>
        <w:tc>
          <w:tcPr>
            <w:tcW w:type="dxa" w:w="1152"/>
            <w:shd w:fill="F9FAFB"/>
            <w:tcMar>
              <w:top w:w="80" w:type="dxa"/>
              <w:bottom w:w="80" w:type="dxa"/>
              <w:left w:w="120" w:type="dxa"/>
              <w:right w:w="120" w:type="dxa"/>
            </w:tcMar>
          </w:tcPr>
          <w:p>
            <w:pPr>
              <w:spacing w:after="0"/>
              <w:jc w:val="left"/>
            </w:pPr>
            <w:r>
              <w:rPr>
                <w:rFonts w:ascii="Calibri" w:hAnsi="Calibri"/>
                <w:b w:val="0"/>
                <w:color w:val="212529"/>
                <w:sz w:val="18"/>
              </w:rPr>
              <w:t>12.2</w:t>
            </w:r>
          </w:p>
        </w:tc>
        <w:tc>
          <w:tcPr>
            <w:tcW w:type="dxa" w:w="1152"/>
            <w:shd w:fill="F9FAFB"/>
            <w:tcMar>
              <w:top w:w="80" w:type="dxa"/>
              <w:bottom w:w="80" w:type="dxa"/>
              <w:left w:w="120" w:type="dxa"/>
              <w:right w:w="120" w:type="dxa"/>
            </w:tcMar>
          </w:tcPr>
          <w:p>
            <w:pPr>
              <w:spacing w:after="0"/>
              <w:jc w:val="left"/>
            </w:pPr>
            <w:r>
              <w:rPr>
                <w:rFonts w:ascii="Calibri" w:hAnsi="Calibri"/>
                <w:b w:val="0"/>
                <w:color w:val="212529"/>
                <w:sz w:val="18"/>
              </w:rPr>
              <w:t>47.3</w:t>
            </w:r>
          </w:p>
        </w:tc>
        <w:tc>
          <w:tcPr>
            <w:tcW w:type="dxa" w:w="1296"/>
            <w:shd w:fill="F9FAFB"/>
            <w:tcMar>
              <w:top w:w="80" w:type="dxa"/>
              <w:bottom w:w="80" w:type="dxa"/>
              <w:left w:w="120" w:type="dxa"/>
              <w:right w:w="120" w:type="dxa"/>
            </w:tcMar>
          </w:tcPr>
          <w:p>
            <w:pPr>
              <w:spacing w:after="0"/>
              <w:jc w:val="left"/>
            </w:pPr>
            <w:r>
              <w:rPr>
                <w:rFonts w:ascii="Calibri" w:hAnsi="Calibri"/>
                <w:b w:val="0"/>
                <w:color w:val="212529"/>
                <w:sz w:val="18"/>
              </w:rPr>
              <w:t>$683</w:t>
            </w:r>
          </w:p>
        </w:tc>
      </w:tr>
      <w:tr>
        <w:tc>
          <w:tcPr>
            <w:tcW w:type="dxa" w:w="2592"/>
            <w:shd w:fill="FFFFFF"/>
            <w:tcMar>
              <w:top w:w="80" w:type="dxa"/>
              <w:bottom w:w="80" w:type="dxa"/>
              <w:left w:w="120" w:type="dxa"/>
              <w:right w:w="120" w:type="dxa"/>
            </w:tcMar>
          </w:tcPr>
          <w:p>
            <w:pPr>
              <w:spacing w:after="0"/>
              <w:jc w:val="left"/>
            </w:pPr>
            <w:r>
              <w:rPr>
                <w:rFonts w:ascii="Calibri" w:hAnsi="Calibri"/>
                <w:b/>
                <w:color w:val="212529"/>
                <w:sz w:val="18"/>
              </w:rPr>
              <w:t>True Negative</w:t>
            </w:r>
          </w:p>
        </w:tc>
        <w:tc>
          <w:tcPr>
            <w:tcW w:type="dxa" w:w="1152"/>
            <w:shd w:fill="FFFFFF"/>
            <w:tcMar>
              <w:top w:w="80" w:type="dxa"/>
              <w:bottom w:w="80" w:type="dxa"/>
              <w:left w:w="120" w:type="dxa"/>
              <w:right w:w="120" w:type="dxa"/>
            </w:tcMar>
          </w:tcPr>
          <w:p>
            <w:pPr>
              <w:spacing w:after="0"/>
              <w:jc w:val="left"/>
            </w:pPr>
            <w:r>
              <w:rPr>
                <w:rFonts w:ascii="Calibri" w:hAnsi="Calibri"/>
                <w:b w:val="0"/>
                <w:color w:val="212529"/>
                <w:sz w:val="18"/>
              </w:rPr>
              <w:t>4,573</w:t>
            </w:r>
          </w:p>
        </w:tc>
        <w:tc>
          <w:tcPr>
            <w:tcW w:type="dxa" w:w="1008"/>
            <w:shd w:fill="FFFFFF"/>
            <w:tcMar>
              <w:top w:w="80" w:type="dxa"/>
              <w:bottom w:w="80" w:type="dxa"/>
              <w:left w:w="120" w:type="dxa"/>
              <w:right w:w="120" w:type="dxa"/>
            </w:tcMar>
          </w:tcPr>
          <w:p>
            <w:pPr>
              <w:spacing w:after="0"/>
              <w:jc w:val="left"/>
            </w:pPr>
            <w:r>
              <w:rPr>
                <w:rFonts w:ascii="Calibri" w:hAnsi="Calibri"/>
                <w:b w:val="0"/>
                <w:color w:val="212529"/>
                <w:sz w:val="18"/>
              </w:rPr>
              <w:t>70.27%</w:t>
            </w:r>
          </w:p>
        </w:tc>
        <w:tc>
          <w:tcPr>
            <w:tcW w:type="dxa" w:w="1008"/>
            <w:shd w:fill="FFFFFF"/>
            <w:tcMar>
              <w:top w:w="80" w:type="dxa"/>
              <w:bottom w:w="80" w:type="dxa"/>
              <w:left w:w="120" w:type="dxa"/>
              <w:right w:w="120" w:type="dxa"/>
            </w:tcMar>
          </w:tcPr>
          <w:p>
            <w:pPr>
              <w:spacing w:after="0"/>
              <w:jc w:val="left"/>
            </w:pPr>
            <w:r>
              <w:rPr>
                <w:rFonts w:ascii="Calibri" w:hAnsi="Calibri"/>
                <w:b w:val="0"/>
                <w:color w:val="212529"/>
                <w:sz w:val="18"/>
              </w:rPr>
              <w:t>36.0</w:t>
            </w:r>
          </w:p>
        </w:tc>
        <w:tc>
          <w:tcPr>
            <w:tcW w:type="dxa" w:w="1152"/>
            <w:shd w:fill="FFFFFF"/>
            <w:tcMar>
              <w:top w:w="80" w:type="dxa"/>
              <w:bottom w:w="80" w:type="dxa"/>
              <w:left w:w="120" w:type="dxa"/>
              <w:right w:w="120" w:type="dxa"/>
            </w:tcMar>
          </w:tcPr>
          <w:p>
            <w:pPr>
              <w:spacing w:after="0"/>
              <w:jc w:val="left"/>
            </w:pPr>
            <w:r>
              <w:rPr>
                <w:rFonts w:ascii="Calibri" w:hAnsi="Calibri"/>
                <w:b w:val="0"/>
                <w:color w:val="212529"/>
                <w:sz w:val="18"/>
              </w:rPr>
              <w:t>9.4</w:t>
            </w:r>
          </w:p>
        </w:tc>
        <w:tc>
          <w:tcPr>
            <w:tcW w:type="dxa" w:w="1152"/>
            <w:shd w:fill="FFFFFF"/>
            <w:tcMar>
              <w:top w:w="80" w:type="dxa"/>
              <w:bottom w:w="80" w:type="dxa"/>
              <w:left w:w="120" w:type="dxa"/>
              <w:right w:w="120" w:type="dxa"/>
            </w:tcMar>
          </w:tcPr>
          <w:p>
            <w:pPr>
              <w:spacing w:after="0"/>
              <w:jc w:val="left"/>
            </w:pPr>
            <w:r>
              <w:rPr>
                <w:rFonts w:ascii="Calibri" w:hAnsi="Calibri"/>
                <w:b w:val="0"/>
                <w:color w:val="212529"/>
                <w:sz w:val="18"/>
              </w:rPr>
              <w:t>38.0</w:t>
            </w:r>
          </w:p>
        </w:tc>
        <w:tc>
          <w:tcPr>
            <w:tcW w:type="dxa" w:w="1296"/>
            <w:shd w:fill="FFFFFF"/>
            <w:tcMar>
              <w:top w:w="80" w:type="dxa"/>
              <w:bottom w:w="80" w:type="dxa"/>
              <w:left w:w="120" w:type="dxa"/>
              <w:right w:w="120" w:type="dxa"/>
            </w:tcMar>
          </w:tcPr>
          <w:p>
            <w:pPr>
              <w:spacing w:after="0"/>
              <w:jc w:val="left"/>
            </w:pPr>
            <w:r>
              <w:rPr>
                <w:rFonts w:ascii="Calibri" w:hAnsi="Calibri"/>
                <w:b w:val="0"/>
                <w:color w:val="212529"/>
                <w:sz w:val="18"/>
              </w:rPr>
              <w:t>$92</w:t>
            </w:r>
          </w:p>
        </w:tc>
      </w:tr>
      <w:tr>
        <w:tc>
          <w:tcPr>
            <w:tcW w:type="dxa" w:w="2592"/>
            <w:shd w:fill="F9FAFB"/>
            <w:tcMar>
              <w:top w:w="80" w:type="dxa"/>
              <w:bottom w:w="80" w:type="dxa"/>
              <w:left w:w="120" w:type="dxa"/>
              <w:right w:w="120" w:type="dxa"/>
            </w:tcMar>
          </w:tcPr>
          <w:p>
            <w:pPr>
              <w:spacing w:after="0"/>
              <w:jc w:val="left"/>
            </w:pPr>
            <w:r>
              <w:rPr>
                <w:rFonts w:ascii="Calibri" w:hAnsi="Calibri"/>
                <w:b/>
                <w:color w:val="212529"/>
                <w:sz w:val="18"/>
              </w:rPr>
              <w:t>True Positive</w:t>
            </w:r>
          </w:p>
        </w:tc>
        <w:tc>
          <w:tcPr>
            <w:tcW w:type="dxa" w:w="1152"/>
            <w:shd w:fill="F9FAFB"/>
            <w:tcMar>
              <w:top w:w="80" w:type="dxa"/>
              <w:bottom w:w="80" w:type="dxa"/>
              <w:left w:w="120" w:type="dxa"/>
              <w:right w:w="120" w:type="dxa"/>
            </w:tcMar>
          </w:tcPr>
          <w:p>
            <w:pPr>
              <w:spacing w:after="0"/>
              <w:jc w:val="left"/>
            </w:pPr>
            <w:r>
              <w:rPr>
                <w:rFonts w:ascii="Calibri" w:hAnsi="Calibri"/>
                <w:b w:val="0"/>
                <w:color w:val="212529"/>
                <w:sz w:val="18"/>
              </w:rPr>
              <w:t>943</w:t>
            </w:r>
          </w:p>
        </w:tc>
        <w:tc>
          <w:tcPr>
            <w:tcW w:type="dxa" w:w="1008"/>
            <w:shd w:fill="F9FAFB"/>
            <w:tcMar>
              <w:top w:w="80" w:type="dxa"/>
              <w:bottom w:w="80" w:type="dxa"/>
              <w:left w:w="120" w:type="dxa"/>
              <w:right w:w="120" w:type="dxa"/>
            </w:tcMar>
          </w:tcPr>
          <w:p>
            <w:pPr>
              <w:spacing w:after="0"/>
              <w:jc w:val="left"/>
            </w:pPr>
            <w:r>
              <w:rPr>
                <w:rFonts w:ascii="Calibri" w:hAnsi="Calibri"/>
                <w:b w:val="0"/>
                <w:color w:val="212529"/>
                <w:sz w:val="18"/>
              </w:rPr>
              <w:t>14.49%</w:t>
            </w:r>
          </w:p>
        </w:tc>
        <w:tc>
          <w:tcPr>
            <w:tcW w:type="dxa" w:w="1008"/>
            <w:shd w:fill="F9FAFB"/>
            <w:tcMar>
              <w:top w:w="80" w:type="dxa"/>
              <w:bottom w:w="80" w:type="dxa"/>
              <w:left w:w="120" w:type="dxa"/>
              <w:right w:w="120" w:type="dxa"/>
            </w:tcMar>
          </w:tcPr>
          <w:p>
            <w:pPr>
              <w:spacing w:after="0"/>
              <w:jc w:val="left"/>
            </w:pPr>
            <w:r>
              <w:rPr>
                <w:rFonts w:ascii="Calibri" w:hAnsi="Calibri"/>
                <w:b w:val="0"/>
                <w:color w:val="212529"/>
                <w:sz w:val="18"/>
              </w:rPr>
              <w:t>45.0</w:t>
            </w:r>
          </w:p>
        </w:tc>
        <w:tc>
          <w:tcPr>
            <w:tcW w:type="dxa" w:w="1152"/>
            <w:shd w:fill="F9FAFB"/>
            <w:tcMar>
              <w:top w:w="80" w:type="dxa"/>
              <w:bottom w:w="80" w:type="dxa"/>
              <w:left w:w="120" w:type="dxa"/>
              <w:right w:w="120" w:type="dxa"/>
            </w:tcMar>
          </w:tcPr>
          <w:p>
            <w:pPr>
              <w:spacing w:after="0"/>
              <w:jc w:val="left"/>
            </w:pPr>
            <w:r>
              <w:rPr>
                <w:rFonts w:ascii="Calibri" w:hAnsi="Calibri"/>
                <w:b w:val="0"/>
                <w:color w:val="212529"/>
                <w:sz w:val="18"/>
              </w:rPr>
              <w:t>12.6</w:t>
            </w:r>
          </w:p>
        </w:tc>
        <w:tc>
          <w:tcPr>
            <w:tcW w:type="dxa" w:w="1152"/>
            <w:shd w:fill="F9FAFB"/>
            <w:tcMar>
              <w:top w:w="80" w:type="dxa"/>
              <w:bottom w:w="80" w:type="dxa"/>
              <w:left w:w="120" w:type="dxa"/>
              <w:right w:w="120" w:type="dxa"/>
            </w:tcMar>
          </w:tcPr>
          <w:p>
            <w:pPr>
              <w:spacing w:after="0"/>
              <w:jc w:val="left"/>
            </w:pPr>
            <w:r>
              <w:rPr>
                <w:rFonts w:ascii="Calibri" w:hAnsi="Calibri"/>
                <w:b w:val="0"/>
                <w:color w:val="212529"/>
                <w:sz w:val="18"/>
              </w:rPr>
              <w:t>47.0</w:t>
            </w:r>
          </w:p>
        </w:tc>
        <w:tc>
          <w:tcPr>
            <w:tcW w:type="dxa" w:w="1296"/>
            <w:shd w:fill="F9FAFB"/>
            <w:tcMar>
              <w:top w:w="80" w:type="dxa"/>
              <w:bottom w:w="80" w:type="dxa"/>
              <w:left w:w="120" w:type="dxa"/>
              <w:right w:w="120" w:type="dxa"/>
            </w:tcMar>
          </w:tcPr>
          <w:p>
            <w:pPr>
              <w:spacing w:after="0"/>
              <w:jc w:val="left"/>
            </w:pPr>
            <w:r>
              <w:rPr>
                <w:rFonts w:ascii="Calibri" w:hAnsi="Calibri"/>
                <w:b w:val="0"/>
                <w:color w:val="212529"/>
                <w:sz w:val="18"/>
              </w:rPr>
              <w:t>$6,523</w:t>
            </w:r>
          </w:p>
        </w:tc>
      </w:tr>
    </w:tbl>
    <w:p>
      <w:pPr>
        <w:spacing w:after="160"/>
      </w:pPr>
      <w:r>
        <w:rPr>
          <w:i/>
          <w:color w:val="6C757D"/>
          <w:sz w:val="17"/>
        </w:rPr>
        <w:t>Table 8 Note: Quadrant profile at 0.50 decision cutoff. Holdout N = 6,508. Capital gains in unadjusted 1994 USD.</w:t>
      </w:r>
    </w:p>
    <w:p>
      <w:pPr>
        <w:spacing w:after="120" w:line="276" w:lineRule="auto"/>
      </w:pPr>
      <w:r>
        <w:rPr>
          <w:rFonts w:ascii="Calibri" w:hAnsi="Calibri"/>
          <w:b/>
          <w:color w:val="1B365D"/>
          <w:sz w:val="22"/>
        </w:rPr>
        <w:t xml:space="preserve">Why Does the Model Make Mistakes? </w:t>
      </w:r>
      <w:r>
        <w:rPr>
          <w:rFonts w:ascii="Calibri" w:hAnsi="Calibri"/>
          <w:color w:val="212529"/>
          <w:sz w:val="22"/>
        </w:rPr>
        <w:t>Forensic Insights into Model Errors:</w:t>
      </w:r>
    </w:p>
    <w:p>
      <w:pPr>
        <w:pStyle w:val="ListBullet"/>
        <w:spacing w:after="60" w:line="276" w:lineRule="auto"/>
      </w:pPr>
      <w:r>
        <w:rPr>
          <w:rFonts w:ascii="Calibri" w:hAnsi="Calibri"/>
          <w:b/>
          <w:color w:val="1B365D"/>
          <w:sz w:val="21"/>
        </w:rPr>
        <w:t xml:space="preserve">False Positive Forensic: </w:t>
      </w:r>
      <w:r>
        <w:rPr>
          <w:rFonts w:ascii="Calibri" w:hAnsi="Calibri"/>
          <w:color w:val="212529"/>
          <w:sz w:val="21"/>
        </w:rPr>
        <w:t>False Positives (N = 367, 5.64% of sample): These individuals possess demographic profiles that strongly mirror high earners (mean age 45.3 years, 12.2 years education, 47.3 hours worked per week, median predicted probability = 0.635), yet their actual earnings were &lt;=$50,000. These cases represent workers in high-credential but lower-paying sectors (e.g., academia, public school teaching, non-profit administration, or self-employment with high overhead).</w:t>
      </w:r>
    </w:p>
    <w:p>
      <w:pPr>
        <w:pStyle w:val="ListBullet"/>
        <w:spacing w:after="60" w:line="276" w:lineRule="auto"/>
      </w:pPr>
      <w:r>
        <w:rPr>
          <w:rFonts w:ascii="Calibri" w:hAnsi="Calibri"/>
          <w:b/>
          <w:color w:val="1B365D"/>
          <w:sz w:val="21"/>
        </w:rPr>
        <w:t xml:space="preserve">False Negative Forensic: </w:t>
      </w:r>
      <w:r>
        <w:rPr>
          <w:rFonts w:ascii="Calibri" w:hAnsi="Calibri"/>
          <w:color w:val="212529"/>
          <w:sz w:val="21"/>
        </w:rPr>
        <w:t>False Negatives (N = 625, 9.60% of sample): These individuals genuinely earn &gt;$50,000 despite lacking traditional credentials (mean education 10.3 years, mean capital gain only $293, median predicted probability = 0.294). These individuals primarily represent experienced blue-collar craft-repair workers, specialized machine operators, and long-tenured transport workers who achieve high earnings through extensive overtime and specialized trade knowledge not captured by formal degree attainment.</w:t>
      </w:r>
    </w:p>
    <w:p>
      <w:pPr>
        <w:pStyle w:val="Heading1"/>
        <w:keepNext/>
        <w:spacing w:before="360" w:after="120"/>
      </w:pPr>
      <w:r>
        <w:rPr>
          <w:rFonts w:ascii="Calibri" w:hAnsi="Calibri"/>
          <w:b/>
          <w:color w:val="1B365D"/>
          <w:sz w:val="34"/>
        </w:rPr>
        <w:t>Section 12: Econometric Interpretations, Policy &amp; Ethical Governance</w:t>
      </w:r>
    </w:p>
    <w:p>
      <w:pPr>
        <w:spacing w:after="120" w:line="276" w:lineRule="auto"/>
      </w:pPr>
      <w:r>
        <w:rPr>
          <w:rFonts w:ascii="Calibri" w:hAnsi="Calibri"/>
          <w:color w:val="212529"/>
          <w:sz w:val="22"/>
        </w:rPr>
        <w:t>A rigorous empirical study must clearly distinguish statistical association from causal mechanisms and address the sociopolitical context of the training data. The 1994 Census CPS dataset reflects historical structural conditions in the United States economy that must not be uncritically projected into contemporary automated decision-making.</w:t>
      </w:r>
    </w:p>
    <w:p>
      <w:pPr>
        <w:spacing w:after="120" w:line="276" w:lineRule="auto"/>
      </w:pPr>
      <w:r>
        <w:rPr>
          <w:rFonts w:ascii="Calibri" w:hAnsi="Calibri"/>
          <w:b/>
          <w:color w:val="1B365D"/>
          <w:sz w:val="22"/>
        </w:rPr>
        <w:t xml:space="preserve">Key Governance Tenets: </w:t>
      </w:r>
      <w:r>
        <w:rPr>
          <w:rFonts w:ascii="Calibri" w:hAnsi="Calibri"/>
          <w:color w:val="212529"/>
          <w:sz w:val="22"/>
        </w:rPr>
        <w:t>Ethical and Algorithmic Governance Pillars:</w:t>
      </w:r>
    </w:p>
    <w:p>
      <w:pPr>
        <w:pStyle w:val="ListBullet"/>
        <w:spacing w:after="60" w:line="276" w:lineRule="auto"/>
      </w:pPr>
      <w:r>
        <w:rPr>
          <w:rFonts w:ascii="Calibri" w:hAnsi="Calibri"/>
          <w:b/>
          <w:color w:val="1B365D"/>
          <w:sz w:val="21"/>
        </w:rPr>
        <w:t xml:space="preserve">Causality Caveat: </w:t>
      </w:r>
      <w:r>
        <w:rPr>
          <w:rFonts w:ascii="Calibri" w:hAnsi="Calibri"/>
          <w:color w:val="212529"/>
          <w:sz w:val="21"/>
        </w:rPr>
        <w:t>Association vs. Causation: Logistic regression coefficients capture conditional associations, not structural causal effects. For example, while marriage exhibits an odds ratio of 7.16, marriage does not causally generate wealth; rather, positive assortative mating, unobserved emotional stability, dual-earner economies of scale, and employer selection create an endogenous correlation.</w:t>
      </w:r>
    </w:p>
    <w:p>
      <w:pPr>
        <w:pStyle w:val="ListBullet"/>
        <w:spacing w:after="60" w:line="276" w:lineRule="auto"/>
      </w:pPr>
      <w:r>
        <w:rPr>
          <w:rFonts w:ascii="Calibri" w:hAnsi="Calibri"/>
          <w:b/>
          <w:color w:val="1B365D"/>
          <w:sz w:val="21"/>
        </w:rPr>
        <w:t xml:space="preserve">Fairness &amp; Anti-Discrimination: </w:t>
      </w:r>
      <w:r>
        <w:rPr>
          <w:rFonts w:ascii="Calibri" w:hAnsi="Calibri"/>
          <w:color w:val="212529"/>
          <w:sz w:val="21"/>
        </w:rPr>
        <w:t>Algorithmic Fairness &amp; Protected Attributes: Variables such as sex (Male OR = 2.37) and race reflect historical inequalities and labor market discrimination present in 1994. Utilizing such predictors in commercial automated scoring systems (e.g., automated hiring, credit underwriting, tenant screening) would perpetuate historical bias and violate disparate impact laws (e.g., the U.S. Equal Credit Opportunity Act and Title VII of the Civil Rights Act).</w:t>
      </w:r>
    </w:p>
    <w:p>
      <w:pPr>
        <w:pStyle w:val="ListBullet"/>
        <w:spacing w:after="60" w:line="276" w:lineRule="auto"/>
      </w:pPr>
      <w:r>
        <w:rPr>
          <w:rFonts w:ascii="Calibri" w:hAnsi="Calibri"/>
          <w:b/>
          <w:color w:val="1B365D"/>
          <w:sz w:val="21"/>
        </w:rPr>
        <w:t xml:space="preserve">Deployment Prohibition: </w:t>
      </w:r>
      <w:r>
        <w:rPr>
          <w:rFonts w:ascii="Calibri" w:hAnsi="Calibri"/>
          <w:color w:val="212529"/>
          <w:sz w:val="21"/>
        </w:rPr>
        <w:t>Inappropriate Real-World Application: This predictive model was engineered exclusively for academic inference and macroscopic demographic analysis. It MUST NOT be deployed as an individual financial evaluation tool, employment screening filter, or automated credit risk adjudicator.</w:t>
      </w:r>
    </w:p>
    <w:p>
      <w:pPr>
        <w:pStyle w:val="Heading1"/>
        <w:keepNext/>
        <w:spacing w:before="360" w:after="120"/>
      </w:pPr>
      <w:r>
        <w:rPr>
          <w:rFonts w:ascii="Calibri" w:hAnsi="Calibri"/>
          <w:b/>
          <w:color w:val="1B365D"/>
          <w:sz w:val="34"/>
        </w:rPr>
        <w:t>Section 13: Methodological Strengths, Limitations &amp; Future Directions</w:t>
      </w:r>
    </w:p>
    <w:p>
      <w:pPr>
        <w:spacing w:after="120" w:line="276" w:lineRule="auto"/>
      </w:pPr>
      <w:r>
        <w:rPr>
          <w:rFonts w:ascii="Calibri" w:hAnsi="Calibri"/>
          <w:color w:val="212529"/>
          <w:sz w:val="22"/>
        </w:rPr>
        <w:t>This investigation possesses distinct methodological strengths alongside unavoidable constraints:</w:t>
      </w:r>
    </w:p>
    <w:p>
      <w:pPr>
        <w:pStyle w:val="ListBullet"/>
        <w:spacing w:after="60" w:line="276" w:lineRule="auto"/>
      </w:pPr>
      <w:r>
        <w:rPr>
          <w:rFonts w:ascii="Calibri" w:hAnsi="Calibri"/>
          <w:b/>
          <w:color w:val="1B365D"/>
          <w:sz w:val="21"/>
        </w:rPr>
        <w:t xml:space="preserve">Strength 1: </w:t>
      </w:r>
      <w:r>
        <w:rPr>
          <w:rFonts w:ascii="Calibri" w:hAnsi="Calibri"/>
          <w:color w:val="212529"/>
          <w:sz w:val="21"/>
        </w:rPr>
        <w:t>Complete methodological transparency with zero synthetic or fabricated values.</w:t>
      </w:r>
    </w:p>
    <w:p>
      <w:pPr>
        <w:pStyle w:val="ListBullet"/>
        <w:spacing w:after="60" w:line="276" w:lineRule="auto"/>
      </w:pPr>
      <w:r>
        <w:rPr>
          <w:rFonts w:ascii="Calibri" w:hAnsi="Calibri"/>
          <w:b/>
          <w:color w:val="1B365D"/>
          <w:sz w:val="21"/>
        </w:rPr>
        <w:t xml:space="preserve">Strength 2: </w:t>
      </w:r>
      <w:r>
        <w:rPr>
          <w:rFonts w:ascii="Calibri" w:hAnsi="Calibri"/>
          <w:color w:val="212529"/>
          <w:sz w:val="21"/>
        </w:rPr>
        <w:t>Strict isolation of holdout test data (N = 6,508) preventing test-set leakage.</w:t>
      </w:r>
    </w:p>
    <w:p>
      <w:pPr>
        <w:pStyle w:val="ListBullet"/>
        <w:spacing w:after="60" w:line="276" w:lineRule="auto"/>
      </w:pPr>
      <w:r>
        <w:rPr>
          <w:rFonts w:ascii="Calibri" w:hAnsi="Calibri"/>
          <w:b/>
          <w:color w:val="1B365D"/>
          <w:sz w:val="21"/>
        </w:rPr>
        <w:t xml:space="preserve">Strength 3: </w:t>
      </w:r>
      <w:r>
        <w:rPr>
          <w:rFonts w:ascii="Calibri" w:hAnsi="Calibri"/>
          <w:color w:val="212529"/>
          <w:sz w:val="21"/>
        </w:rPr>
        <w:t>Comprehensive duality of parametric and non-parametric hypothesis testing with FDR corrections.</w:t>
      </w:r>
    </w:p>
    <w:p>
      <w:pPr>
        <w:pStyle w:val="ListBullet"/>
        <w:spacing w:after="60" w:line="276" w:lineRule="auto"/>
      </w:pPr>
      <w:r>
        <w:rPr>
          <w:rFonts w:ascii="Calibri" w:hAnsi="Calibri"/>
          <w:b/>
          <w:color w:val="1B365D"/>
          <w:sz w:val="21"/>
        </w:rPr>
        <w:t xml:space="preserve">Strength 4: </w:t>
      </w:r>
      <w:r>
        <w:rPr>
          <w:rFonts w:ascii="Calibri" w:hAnsi="Calibri"/>
          <w:color w:val="212529"/>
          <w:sz w:val="21"/>
        </w:rPr>
        <w:t>Empirically verified probability calibration across all deciles of predicted risk.</w:t>
      </w:r>
    </w:p>
    <w:p>
      <w:pPr>
        <w:pStyle w:val="ListBullet"/>
        <w:spacing w:after="60" w:line="276" w:lineRule="auto"/>
      </w:pPr>
      <w:r>
        <w:rPr>
          <w:rFonts w:ascii="Calibri" w:hAnsi="Calibri"/>
          <w:b/>
          <w:color w:val="1B365D"/>
          <w:sz w:val="21"/>
        </w:rPr>
        <w:t xml:space="preserve">Strength 5: </w:t>
      </w:r>
      <w:r>
        <w:rPr>
          <w:rFonts w:ascii="Calibri" w:hAnsi="Calibri"/>
          <w:color w:val="212529"/>
          <w:sz w:val="21"/>
        </w:rPr>
        <w:t>Rigorous multicollinearity assessment via Generalized VIFs and influence diagnostics.</w:t>
      </w:r>
    </w:p>
    <w:p>
      <w:pPr>
        <w:spacing w:after="120" w:line="276" w:lineRule="auto"/>
      </w:pPr>
      <w:r>
        <w:rPr>
          <w:rFonts w:ascii="Calibri" w:hAnsi="Calibri"/>
          <w:b/>
          <w:color w:val="1B365D"/>
          <w:sz w:val="22"/>
        </w:rPr>
        <w:t xml:space="preserve">Analytical Limitations: </w:t>
      </w:r>
      <w:r>
        <w:rPr>
          <w:rFonts w:ascii="Calibri" w:hAnsi="Calibri"/>
          <w:color w:val="212529"/>
          <w:sz w:val="22"/>
        </w:rPr>
        <w:t>Methodological Limitations &amp; Constraints:</w:t>
      </w:r>
    </w:p>
    <w:p>
      <w:pPr>
        <w:pStyle w:val="ListBullet"/>
        <w:spacing w:after="60" w:line="276" w:lineRule="auto"/>
      </w:pPr>
      <w:r>
        <w:rPr>
          <w:rFonts w:ascii="Calibri" w:hAnsi="Calibri"/>
          <w:b/>
          <w:color w:val="1B365D"/>
          <w:sz w:val="21"/>
        </w:rPr>
        <w:t xml:space="preserve">Limitation 1: </w:t>
      </w:r>
      <w:r>
        <w:rPr>
          <w:rFonts w:ascii="Calibri" w:hAnsi="Calibri"/>
          <w:color w:val="212529"/>
          <w:sz w:val="21"/>
        </w:rPr>
        <w:t>Historical Temporal Lag: The survey dates to 1994; inflation, technological disruption, the gig economy, and shifting wage structures limit contemporary numerical extrapolation.</w:t>
      </w:r>
    </w:p>
    <w:p>
      <w:pPr>
        <w:pStyle w:val="ListBullet"/>
        <w:spacing w:after="60" w:line="276" w:lineRule="auto"/>
      </w:pPr>
      <w:r>
        <w:rPr>
          <w:rFonts w:ascii="Calibri" w:hAnsi="Calibri"/>
          <w:b/>
          <w:color w:val="1B365D"/>
          <w:sz w:val="21"/>
        </w:rPr>
        <w:t xml:space="preserve">Limitation 2: </w:t>
      </w:r>
      <w:r>
        <w:rPr>
          <w:rFonts w:ascii="Calibri" w:hAnsi="Calibri"/>
          <w:color w:val="212529"/>
          <w:sz w:val="21"/>
        </w:rPr>
        <w:t>Arbitrary Dichotomization: Converting continuous income into a binary $50,000 threshold discards granular variance across middle- and ultra-high-income tiers.</w:t>
      </w:r>
    </w:p>
    <w:p>
      <w:pPr>
        <w:pStyle w:val="ListBullet"/>
        <w:spacing w:after="60" w:line="276" w:lineRule="auto"/>
      </w:pPr>
      <w:r>
        <w:rPr>
          <w:rFonts w:ascii="Calibri" w:hAnsi="Calibri"/>
          <w:b/>
          <w:color w:val="1B365D"/>
          <w:sz w:val="21"/>
        </w:rPr>
        <w:t xml:space="preserve">Limitation 3: </w:t>
      </w:r>
      <w:r>
        <w:rPr>
          <w:rFonts w:ascii="Calibri" w:hAnsi="Calibri"/>
          <w:color w:val="212529"/>
          <w:sz w:val="21"/>
        </w:rPr>
        <w:t>Zero-Inflation in Asset Gains: Extreme sparsity in capital gains and losses (92% zeros) constrains linear parameter estimation.</w:t>
      </w:r>
    </w:p>
    <w:p>
      <w:pPr>
        <w:spacing w:after="120" w:line="276" w:lineRule="auto"/>
      </w:pPr>
      <w:r>
        <w:rPr>
          <w:rFonts w:ascii="Calibri" w:hAnsi="Calibri"/>
          <w:b/>
          <w:color w:val="1B365D"/>
          <w:sz w:val="22"/>
        </w:rPr>
        <w:t xml:space="preserve">Future Research Directions: </w:t>
      </w:r>
      <w:r>
        <w:rPr>
          <w:rFonts w:ascii="Calibri" w:hAnsi="Calibri"/>
          <w:color w:val="212529"/>
          <w:sz w:val="22"/>
        </w:rPr>
        <w:t>Recommended Future Extensions:</w:t>
      </w:r>
    </w:p>
    <w:p>
      <w:pPr>
        <w:pStyle w:val="ListBullet"/>
        <w:spacing w:after="60" w:line="276" w:lineRule="auto"/>
      </w:pPr>
      <w:r>
        <w:rPr>
          <w:rFonts w:ascii="Calibri" w:hAnsi="Calibri"/>
          <w:b/>
          <w:color w:val="1B365D"/>
          <w:sz w:val="21"/>
        </w:rPr>
        <w:t xml:space="preserve">Extension 1: </w:t>
      </w:r>
      <w:r>
        <w:rPr>
          <w:rFonts w:ascii="Calibri" w:hAnsi="Calibri"/>
          <w:color w:val="212529"/>
          <w:sz w:val="21"/>
        </w:rPr>
        <w:t>Non-Linear Machine Learning: Implementing gradient boosted trees (XGBoost/LightGBM) to capture multi-way non-linear feature interactions.</w:t>
      </w:r>
    </w:p>
    <w:p>
      <w:pPr>
        <w:pStyle w:val="ListBullet"/>
        <w:spacing w:after="60" w:line="276" w:lineRule="auto"/>
      </w:pPr>
      <w:r>
        <w:rPr>
          <w:rFonts w:ascii="Calibri" w:hAnsi="Calibri"/>
          <w:b/>
          <w:color w:val="1B365D"/>
          <w:sz w:val="21"/>
        </w:rPr>
        <w:t xml:space="preserve">Extension 2: </w:t>
      </w:r>
      <w:r>
        <w:rPr>
          <w:rFonts w:ascii="Calibri" w:hAnsi="Calibri"/>
          <w:color w:val="212529"/>
          <w:sz w:val="21"/>
        </w:rPr>
        <w:t>Threshold Optimization: Tuning decision thresholds using cost-sensitive utility functions rather than defaulting to the standard 0.50 cutoff.</w:t>
      </w:r>
    </w:p>
    <w:p>
      <w:pPr>
        <w:pStyle w:val="ListBullet"/>
        <w:spacing w:after="60" w:line="276" w:lineRule="auto"/>
      </w:pPr>
      <w:r>
        <w:rPr>
          <w:rFonts w:ascii="Calibri" w:hAnsi="Calibri"/>
          <w:b/>
          <w:color w:val="1B365D"/>
          <w:sz w:val="21"/>
        </w:rPr>
        <w:t xml:space="preserve">Extension 3: </w:t>
      </w:r>
      <w:r>
        <w:rPr>
          <w:rFonts w:ascii="Calibri" w:hAnsi="Calibri"/>
          <w:color w:val="212529"/>
          <w:sz w:val="21"/>
        </w:rPr>
        <w:t>Contemporary Census Validation: Replicating this exact pipeline on modern American Community Survey (ACS 2024) microdata.</w:t>
      </w:r>
    </w:p>
    <w:p>
      <w:pPr>
        <w:pStyle w:val="Heading1"/>
        <w:keepNext/>
        <w:spacing w:before="360" w:after="120"/>
      </w:pPr>
      <w:r>
        <w:rPr>
          <w:rFonts w:ascii="Calibri" w:hAnsi="Calibri"/>
          <w:b/>
          <w:color w:val="1B365D"/>
          <w:sz w:val="34"/>
        </w:rPr>
        <w:t>Section 14: Reproducibility Protocol &amp; Environment Audit</w:t>
      </w:r>
    </w:p>
    <w:p>
      <w:pPr>
        <w:spacing w:after="120" w:line="276" w:lineRule="auto"/>
      </w:pPr>
      <w:r>
        <w:rPr>
          <w:rFonts w:ascii="Calibri" w:hAnsi="Calibri"/>
          <w:color w:val="212529"/>
          <w:sz w:val="22"/>
        </w:rPr>
        <w:t>Reproducibility is the bedrock of scientific inquiry. The complete Week 3 pipeline is orchestrated via modular, independently executable R scripts residing in the `R/` directory:</w:t>
      </w:r>
    </w:p>
    <w:tbl>
      <w:tblPr>
        <w:tblW w:type="auto" w:w="0"/>
        <w:jc w:val="center"/>
        <w:tblLook w:firstColumn="1" w:firstRow="1" w:lastColumn="0" w:lastRow="0" w:noHBand="0" w:noVBand="1" w:val="04A0"/>
        <w:tblBorders>
          <w:top w:val="single" w:sz="6" w:space="0" w:color="D0D7DE"/>
          <w:bottom w:val="single" w:sz="8" w:space="0" w:color="D0D7DE"/>
          <w:insideH w:val="single" w:sz="4" w:space="0" w:color="D0D7DE"/>
          <w:insideV w:val="none"/>
          <w:left w:val="none"/>
          <w:right w:val="none"/>
        </w:tblBorders>
      </w:tblPr>
      <w:tblGrid>
        <w:gridCol w:w="4680"/>
        <w:gridCol w:w="4680"/>
      </w:tblGrid>
      <w:tr>
        <w:tc>
          <w:tcPr>
            <w:tcW w:type="dxa" w:w="3600"/>
            <w:shd w:fill="1B365D"/>
            <w:tcMar>
              <w:top w:w="120" w:type="dxa"/>
              <w:bottom w:w="120" w:type="dxa"/>
              <w:left w:w="120" w:type="dxa"/>
              <w:right w:w="120" w:type="dxa"/>
            </w:tcMar>
          </w:tcPr>
          <w:p>
            <w:pPr>
              <w:spacing w:after="0"/>
              <w:jc w:val="left"/>
            </w:pPr>
            <w:r>
              <w:rPr>
                <w:rFonts w:ascii="Calibri" w:hAnsi="Calibri"/>
                <w:b/>
                <w:color w:val="FFFFFF"/>
                <w:sz w:val="19"/>
              </w:rPr>
              <w:t>Script Name</w:t>
            </w:r>
          </w:p>
        </w:tc>
        <w:tc>
          <w:tcPr>
            <w:tcW w:type="dxa" w:w="5760"/>
            <w:shd w:fill="1B365D"/>
            <w:tcMar>
              <w:top w:w="120" w:type="dxa"/>
              <w:bottom w:w="120" w:type="dxa"/>
              <w:left w:w="120" w:type="dxa"/>
              <w:right w:w="120" w:type="dxa"/>
            </w:tcMar>
          </w:tcPr>
          <w:p>
            <w:pPr>
              <w:spacing w:after="0"/>
              <w:jc w:val="left"/>
            </w:pPr>
            <w:r>
              <w:rPr>
                <w:rFonts w:ascii="Calibri" w:hAnsi="Calibri"/>
                <w:b/>
                <w:color w:val="FFFFFF"/>
                <w:sz w:val="19"/>
              </w:rPr>
              <w:t>Pipeline Function and Output Deliverables</w:t>
            </w:r>
          </w:p>
        </w:tc>
      </w:tr>
      <w:tr>
        <w:tc>
          <w:tcPr>
            <w:tcW w:type="dxa" w:w="3600"/>
            <w:shd w:fill="F9FAFB"/>
            <w:tcMar>
              <w:top w:w="80" w:type="dxa"/>
              <w:bottom w:w="80" w:type="dxa"/>
              <w:left w:w="120" w:type="dxa"/>
              <w:right w:w="120" w:type="dxa"/>
            </w:tcMar>
          </w:tcPr>
          <w:p>
            <w:pPr>
              <w:spacing w:after="0"/>
              <w:jc w:val="left"/>
            </w:pPr>
            <w:r>
              <w:rPr>
                <w:rFonts w:ascii="Calibri" w:hAnsi="Calibri"/>
                <w:b/>
                <w:color w:val="212529"/>
                <w:sz w:val="18"/>
              </w:rPr>
              <w:t>R/10_week3_statistical_analysis.R</w:t>
            </w:r>
          </w:p>
        </w:tc>
        <w:tc>
          <w:tcPr>
            <w:tcW w:type="dxa" w:w="5760"/>
            <w:shd w:fill="F9FAFB"/>
            <w:tcMar>
              <w:top w:w="80" w:type="dxa"/>
              <w:bottom w:w="80" w:type="dxa"/>
              <w:left w:w="120" w:type="dxa"/>
              <w:right w:w="120" w:type="dxa"/>
            </w:tcMar>
          </w:tcPr>
          <w:p>
            <w:pPr>
              <w:spacing w:after="0"/>
              <w:jc w:val="left"/>
            </w:pPr>
            <w:r>
              <w:rPr>
                <w:rFonts w:ascii="Calibri" w:hAnsi="Calibri"/>
                <w:b w:val="0"/>
                <w:color w:val="212529"/>
                <w:sz w:val="18"/>
              </w:rPr>
              <w:t>Executes descriptive statistics, normality tests, correlation matrices, formal hypothesis testing, Bonferroni/FDR multiplicity corrections, and exports all figures (1-5, 7, 8, 10).</w:t>
            </w:r>
          </w:p>
        </w:tc>
      </w:tr>
      <w:tr>
        <w:tc>
          <w:tcPr>
            <w:tcW w:type="dxa" w:w="3600"/>
            <w:shd w:fill="FFFFFF"/>
            <w:tcMar>
              <w:top w:w="80" w:type="dxa"/>
              <w:bottom w:w="80" w:type="dxa"/>
              <w:left w:w="120" w:type="dxa"/>
              <w:right w:w="120" w:type="dxa"/>
            </w:tcMar>
          </w:tcPr>
          <w:p>
            <w:pPr>
              <w:spacing w:after="0"/>
              <w:jc w:val="left"/>
            </w:pPr>
            <w:r>
              <w:rPr>
                <w:rFonts w:ascii="Calibri" w:hAnsi="Calibri"/>
                <w:b/>
                <w:color w:val="212529"/>
                <w:sz w:val="18"/>
              </w:rPr>
              <w:t>R/11_week3_modeling.R</w:t>
            </w:r>
          </w:p>
        </w:tc>
        <w:tc>
          <w:tcPr>
            <w:tcW w:type="dxa" w:w="5760"/>
            <w:shd w:fill="FFFFFF"/>
            <w:tcMar>
              <w:top w:w="80" w:type="dxa"/>
              <w:bottom w:w="80" w:type="dxa"/>
              <w:left w:w="120" w:type="dxa"/>
              <w:right w:w="120" w:type="dxa"/>
            </w:tcMar>
          </w:tcPr>
          <w:p>
            <w:pPr>
              <w:spacing w:after="0"/>
              <w:jc w:val="left"/>
            </w:pPr>
            <w:r>
              <w:rPr>
                <w:rFonts w:ascii="Calibri" w:hAnsi="Calibri"/>
                <w:b w:val="0"/>
                <w:color w:val="212529"/>
                <w:sz w:val="18"/>
              </w:rPr>
              <w:t>Executes stratified 80/20 train/test split, 5-fold cross-validation, standard logistic regression estimation, Elastic Net regularization tuning, and outputs model RDS artifacts.</w:t>
            </w:r>
          </w:p>
        </w:tc>
      </w:tr>
      <w:tr>
        <w:tc>
          <w:tcPr>
            <w:tcW w:type="dxa" w:w="3600"/>
            <w:shd w:fill="F9FAFB"/>
            <w:tcMar>
              <w:top w:w="80" w:type="dxa"/>
              <w:bottom w:w="80" w:type="dxa"/>
              <w:left w:w="120" w:type="dxa"/>
              <w:right w:w="120" w:type="dxa"/>
            </w:tcMar>
          </w:tcPr>
          <w:p>
            <w:pPr>
              <w:spacing w:after="0"/>
              <w:jc w:val="left"/>
            </w:pPr>
            <w:r>
              <w:rPr>
                <w:rFonts w:ascii="Calibri" w:hAnsi="Calibri"/>
                <w:b/>
                <w:color w:val="212529"/>
                <w:sz w:val="18"/>
              </w:rPr>
              <w:t>R/12_week3_evaluation.R</w:t>
            </w:r>
          </w:p>
        </w:tc>
        <w:tc>
          <w:tcPr>
            <w:tcW w:type="dxa" w:w="5760"/>
            <w:shd w:fill="F9FAFB"/>
            <w:tcMar>
              <w:top w:w="80" w:type="dxa"/>
              <w:bottom w:w="80" w:type="dxa"/>
              <w:left w:w="120" w:type="dxa"/>
              <w:right w:w="120" w:type="dxa"/>
            </w:tcMar>
          </w:tcPr>
          <w:p>
            <w:pPr>
              <w:spacing w:after="0"/>
              <w:jc w:val="left"/>
            </w:pPr>
            <w:r>
              <w:rPr>
                <w:rFonts w:ascii="Calibri" w:hAnsi="Calibri"/>
                <w:b w:val="0"/>
                <w:color w:val="212529"/>
                <w:sz w:val="18"/>
              </w:rPr>
              <w:t>Evaluates holdout test predictions, generates confusion matrices, ROC/PR curves, multi-metric benchmark charts, calibration tables, Cook's distance diagnostics, and odds ratios forest plots.</w:t>
            </w:r>
          </w:p>
        </w:tc>
      </w:tr>
      <w:tr>
        <w:tc>
          <w:tcPr>
            <w:tcW w:type="dxa" w:w="3600"/>
            <w:shd w:fill="FFFFFF"/>
            <w:tcMar>
              <w:top w:w="80" w:type="dxa"/>
              <w:bottom w:w="80" w:type="dxa"/>
              <w:left w:w="120" w:type="dxa"/>
              <w:right w:w="120" w:type="dxa"/>
            </w:tcMar>
          </w:tcPr>
          <w:p>
            <w:pPr>
              <w:spacing w:after="0"/>
              <w:jc w:val="left"/>
            </w:pPr>
            <w:r>
              <w:rPr>
                <w:rFonts w:ascii="Calibri" w:hAnsi="Calibri"/>
                <w:b/>
                <w:color w:val="212529"/>
                <w:sz w:val="18"/>
              </w:rPr>
              <w:t>R/13_week3_report_generation.R</w:t>
            </w:r>
          </w:p>
        </w:tc>
        <w:tc>
          <w:tcPr>
            <w:tcW w:type="dxa" w:w="5760"/>
            <w:shd w:fill="FFFFFF"/>
            <w:tcMar>
              <w:top w:w="80" w:type="dxa"/>
              <w:bottom w:w="80" w:type="dxa"/>
              <w:left w:w="120" w:type="dxa"/>
              <w:right w:w="120" w:type="dxa"/>
            </w:tcMar>
          </w:tcPr>
          <w:p>
            <w:pPr>
              <w:spacing w:after="0"/>
              <w:jc w:val="left"/>
            </w:pPr>
            <w:r>
              <w:rPr>
                <w:rFonts w:ascii="Calibri" w:hAnsi="Calibri"/>
                <w:b w:val="0"/>
                <w:color w:val="212529"/>
                <w:sz w:val="18"/>
              </w:rPr>
              <w:t>Master report trigger script that builds and validates this publication-quality DOCX report.</w:t>
            </w:r>
          </w:p>
        </w:tc>
      </w:tr>
      <w:tr>
        <w:tc>
          <w:tcPr>
            <w:tcW w:type="dxa" w:w="3600"/>
            <w:shd w:fill="F9FAFB"/>
            <w:tcMar>
              <w:top w:w="80" w:type="dxa"/>
              <w:bottom w:w="80" w:type="dxa"/>
              <w:left w:w="120" w:type="dxa"/>
              <w:right w:w="120" w:type="dxa"/>
            </w:tcMar>
          </w:tcPr>
          <w:p>
            <w:pPr>
              <w:spacing w:after="0"/>
              <w:jc w:val="left"/>
            </w:pPr>
            <w:r>
              <w:rPr>
                <w:rFonts w:ascii="Calibri" w:hAnsi="Calibri"/>
                <w:b/>
                <w:color w:val="212529"/>
                <w:sz w:val="18"/>
              </w:rPr>
              <w:t>run_all.R</w:t>
            </w:r>
          </w:p>
        </w:tc>
        <w:tc>
          <w:tcPr>
            <w:tcW w:type="dxa" w:w="5760"/>
            <w:shd w:fill="F9FAFB"/>
            <w:tcMar>
              <w:top w:w="80" w:type="dxa"/>
              <w:bottom w:w="80" w:type="dxa"/>
              <w:left w:w="120" w:type="dxa"/>
              <w:right w:w="120" w:type="dxa"/>
            </w:tcMar>
          </w:tcPr>
          <w:p>
            <w:pPr>
              <w:spacing w:after="0"/>
              <w:jc w:val="left"/>
            </w:pPr>
            <w:r>
              <w:rPr>
                <w:rFonts w:ascii="Calibri" w:hAnsi="Calibri"/>
                <w:b w:val="0"/>
                <w:color w:val="212529"/>
                <w:sz w:val="18"/>
              </w:rPr>
              <w:t>Integrated top-level pipeline runner supporting complete execution of Weeks 1, 2, and 3.</w:t>
            </w:r>
          </w:p>
        </w:tc>
      </w:tr>
    </w:tbl>
    <w:p>
      <w:pPr>
        <w:spacing w:after="160"/>
      </w:pPr>
      <w:r>
        <w:rPr>
          <w:i/>
          <w:color w:val="6C757D"/>
          <w:sz w:val="17"/>
        </w:rPr>
        <w:t>Execution Note: To run the full pipeline in order, execute: Rscript run_all.R or source individual scripts sequentially.</w:t>
      </w:r>
    </w:p>
    <w:p>
      <w:pPr>
        <w:pStyle w:val="Heading1"/>
        <w:keepNext/>
        <w:spacing w:before="360" w:after="120"/>
      </w:pPr>
      <w:r>
        <w:rPr>
          <w:rFonts w:ascii="Calibri" w:hAnsi="Calibri"/>
          <w:b/>
          <w:color w:val="1B365D"/>
          <w:sz w:val="34"/>
        </w:rPr>
        <w:t>Academic References &amp; Data Provenance</w:t>
      </w:r>
    </w:p>
    <w:p>
      <w:pPr>
        <w:pStyle w:val="ListBullet"/>
        <w:spacing w:after="60" w:line="276" w:lineRule="auto"/>
      </w:pPr>
      <w:r>
        <w:rPr>
          <w:rFonts w:ascii="Calibri" w:hAnsi="Calibri"/>
          <w:color w:val="212529"/>
          <w:sz w:val="21"/>
        </w:rPr>
        <w:t>Becker, B., &amp; Kohavi, R. (1996). Adult Dataset. UCI Machine Learning Repository. https://doi.org/10.24432/C5XW20</w:t>
      </w:r>
    </w:p>
    <w:p>
      <w:pPr>
        <w:pStyle w:val="ListBullet"/>
        <w:spacing w:after="60" w:line="276" w:lineRule="auto"/>
      </w:pPr>
      <w:r>
        <w:rPr>
          <w:rFonts w:ascii="Calibri" w:hAnsi="Calibri"/>
          <w:color w:val="212529"/>
          <w:sz w:val="21"/>
        </w:rPr>
        <w:t>Benjamini, Y., &amp; Hochberg, Y. (1995). Controlling the false discovery rate: A practical and powerful approach to multiple testing. Journal of the Royal Statistical Society: Series B (Methodological), 57(1), 289-300.</w:t>
      </w:r>
    </w:p>
    <w:p>
      <w:pPr>
        <w:pStyle w:val="ListBullet"/>
        <w:spacing w:after="60" w:line="276" w:lineRule="auto"/>
      </w:pPr>
      <w:r>
        <w:rPr>
          <w:rFonts w:ascii="Calibri" w:hAnsi="Calibri"/>
          <w:color w:val="212529"/>
          <w:sz w:val="21"/>
        </w:rPr>
        <w:t>Cohen, J. (1988). Statistical Power Analysis for the Behavioral Sciences (2nd ed.). Lawrence Erlbaum Associates.</w:t>
      </w:r>
    </w:p>
    <w:p>
      <w:pPr>
        <w:pStyle w:val="ListBullet"/>
        <w:spacing w:after="60" w:line="276" w:lineRule="auto"/>
      </w:pPr>
      <w:r>
        <w:rPr>
          <w:rFonts w:ascii="Calibri" w:hAnsi="Calibri"/>
          <w:color w:val="212529"/>
          <w:sz w:val="21"/>
        </w:rPr>
        <w:t>Cramer, H. (1946). Mathematical Methods of Statistics. Princeton University Press.</w:t>
      </w:r>
    </w:p>
    <w:p>
      <w:pPr>
        <w:pStyle w:val="ListBullet"/>
        <w:spacing w:after="60" w:line="276" w:lineRule="auto"/>
      </w:pPr>
      <w:r>
        <w:rPr>
          <w:rFonts w:ascii="Calibri" w:hAnsi="Calibri"/>
          <w:color w:val="212529"/>
          <w:sz w:val="21"/>
        </w:rPr>
        <w:t>Fox, J., &amp; Monette, G. (1992). Generalized collinearity diagnostics. Journal of the American Statistical Association, 87(417), 178-183.</w:t>
      </w:r>
    </w:p>
    <w:p>
      <w:pPr>
        <w:pStyle w:val="ListBullet"/>
        <w:spacing w:after="60" w:line="276" w:lineRule="auto"/>
      </w:pPr>
      <w:r>
        <w:rPr>
          <w:rFonts w:ascii="Calibri" w:hAnsi="Calibri"/>
          <w:color w:val="212529"/>
          <w:sz w:val="21"/>
        </w:rPr>
        <w:t>Friedman, J., Hastie, T., &amp; Tibshirani, R. (2010). Regularization paths for generalized linear models via coordinate descent. Journal of Statistical Software, 33(1), 1-22.</w:t>
      </w:r>
    </w:p>
    <w:p>
      <w:pPr>
        <w:pStyle w:val="ListBullet"/>
        <w:spacing w:after="60" w:line="276" w:lineRule="auto"/>
      </w:pPr>
      <w:r>
        <w:rPr>
          <w:rFonts w:ascii="Calibri" w:hAnsi="Calibri"/>
          <w:color w:val="212529"/>
          <w:sz w:val="21"/>
        </w:rPr>
        <w:t>Hosmer, D. W., Lemeshow, S., &amp; Sturdivant, R. X. (2013). Applied Logistic Regression (3rd ed.). John Wiley &amp; Sons.</w:t>
      </w:r>
    </w:p>
    <w:p>
      <w:pPr>
        <w:pStyle w:val="ListBullet"/>
        <w:spacing w:after="60" w:line="276" w:lineRule="auto"/>
      </w:pPr>
      <w:r>
        <w:rPr>
          <w:rFonts w:ascii="Calibri" w:hAnsi="Calibri"/>
          <w:color w:val="212529"/>
          <w:sz w:val="21"/>
        </w:rPr>
        <w:t>Robin, X., Turck, N., Hainard, A., Tiberti, N., Lisacek, F., Sanchez, J. C., &amp; Muller, M. (2011). pROC: an open-source package for R and S+ to analyze and compare ROC curves. BMC Bioinformatics, 12(1), 77.</w:t>
      </w:r>
    </w:p>
    <w:p>
      <w:pPr>
        <w:pStyle w:val="ListBullet"/>
        <w:spacing w:after="60" w:line="276" w:lineRule="auto"/>
      </w:pPr>
      <w:r>
        <w:rPr>
          <w:rFonts w:ascii="Calibri" w:hAnsi="Calibri"/>
          <w:color w:val="212529"/>
          <w:sz w:val="21"/>
        </w:rPr>
        <w:t>U.S. Census Bureau. (1994). Current Population Survey: Annual Social and Economic (ASEC) Supplement. U.S. Department of Commerce.</w:t>
      </w:r>
    </w:p>
    <w:p>
      <w:pPr>
        <w:pStyle w:val="ListBullet"/>
        <w:spacing w:after="60" w:line="276" w:lineRule="auto"/>
      </w:pPr>
      <w:r>
        <w:rPr>
          <w:rFonts w:ascii="Calibri" w:hAnsi="Calibri"/>
          <w:color w:val="212529"/>
          <w:sz w:val="21"/>
        </w:rPr>
        <w:t>Wickham, H. (2016). ggplot2: Elegant Graphics for Data Analysis. Springer-Verlag New York.</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C757D"/>
        <w:sz w:val="17"/>
      </w:rPr>
      <w:t xml:space="preserve">Academic Report | Comprehensive Statistical Inference &amp; Machine Learning Pipeline in R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C757D"/>
        <w:sz w:val="17"/>
      </w:rPr>
      <w:t>UCI Adult Census Income — Week 3: Statistical Analysis &amp; Predictive Modeling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