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2000045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DESARROLLO DE HABILIDADES COGNITIVAS EN BIOLOGIA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02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2025-09-18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2025-09-27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 Tambo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asd123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234234234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 a 12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qweqweqwe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