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3000006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EMPRENDEDOR EN PRESTACION DE SERVICIOS DE HERRAJE 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03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300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2025-09-06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2025-10-11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Cauca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Cajibío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asd123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Instructor Sena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234234234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instructor@gmail.com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8 a 12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12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>21</w:t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Instructor Sena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123asd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