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Times New Roman" w:cs="Times New Roman" w:eastAsia="Times New Roman" w:hAnsi="Times New Roman"/>
          <w:b/>
          <w:bCs/>
          <w:color w:val="000000"/>
          <w:sz w:val="28"/>
          <w:szCs w:val="28"/>
        </w:rPr>
        <w:t xml:space="preserve">DBSCAN Alert Triage Reference</w:t>
      </w:r>
    </w:p>
    <w:p>
      <w:pPr>
        <w:pBdr>
          <w:bottom w:val="single" w:color="000000" w:sz="2" w:space="1"/>
        </w:pBdr>
        <w:spacing w:after="100"/>
      </w:pPr>
      <w:r>
        <w:rPr>
          <w:rFonts w:ascii="Times New Roman" w:cs="Times New Roman" w:eastAsia="Times New Roman" w:hAnsi="Times New Roman"/>
          <w:i/>
          <w:iCs/>
          <w:color w:val="555555"/>
          <w:sz w:val="22"/>
          <w:szCs w:val="22"/>
        </w:rPr>
        <w:t xml:space="preserve">Cross-Domain File Transfer Monitoring</w:t>
      </w:r>
    </w:p>
    <w:p>
      <w:pPr>
        <w:spacing w:before="140" w:after="50"/>
      </w:pPr>
      <w:r>
        <w:rPr>
          <w:rFonts w:ascii="Times New Roman" w:cs="Times New Roman" w:eastAsia="Times New Roman" w:hAnsi="Times New Roman"/>
          <w:b/>
          <w:bCs/>
          <w:color w:val="000000"/>
          <w:sz w:val="22"/>
          <w:szCs w:val="22"/>
        </w:rPr>
        <w:t xml:space="preserve">Goal</w:t>
      </w:r>
    </w:p>
    <w:p>
      <w:pPr>
        <w:spacing w:after="60" w:line="260"/>
      </w:pPr>
      <w:r>
        <w:rPr>
          <w:rFonts w:ascii="Times New Roman" w:cs="Times New Roman" w:eastAsia="Times New Roman" w:hAnsi="Times New Roman"/>
          <w:i w:val="false"/>
          <w:iCs w:val="false"/>
          <w:color w:val="000000"/>
          <w:sz w:val="20"/>
          <w:szCs w:val="20"/>
        </w:rPr>
        <w:t xml:space="preserve">DBSCAN identifies file transfers whose behavioural profile is statistically anomalous relative to the transferring entity's own historical baseline. It clusters normal transfers by proximity in a 13-dimensional feature space and flags transfers that fall outside all clusters (noise points) as potential indicators of data exfiltration, log tampering, or compromised accounts. The objective is to surface transfers that warrant human investigation, not to make a definitive determination of malice.</w:t>
      </w:r>
    </w:p>
    <w:p>
      <w:pPr>
        <w:spacing w:before="140" w:after="50"/>
      </w:pPr>
      <w:r>
        <w:rPr>
          <w:rFonts w:ascii="Times New Roman" w:cs="Times New Roman" w:eastAsia="Times New Roman" w:hAnsi="Times New Roman"/>
          <w:b/>
          <w:bCs/>
          <w:color w:val="000000"/>
          <w:sz w:val="22"/>
          <w:szCs w:val="22"/>
        </w:rPr>
        <w:t xml:space="preserve">Category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 </w:t>
            </w:r>
          </w:p>
        </w:tc>
      </w:tr>
      <w:tr>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 </w:t>
            </w:r>
          </w:p>
        </w:tc>
      </w:tr>
    </w:tbl>
    <w:p>
      <w:pPr>
        <w:spacing w:after="20"/>
      </w:pPr>
    </w:p>
    <w:p>
      <w:pPr>
        <w:spacing w:before="140" w:after="50"/>
      </w:pPr>
      <w:r>
        <w:rPr>
          <w:rFonts w:ascii="Times New Roman" w:cs="Times New Roman" w:eastAsia="Times New Roman" w:hAnsi="Times New Roman"/>
          <w:b/>
          <w:bCs/>
          <w:color w:val="000000"/>
          <w:sz w:val="22"/>
          <w:szCs w:val="22"/>
        </w:rPr>
        <w:t xml:space="preserve">Strategy (Abstract)</w:t>
      </w:r>
    </w:p>
    <w:p>
      <w:pPr>
        <w:spacing w:after="60" w:line="260"/>
      </w:pPr>
      <w:r>
        <w:rPr>
          <w:rFonts w:ascii="Times New Roman" w:cs="Times New Roman" w:eastAsia="Times New Roman" w:hAnsi="Times New Roman"/>
          <w:i w:val="false"/>
          <w:iCs w:val="false"/>
          <w:color w:val="000000"/>
          <w:sz w:val="20"/>
          <w:szCs w:val="20"/>
        </w:rPr>
        <w:t xml:space="preserve">Compute rolling 30-day behavioural baselines per entity across four signal dimensions (file size, entropy, extension diversity, transfer integrity). Engineer a 13-feature vector per transfer by measuring each event's deviation from its entity's baselines. Apply DBSCAN clustering separately to human and machine populations. Transfers that do not belong to any cluster are flagged for triage. Human and machine populations use different sensitivity thresholds to account for their fundamentally different behavioural variance.</w:t>
      </w:r>
    </w:p>
    <w:p>
      <w:pPr>
        <w:spacing w:before="140" w:after="50"/>
      </w:pPr>
      <w:r>
        <w:rPr>
          <w:rFonts w:ascii="Times New Roman" w:cs="Times New Roman" w:eastAsia="Times New Roman" w:hAnsi="Times New Roman"/>
          <w:b/>
          <w:bCs/>
          <w:color w:val="000000"/>
          <w:sz w:val="22"/>
          <w:szCs w:val="22"/>
        </w:rPr>
        <w:t xml:space="preserve">Technical Context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i w:val="false"/>
                <w:iCs w:val="false"/>
                <w:color w:val="000000"/>
                <w:sz w:val="22"/>
                <w:szCs w:val="22"/>
              </w:rPr>
              <w:t xml:space="preserve"> </w:t>
            </w:r>
          </w:p>
        </w:tc>
        <w:tc>
          <w:tcPr>
            <w:tcW w:type="dxa" w:w="48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i w:val="false"/>
                <w:iCs w:val="false"/>
                <w:color w:val="000000"/>
                <w:sz w:val="22"/>
                <w:szCs w:val="22"/>
              </w:rPr>
              <w:t xml:space="preserve"> </w:t>
            </w:r>
          </w:p>
        </w:tc>
      </w:tr>
      <w:tr>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dxa" w:w="4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20"/>
              <w:jc w:val="left"/>
            </w:pPr>
            <w:r>
              <w:rPr>
                <w:rFonts w:ascii="Courier New" w:cs="Courier New" w:eastAsia="Courier New" w:hAnsi="Courier New"/>
                <w:b w:val="false"/>
                <w:bCs w:val="false"/>
                <w:i w:val="false"/>
                <w:iCs w:val="false"/>
                <w:color w:val="000000"/>
                <w:sz w:val="16"/>
                <w:szCs w:val="16"/>
              </w:rPr>
              <w:t xml:space="preserve">file_size_zscore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file_size_ratio</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entropy_zscore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entropy_ratio</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ext_diversity_zscore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ext_novelty_flag</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ext_rarity_score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integrity_ratio</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integrity_zscore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missing_event_flag</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volume_zscore</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size_entropy_interaction</w:t>
            </w:r>
            <w:r>
              <w:rPr>
                <w:rFonts w:ascii="Courier New" w:cs="Courier New" w:eastAsia="Courier New" w:hAnsi="Courier New"/>
                <w:sz w:val="16"/>
                <w:szCs w:val="16"/>
              </w:rPr>
              <w:br/>
              <w:t xml:space="preserve"/>
            </w:r>
            <w:r>
              <w:rPr>
                <w:rFonts w:ascii="Courier New" w:cs="Courier New" w:eastAsia="Courier New" w:hAnsi="Courier New"/>
                <w:b w:val="false"/>
                <w:bCs w:val="false"/>
                <w:i w:val="false"/>
                <w:iCs w:val="false"/>
                <w:color w:val="000000"/>
                <w:sz w:val="16"/>
                <w:szCs w:val="16"/>
              </w:rPr>
              <w:t xml:space="preserve">composite_deviation_score</w:t>
            </w:r>
          </w:p>
        </w:tc>
      </w:tr>
    </w:tbl>
    <w:p>
      <w:pPr>
        <w:spacing w:after="20"/>
      </w:pPr>
    </w:p>
    <w:p>
      <w:pPr>
        <w:spacing w:before="140" w:after="50"/>
      </w:pPr>
      <w:r>
        <w:rPr>
          <w:rFonts w:ascii="Times New Roman" w:cs="Times New Roman" w:eastAsia="Times New Roman" w:hAnsi="Times New Roman"/>
          <w:b/>
          <w:bCs/>
          <w:color w:val="000000"/>
          <w:sz w:val="22"/>
          <w:szCs w:val="22"/>
        </w:rPr>
        <w:t xml:space="preserve">Blind Spots</w:t>
      </w:r>
    </w:p>
    <w:p>
      <w:pPr>
        <w:spacing w:after="60" w:line="260"/>
      </w:pPr>
      <w:r>
        <w:rPr>
          <w:rFonts w:ascii="Times New Roman" w:cs="Times New Roman" w:eastAsia="Times New Roman" w:hAnsi="Times New Roman"/>
          <w:i w:val="false"/>
          <w:iCs w:val="false"/>
          <w:color w:val="000000"/>
          <w:sz w:val="20"/>
          <w:szCs w:val="20"/>
        </w:rPr>
        <w:t xml:space="preserve">DBSCAN baselines on a 30-day rolling window. Low-and-slow exfiltration that gradually shifts an entity's baseline over weeks will not be flagged once the new behaviour becomes the norm. New entities (accounts active for less than the baseline window) have sparse or absent baselines, causing z-scores to default to zero and masking genuinely anomalous early activity. Transfers that are individually normal but collectively form an exfiltration campaign across multiple accounts will not trigger single-entity anomaly flags. The model does not inspect file content, filenames, or destination context — it operates purely on metadata features. Duration and transfer rate are excluded in this phase, limiting detection of bandwidth-based exfiltration patterns.</w:t>
      </w:r>
    </w:p>
    <w:p>
      <w:pPr>
        <w:spacing w:before="140" w:after="50"/>
      </w:pPr>
      <w:r>
        <w:rPr>
          <w:rFonts w:ascii="Times New Roman" w:cs="Times New Roman" w:eastAsia="Times New Roman" w:hAnsi="Times New Roman"/>
          <w:b/>
          <w:bCs/>
          <w:color w:val="000000"/>
          <w:sz w:val="22"/>
          <w:szCs w:val="22"/>
        </w:rPr>
        <w:t xml:space="preserve">False Positives</w:t>
      </w:r>
    </w:p>
    <w:p>
      <w:pPr>
        <w:spacing w:after="60" w:line="260"/>
      </w:pPr>
      <w:r>
        <w:rPr>
          <w:rFonts w:ascii="Times New Roman" w:cs="Times New Roman" w:eastAsia="Times New Roman" w:hAnsi="Times New Roman"/>
          <w:i w:val="false"/>
          <w:iCs w:val="false"/>
          <w:color w:val="000000"/>
          <w:sz w:val="20"/>
          <w:szCs w:val="20"/>
        </w:rPr>
        <w:t xml:space="preserve">New employees or newly provisioned service accounts triggering anomalies before establishing a baseline. Quarterly or annual business processes (reporting cycles, audits, compliance exports) that produce one-off large transfers outside normal patterns. Infrastructure changes such as new source paths, updated compression formats, or renamed file extensions that trigger extension novelty flags until baselines rebuild. Authorised bulk data migrations or archive operations. Legitimate use of encryption or compression tools by users who do not normally handle such files. Machine accounts running catch-up jobs after a scheduled maintenance outage, producing volume bursts that are operationally normal but statistically anomalous.</w:t>
      </w:r>
    </w:p>
    <w:p>
      <w:pPr>
        <w:spacing w:before="140" w:after="50"/>
      </w:pPr>
      <w:r>
        <w:rPr>
          <w:rFonts w:ascii="Times New Roman" w:cs="Times New Roman" w:eastAsia="Times New Roman" w:hAnsi="Times New Roman"/>
          <w:b/>
          <w:bCs/>
          <w:color w:val="000000"/>
          <w:sz w:val="22"/>
          <w:szCs w:val="22"/>
        </w:rPr>
        <w:t xml:space="preserve">Recommended Response</w:t>
      </w:r>
    </w:p>
    <w:p>
      <w:pPr>
        <w:spacing w:after="60" w:line="260"/>
      </w:pPr>
      <w:r>
        <w:rPr>
          <w:rFonts w:ascii="Times New Roman" w:cs="Times New Roman" w:eastAsia="Times New Roman" w:hAnsi="Times New Roman"/>
          <w:i w:val="false"/>
          <w:iCs w:val="false"/>
          <w:color w:val="000000"/>
          <w:sz w:val="20"/>
          <w:szCs w:val="20"/>
        </w:rPr>
        <w:t xml:space="preserve">Identify the dominant feature signal: check composite_deviation_score for overall severity, then determine which individual features (file size, entropy, extension, integrity, volume) are elevated. Cross-reference the transfer timestamp against change management and maintenance window records. For human accounts, verify with the account owner or their manager and review adjacent telemetry (endpoint, email, VPN, badge access). For machine accounts, confirm with the application or platform team whether a job change, patch, or new data feed was recently deployed. Check whether the entity is new (active less than 30 days) and therefore unbaselined. If the anomaly aligns with a documented change or known business process, document the benign explanation and close. If no explanation is found, preserve the transfer metadata and escalate to incident response, particularly when multiple features are elevated simultaneously, when integrity anomalies are present, or when the activity occurred outside business hours.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DBSCAN Alert Triage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2026-03-24T03:35:07.886Z</dcterms:created>
  <dcterms:modified xsi:type="dcterms:W3CDTF">2026-03-24T03:35:07.887Z</dcterms:modified>
</cp:coreProperties>
</file>

<file path=docProps/custom.xml><?xml version="1.0" encoding="utf-8"?>
<Properties xmlns="http://schemas.openxmlformats.org/officeDocument/2006/custom-properties" xmlns:vt="http://schemas.openxmlformats.org/officeDocument/2006/docPropsVTypes"/>
</file>