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SITPS-DEF-2026-01</w:t>
      </w:r>
    </w:p>
    <w:p>
      <w:pPr>
        <w:spacing w:before="0" w:after="240"/>
        <w:pBdr>
          <w:bottom w:val="single" w:sz="16" w:space="1" w:color="E97132"/>
        </w:pBdr>
      </w:pPr>
    </w:p>
    <w:p>
      <w:pPr>
        <w:spacing w:before="0" w:after="200"/>
        <w:jc w:val="center"/>
      </w:pPr>
      <w:r>
        <w:rPr>
          <w:rFonts w:ascii="Calibri" w:hAnsi="Calibri"/>
          <w:b/>
          <w:color w:val="0E2841"/>
          <w:sz w:val="44"/>
        </w:rPr>
        <w:t>Definición del Proyecto: Sistema de Recomendación de Carrera Universitaria para UVG Campus Central 2026</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Definición del Proyecto</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SITPS-DEF-2026-01 — v1.0</w:t>
      </w:r>
    </w:p>
    <w:p>
      <w:r>
        <w:br w:type="page"/>
      </w:r>
    </w:p>
    <w:p>
      <w:pPr>
        <w:pStyle w:val="Heading1"/>
      </w:pPr>
      <w:bookmarkStart w:id="20" w:name="X60eef7e588647bd2f78d88d89e6caa88421cb9d"/>
      <w:r>
        <w:t xml:space="preserve">Definición del Proyecto: Sistema de Recomendación de Carrera Universitaria para UVG Campus Central 2026</w:t>
      </w:r>
      <w:bookmarkEnd w:id="20"/>
    </w:p>
    <w:p>
      <w:pPr>
        <w:pStyle w:val="Heading2"/>
      </w:pPr>
      <w:bookmarkStart w:id="21" w:name="identificación-del-proyecto"/>
      <w:r>
        <w:t xml:space="preserve">Identificación del proyecto</w:t>
      </w:r>
      <w:bookmarkEnd w:id="21"/>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3960"/>
        <w:gridCol w:w="396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Campo</w:t>
            </w:r>
          </w:p>
        </w:tc>
        <w:tc>
          <w:tcPr>
            <w:tcBorders>
              <w:bottom w:val="single"/>
            </w:tcBorders>
            <w:vAlign w:val="bottom"/>
            <w:shd w:val="clear" w:color="auto" w:fill="0E2841"/>
          </w:tcPr>
          <w:p>
            <w:pPr>
              <w:pStyle w:val="Compact"/>
              <w:jc w:val="left"/>
            </w:pPr>
            <w:r>
              <w:rPr>
                <w:rFonts w:ascii="Calibri" w:hAnsi="Calibri"/>
                <w:b/>
                <w:color w:val="FFFFFF"/>
                <w:sz w:val="18"/>
              </w:rPr>
              <w:t xml:space="preserve">Valor</w:t>
            </w:r>
          </w:p>
        </w:tc>
      </w:tr>
      <w:tr>
        <w:tc>
          <w:tcPr>
            <w:shd w:val="clear" w:color="auto" w:fill="FFFFFF"/>
          </w:tcPr>
          <w:p>
            <w:pPr>
              <w:pStyle w:val="Compact"/>
              <w:jc w:val="left"/>
            </w:pPr>
            <w:r>
              <w:rPr>
                <w:rFonts w:ascii="Calibri" w:hAnsi="Calibri"/>
                <w:sz w:val="18"/>
              </w:rPr>
              <w:t xml:space="preserve">Nombre oficial</w:t>
            </w:r>
          </w:p>
        </w:tc>
        <w:tc>
          <w:tcPr>
            <w:shd w:val="clear" w:color="auto" w:fill="FFFFFF"/>
          </w:tcPr>
          <w:p>
            <w:pPr>
              <w:pStyle w:val="Compact"/>
              <w:jc w:val="left"/>
            </w:pPr>
            <w:r>
              <w:rPr>
                <w:rFonts w:ascii="Calibri" w:hAnsi="Calibri"/>
                <w:sz w:val="18"/>
              </w:rPr>
              <w:t xml:space="preserve">Sistema de Recomendación de Carrera Universitaria para UVG Campus Central 2026</w:t>
            </w:r>
          </w:p>
        </w:tc>
      </w:tr>
      <w:tr>
        <w:tc>
          <w:tcPr>
            <w:shd w:val="clear" w:color="auto" w:fill="E8E8E8"/>
          </w:tcPr>
          <w:p>
            <w:pPr>
              <w:pStyle w:val="Compact"/>
              <w:jc w:val="left"/>
            </w:pPr>
            <w:r>
              <w:rPr>
                <w:rFonts w:ascii="Calibri" w:hAnsi="Calibri"/>
                <w:sz w:val="18"/>
              </w:rPr>
              <w:t xml:space="preserve">Sponsor / Catedrático</w:t>
            </w:r>
          </w:p>
        </w:tc>
        <w:tc>
          <w:tcPr>
            <w:shd w:val="clear" w:color="auto" w:fill="E8E8E8"/>
          </w:tcPr>
          <w:p>
            <w:pPr>
              <w:pStyle w:val="Compact"/>
              <w:jc w:val="left"/>
            </w:pPr>
            <w:r>
              <w:rPr>
                <w:rFonts w:ascii="Calibri" w:hAnsi="Calibri"/>
                <w:sz w:val="18"/>
              </w:rPr>
              <w:t xml:space="preserve">Erick Oswaldo Marroquín Zamora</w:t>
            </w:r>
          </w:p>
        </w:tc>
      </w:tr>
      <w:tr>
        <w:tc>
          <w:tcPr>
            <w:shd w:val="clear" w:color="auto" w:fill="FFFFFF"/>
          </w:tcPr>
          <w:p>
            <w:pPr>
              <w:pStyle w:val="Compact"/>
              <w:jc w:val="left"/>
            </w:pPr>
            <w:r>
              <w:rPr>
                <w:rFonts w:ascii="Calibri" w:hAnsi="Calibri"/>
                <w:sz w:val="18"/>
              </w:rPr>
              <w:t xml:space="preserve">Product Owner</w:t>
            </w:r>
          </w:p>
        </w:tc>
        <w:tc>
          <w:tcPr>
            <w:shd w:val="clear" w:color="auto" w:fill="FFFFFF"/>
          </w:tcPr>
          <w:p>
            <w:pPr>
              <w:pStyle w:val="Compact"/>
              <w:jc w:val="left"/>
            </w:pPr>
            <w:r>
              <w:rPr>
                <w:rFonts w:ascii="Calibri" w:hAnsi="Calibri"/>
                <w:sz w:val="18"/>
              </w:rPr>
              <w:t xml:space="preserve">Josué Say</w:t>
            </w:r>
          </w:p>
        </w:tc>
      </w:tr>
      <w:tr>
        <w:tc>
          <w:tcPr>
            <w:shd w:val="clear" w:color="auto" w:fill="E8E8E8"/>
          </w:tcPr>
          <w:p>
            <w:pPr>
              <w:pStyle w:val="Compact"/>
              <w:jc w:val="left"/>
            </w:pPr>
            <w:r>
              <w:rPr>
                <w:rFonts w:ascii="Calibri" w:hAnsi="Calibri"/>
                <w:sz w:val="18"/>
              </w:rPr>
              <w:t xml:space="preserve">Scrum Master</w:t>
            </w:r>
          </w:p>
        </w:tc>
        <w:tc>
          <w:tcPr>
            <w:shd w:val="clear" w:color="auto" w:fill="E8E8E8"/>
          </w:tcPr>
          <w:p>
            <w:pPr>
              <w:pStyle w:val="Compact"/>
              <w:jc w:val="left"/>
            </w:pPr>
            <w:r>
              <w:rPr>
                <w:rFonts w:ascii="Calibri" w:hAnsi="Calibri"/>
                <w:sz w:val="18"/>
              </w:rPr>
              <w:t xml:space="preserve">Mathew Cordero</w:t>
            </w:r>
          </w:p>
        </w:tc>
      </w:tr>
      <w:tr>
        <w:tc>
          <w:tcPr>
            <w:shd w:val="clear" w:color="auto" w:fill="FFFFFF"/>
          </w:tcPr>
          <w:p>
            <w:pPr>
              <w:pStyle w:val="Compact"/>
              <w:jc w:val="left"/>
            </w:pPr>
            <w:r>
              <w:rPr>
                <w:rFonts w:ascii="Calibri" w:hAnsi="Calibri"/>
                <w:sz w:val="18"/>
              </w:rPr>
              <w:t xml:space="preserve">Fecha inicio planificación</w:t>
            </w:r>
          </w:p>
        </w:tc>
        <w:tc>
          <w:tcPr>
            <w:shd w:val="clear" w:color="auto" w:fill="FFFFFF"/>
          </w:tcPr>
          <w:p>
            <w:pPr>
              <w:pStyle w:val="Compact"/>
              <w:jc w:val="left"/>
            </w:pPr>
            <w:r>
              <w:rPr>
                <w:rFonts w:ascii="Calibri" w:hAnsi="Calibri"/>
                <w:sz w:val="18"/>
              </w:rPr>
              <w:t xml:space="preserve">10 de marzo de 2026</w:t>
            </w:r>
          </w:p>
        </w:tc>
      </w:tr>
      <w:tr>
        <w:tc>
          <w:tcPr>
            <w:shd w:val="clear" w:color="auto" w:fill="E8E8E8"/>
          </w:tcPr>
          <w:p>
            <w:pPr>
              <w:pStyle w:val="Compact"/>
              <w:jc w:val="left"/>
            </w:pPr>
            <w:r>
              <w:rPr>
                <w:rFonts w:ascii="Calibri" w:hAnsi="Calibri"/>
                <w:sz w:val="18"/>
              </w:rPr>
              <w:t xml:space="preserve">Fecha inicio ejecución</w:t>
            </w:r>
          </w:p>
        </w:tc>
        <w:tc>
          <w:tcPr>
            <w:shd w:val="clear" w:color="auto" w:fill="E8E8E8"/>
          </w:tcPr>
          <w:p>
            <w:pPr>
              <w:pStyle w:val="Compact"/>
              <w:jc w:val="left"/>
            </w:pPr>
            <w:r>
              <w:rPr>
                <w:rFonts w:ascii="Calibri" w:hAnsi="Calibri"/>
                <w:sz w:val="18"/>
              </w:rPr>
              <w:t xml:space="preserve">1 de enero de 2027</w:t>
            </w:r>
          </w:p>
        </w:tc>
      </w:tr>
      <w:tr>
        <w:tc>
          <w:tcPr>
            <w:shd w:val="clear" w:color="auto" w:fill="FFFFFF"/>
          </w:tcPr>
          <w:p>
            <w:pPr>
              <w:pStyle w:val="Compact"/>
              <w:jc w:val="left"/>
            </w:pPr>
            <w:r>
              <w:rPr>
                <w:rFonts w:ascii="Calibri" w:hAnsi="Calibri"/>
                <w:sz w:val="18"/>
              </w:rPr>
              <w:t xml:space="preserve">Fecha entrega MVP</w:t>
            </w:r>
          </w:p>
        </w:tc>
        <w:tc>
          <w:tcPr>
            <w:shd w:val="clear" w:color="auto" w:fill="FFFFFF"/>
          </w:tcPr>
          <w:p>
            <w:pPr>
              <w:pStyle w:val="Compact"/>
              <w:jc w:val="left"/>
            </w:pPr>
            <w:r>
              <w:rPr>
                <w:rFonts w:ascii="Calibri" w:hAnsi="Calibri"/>
                <w:sz w:val="18"/>
              </w:rPr>
              <w:t xml:space="preserve">22 de abril de 2027</w:t>
            </w:r>
          </w:p>
        </w:tc>
      </w:tr>
      <w:tr>
        <w:tc>
          <w:tcPr>
            <w:shd w:val="clear" w:color="auto" w:fill="E8E8E8"/>
          </w:tcPr>
          <w:p>
            <w:pPr>
              <w:pStyle w:val="Compact"/>
              <w:jc w:val="left"/>
            </w:pPr>
            <w:r>
              <w:rPr>
                <w:rFonts w:ascii="Calibri" w:hAnsi="Calibri"/>
                <w:sz w:val="18"/>
              </w:rPr>
              <w:t xml:space="preserve">Marco metodológico</w:t>
            </w:r>
          </w:p>
        </w:tc>
        <w:tc>
          <w:tcPr>
            <w:shd w:val="clear" w:color="auto" w:fill="E8E8E8"/>
          </w:tcPr>
          <w:p>
            <w:pPr>
              <w:pStyle w:val="Compact"/>
              <w:jc w:val="left"/>
            </w:pPr>
            <w:r>
              <w:rPr>
                <w:rFonts w:ascii="Calibri" w:hAnsi="Calibri"/>
                <w:sz w:val="18"/>
              </w:rPr>
              <w:t xml:space="preserve">Water-Scrum-Fall (PMI planifica + Scrum ejecuta + PMI cierra)</w:t>
            </w:r>
          </w:p>
        </w:tc>
      </w:tr>
      <w:tr>
        <w:tc>
          <w:tcPr>
            <w:shd w:val="clear" w:color="auto" w:fill="FFFFFF"/>
          </w:tcPr>
          <w:p>
            <w:pPr>
              <w:pStyle w:val="Compact"/>
              <w:jc w:val="left"/>
            </w:pPr>
            <w:r>
              <w:rPr>
                <w:rFonts w:ascii="Calibri" w:hAnsi="Calibri"/>
                <w:sz w:val="18"/>
              </w:rPr>
              <w:t xml:space="preserve">Estado actual</w:t>
            </w:r>
          </w:p>
        </w:tc>
        <w:tc>
          <w:tcPr>
            <w:shd w:val="clear" w:color="auto" w:fill="FFFFFF"/>
          </w:tcPr>
          <w:p>
            <w:pPr>
              <w:pStyle w:val="Compact"/>
              <w:jc w:val="left"/>
            </w:pPr>
            <w:r>
              <w:rPr>
                <w:rFonts w:ascii="Calibri" w:hAnsi="Calibri"/>
                <w:sz w:val="18"/>
              </w:rPr>
              <w:t xml:space="preserve">Planificación (Fase 1)</w:t>
            </w:r>
          </w:p>
        </w:tc>
      </w:tr>
    </w:tbl>
    <w:p>
      <w:pPr>
        <w:pStyle w:val="Heading2"/>
      </w:pPr>
      <w:bookmarkStart w:id="22" w:name="equipo-del-proyecto"/>
      <w:r>
        <w:t xml:space="preserve">Equipo del proyecto</w:t>
      </w:r>
      <w:bookmarkEnd w:id="22"/>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Rol</w:t>
            </w:r>
          </w:p>
        </w:tc>
        <w:tc>
          <w:tcPr>
            <w:tcBorders>
              <w:bottom w:val="single"/>
            </w:tcBorders>
            <w:vAlign w:val="bottom"/>
            <w:shd w:val="clear" w:color="auto" w:fill="0E2841"/>
          </w:tcPr>
          <w:p>
            <w:pPr>
              <w:pStyle w:val="Compact"/>
              <w:jc w:val="left"/>
            </w:pPr>
            <w:r>
              <w:rPr>
                <w:rFonts w:ascii="Calibri" w:hAnsi="Calibri"/>
                <w:b/>
                <w:color w:val="FFFFFF"/>
                <w:sz w:val="18"/>
              </w:rPr>
              <w:t xml:space="preserve">Nombre</w:t>
            </w:r>
          </w:p>
        </w:tc>
        <w:tc>
          <w:tcPr>
            <w:tcBorders>
              <w:bottom w:val="single"/>
            </w:tcBorders>
            <w:vAlign w:val="bottom"/>
            <w:shd w:val="clear" w:color="auto" w:fill="0E2841"/>
          </w:tcPr>
          <w:p>
            <w:pPr>
              <w:pStyle w:val="Compact"/>
              <w:jc w:val="left"/>
            </w:pPr>
            <w:r>
              <w:rPr>
                <w:rFonts w:ascii="Calibri" w:hAnsi="Calibri"/>
                <w:b/>
                <w:color w:val="FFFFFF"/>
                <w:sz w:val="18"/>
              </w:rPr>
              <w:t xml:space="preserve">FTE interno</w:t>
            </w:r>
          </w:p>
        </w:tc>
        <w:tc>
          <w:tcPr>
            <w:tcBorders>
              <w:bottom w:val="single"/>
            </w:tcBorders>
            <w:vAlign w:val="bottom"/>
            <w:shd w:val="clear" w:color="auto" w:fill="0E2841"/>
          </w:tcPr>
          <w:p>
            <w:pPr>
              <w:pStyle w:val="Compact"/>
              <w:jc w:val="left"/>
            </w:pPr>
            <w:r>
              <w:rPr>
                <w:rFonts w:ascii="Calibri" w:hAnsi="Calibri"/>
                <w:b/>
                <w:color w:val="FFFFFF"/>
                <w:sz w:val="18"/>
              </w:rPr>
              <w:t xml:space="preserve">FTE facturado</w:t>
            </w:r>
          </w:p>
        </w:tc>
      </w:tr>
      <w:tr>
        <w:tc>
          <w:tcPr>
            <w:shd w:val="clear" w:color="auto" w:fill="FFFFFF"/>
          </w:tcPr>
          <w:p>
            <w:pPr>
              <w:pStyle w:val="Compact"/>
              <w:jc w:val="left"/>
            </w:pPr>
            <w:r>
              <w:rPr>
                <w:rFonts w:ascii="Calibri" w:hAnsi="Calibri"/>
                <w:sz w:val="18"/>
              </w:rPr>
              <w:t xml:space="preserve">Product Owner</w:t>
            </w:r>
          </w:p>
        </w:tc>
        <w:tc>
          <w:tcPr>
            <w:shd w:val="clear" w:color="auto" w:fill="FFFFFF"/>
          </w:tcPr>
          <w:p>
            <w:pPr>
              <w:pStyle w:val="Compact"/>
              <w:jc w:val="left"/>
            </w:pPr>
            <w:r>
              <w:rPr>
                <w:rFonts w:ascii="Calibri" w:hAnsi="Calibri"/>
                <w:sz w:val="18"/>
              </w:rPr>
              <w:t xml:space="preserve">Josué Say</w:t>
            </w:r>
          </w:p>
        </w:tc>
        <w:tc>
          <w:tcPr>
            <w:shd w:val="clear" w:color="auto" w:fill="FFFFFF"/>
          </w:tcPr>
          <w:p>
            <w:pPr>
              <w:pStyle w:val="Compact"/>
              <w:jc w:val="left"/>
            </w:pPr>
            <w:r>
              <w:rPr>
                <w:rFonts w:ascii="Calibri" w:hAnsi="Calibri"/>
                <w:sz w:val="18"/>
              </w:rPr>
              <w:t xml:space="preserve">0.7</w:t>
            </w:r>
          </w:p>
        </w:tc>
        <w:tc>
          <w:tcPr>
            <w:shd w:val="clear" w:color="auto" w:fill="FFFFFF"/>
          </w:tcPr>
          <w:p>
            <w:pPr>
              <w:pStyle w:val="Compact"/>
              <w:jc w:val="left"/>
            </w:pPr>
            <w:r>
              <w:rPr>
                <w:rFonts w:ascii="Calibri" w:hAnsi="Calibri"/>
                <w:sz w:val="18"/>
              </w:rPr>
              <w:t xml:space="preserve">1.0</w:t>
            </w:r>
          </w:p>
        </w:tc>
      </w:tr>
      <w:tr>
        <w:tc>
          <w:tcPr>
            <w:shd w:val="clear" w:color="auto" w:fill="E8E8E8"/>
          </w:tcPr>
          <w:p>
            <w:pPr>
              <w:pStyle w:val="Compact"/>
              <w:jc w:val="left"/>
            </w:pPr>
            <w:r>
              <w:rPr>
                <w:rFonts w:ascii="Calibri" w:hAnsi="Calibri"/>
                <w:sz w:val="18"/>
              </w:rPr>
              <w:t xml:space="preserve">Scrum Master</w:t>
            </w:r>
          </w:p>
        </w:tc>
        <w:tc>
          <w:tcPr>
            <w:shd w:val="clear" w:color="auto" w:fill="E8E8E8"/>
          </w:tcPr>
          <w:p>
            <w:pPr>
              <w:pStyle w:val="Compact"/>
              <w:jc w:val="left"/>
            </w:pPr>
            <w:r>
              <w:rPr>
                <w:rFonts w:ascii="Calibri" w:hAnsi="Calibri"/>
                <w:sz w:val="18"/>
              </w:rPr>
              <w:t xml:space="preserve">Mathew Cordero</w:t>
            </w:r>
          </w:p>
        </w:tc>
        <w:tc>
          <w:tcPr>
            <w:shd w:val="clear" w:color="auto" w:fill="E8E8E8"/>
          </w:tcPr>
          <w:p>
            <w:pPr>
              <w:pStyle w:val="Compact"/>
              <w:jc w:val="left"/>
            </w:pPr>
            <w:r>
              <w:rPr>
                <w:rFonts w:ascii="Calibri" w:hAnsi="Calibri"/>
                <w:sz w:val="18"/>
              </w:rPr>
              <w:t xml:space="preserve">1.0</w:t>
            </w:r>
          </w:p>
        </w:tc>
        <w:tc>
          <w:tcPr>
            <w:shd w:val="clear" w:color="auto" w:fill="E8E8E8"/>
          </w:tcPr>
          <w:p>
            <w:pPr>
              <w:pStyle w:val="Compact"/>
              <w:jc w:val="left"/>
            </w:pPr>
            <w:r>
              <w:rPr>
                <w:rFonts w:ascii="Calibri" w:hAnsi="Calibri"/>
                <w:sz w:val="18"/>
              </w:rPr>
              <w:t xml:space="preserve">1.0</w:t>
            </w:r>
          </w:p>
        </w:tc>
      </w:tr>
      <w:tr>
        <w:tc>
          <w:tcPr>
            <w:shd w:val="clear" w:color="auto" w:fill="FFFFFF"/>
          </w:tcPr>
          <w:p>
            <w:pPr>
              <w:pStyle w:val="Compact"/>
              <w:jc w:val="left"/>
            </w:pPr>
            <w:r>
              <w:rPr>
                <w:rFonts w:ascii="Calibri" w:hAnsi="Calibri"/>
                <w:sz w:val="18"/>
              </w:rPr>
              <w:t xml:space="preserve">Developer (líder técnico)</w:t>
            </w:r>
          </w:p>
        </w:tc>
        <w:tc>
          <w:tcPr>
            <w:shd w:val="clear" w:color="auto" w:fill="FFFFFF"/>
          </w:tcPr>
          <w:p>
            <w:pPr>
              <w:pStyle w:val="Compact"/>
              <w:jc w:val="left"/>
            </w:pPr>
            <w:r>
              <w:rPr>
                <w:rFonts w:ascii="Calibri" w:hAnsi="Calibri"/>
                <w:sz w:val="18"/>
              </w:rPr>
              <w:t xml:space="preserve">Gustavo Cruz Bardales</w:t>
            </w:r>
          </w:p>
        </w:tc>
        <w:tc>
          <w:tcPr>
            <w:shd w:val="clear" w:color="auto" w:fill="FFFFFF"/>
          </w:tcPr>
          <w:p>
            <w:pPr>
              <w:pStyle w:val="Compact"/>
              <w:jc w:val="left"/>
            </w:pPr>
            <w:r>
              <w:rPr>
                <w:rFonts w:ascii="Calibri" w:hAnsi="Calibri"/>
                <w:sz w:val="18"/>
              </w:rPr>
              <w:t xml:space="preserve">1.0</w:t>
            </w:r>
          </w:p>
        </w:tc>
        <w:tc>
          <w:tcPr>
            <w:shd w:val="clear" w:color="auto" w:fill="FFFFFF"/>
          </w:tcPr>
          <w:p>
            <w:pPr>
              <w:pStyle w:val="Compact"/>
              <w:jc w:val="left"/>
            </w:pPr>
            <w:r>
              <w:rPr>
                <w:rFonts w:ascii="Calibri" w:hAnsi="Calibri"/>
                <w:sz w:val="18"/>
              </w:rPr>
              <w:t xml:space="preserve">1.0</w:t>
            </w:r>
          </w:p>
        </w:tc>
      </w:tr>
      <w:tr>
        <w:tc>
          <w:tcPr>
            <w:shd w:val="clear" w:color="auto" w:fill="E8E8E8"/>
          </w:tcPr>
          <w:p>
            <w:pPr>
              <w:pStyle w:val="Compact"/>
              <w:jc w:val="left"/>
            </w:pPr>
            <w:r>
              <w:rPr>
                <w:rFonts w:ascii="Calibri" w:hAnsi="Calibri"/>
                <w:sz w:val="18"/>
              </w:rPr>
              <w:t xml:space="preserve">Developer (seguridad)</w:t>
            </w:r>
          </w:p>
        </w:tc>
        <w:tc>
          <w:tcPr>
            <w:shd w:val="clear" w:color="auto" w:fill="E8E8E8"/>
          </w:tcPr>
          <w:p>
            <w:pPr>
              <w:pStyle w:val="Compact"/>
              <w:jc w:val="left"/>
            </w:pPr>
            <w:r>
              <w:rPr>
                <w:rFonts w:ascii="Calibri" w:hAnsi="Calibri"/>
                <w:sz w:val="18"/>
              </w:rPr>
              <w:t xml:space="preserve">Javier Chen Gonzalez</w:t>
            </w:r>
          </w:p>
        </w:tc>
        <w:tc>
          <w:tcPr>
            <w:shd w:val="clear" w:color="auto" w:fill="E8E8E8"/>
          </w:tcPr>
          <w:p>
            <w:pPr>
              <w:pStyle w:val="Compact"/>
              <w:jc w:val="left"/>
            </w:pPr>
            <w:r>
              <w:rPr>
                <w:rFonts w:ascii="Calibri" w:hAnsi="Calibri"/>
                <w:sz w:val="18"/>
              </w:rPr>
              <w:t xml:space="preserve">1.0</w:t>
            </w:r>
          </w:p>
        </w:tc>
        <w:tc>
          <w:tcPr>
            <w:shd w:val="clear" w:color="auto" w:fill="E8E8E8"/>
          </w:tcPr>
          <w:p>
            <w:pPr>
              <w:pStyle w:val="Compact"/>
              <w:jc w:val="left"/>
            </w:pPr>
            <w:r>
              <w:rPr>
                <w:rFonts w:ascii="Calibri" w:hAnsi="Calibri"/>
                <w:sz w:val="18"/>
              </w:rPr>
              <w:t xml:space="preserve">1.0</w:t>
            </w:r>
          </w:p>
        </w:tc>
      </w:tr>
      <w:tr>
        <w:tc>
          <w:tcPr>
            <w:shd w:val="clear" w:color="auto" w:fill="FFFFFF"/>
          </w:tcPr>
          <w:p>
            <w:pPr>
              <w:pStyle w:val="Compact"/>
              <w:jc w:val="left"/>
            </w:pPr>
            <w:r>
              <w:rPr>
                <w:rFonts w:ascii="Calibri" w:hAnsi="Calibri"/>
                <w:sz w:val="18"/>
              </w:rPr>
              <w:t xml:space="preserve">Developer</w:t>
            </w:r>
          </w:p>
        </w:tc>
        <w:tc>
          <w:tcPr>
            <w:shd w:val="clear" w:color="auto" w:fill="FFFFFF"/>
          </w:tcPr>
          <w:p>
            <w:pPr>
              <w:pStyle w:val="Compact"/>
              <w:jc w:val="left"/>
            </w:pPr>
            <w:r>
              <w:rPr>
                <w:rFonts w:ascii="Calibri" w:hAnsi="Calibri"/>
                <w:sz w:val="18"/>
              </w:rPr>
              <w:t xml:space="preserve">Pedro Guzmán Mayen</w:t>
            </w:r>
          </w:p>
        </w:tc>
        <w:tc>
          <w:tcPr>
            <w:shd w:val="clear" w:color="auto" w:fill="FFFFFF"/>
          </w:tcPr>
          <w:p>
            <w:pPr>
              <w:pStyle w:val="Compact"/>
              <w:jc w:val="left"/>
            </w:pPr>
            <w:r>
              <w:rPr>
                <w:rFonts w:ascii="Calibri" w:hAnsi="Calibri"/>
                <w:sz w:val="18"/>
              </w:rPr>
              <w:t xml:space="preserve">1.0</w:t>
            </w:r>
          </w:p>
        </w:tc>
        <w:tc>
          <w:tcPr>
            <w:shd w:val="clear" w:color="auto" w:fill="FFFFFF"/>
          </w:tcPr>
          <w:p>
            <w:pPr>
              <w:pStyle w:val="Compact"/>
              <w:jc w:val="left"/>
            </w:pPr>
            <w:r>
              <w:rPr>
                <w:rFonts w:ascii="Calibri" w:hAnsi="Calibri"/>
                <w:sz w:val="18"/>
              </w:rPr>
              <w:t xml:space="preserve">1.0</w:t>
            </w:r>
          </w:p>
        </w:tc>
      </w:tr>
    </w:tbl>
    <w:p>
      <w:pPr>
        <w:pStyle w:val="Heading2"/>
      </w:pPr>
      <w:bookmarkStart w:id="23" w:name="problema-que-resuelve"/>
      <w:r>
        <w:t xml:space="preserve">Problema que resuelve</w:t>
      </w:r>
      <w:bookmarkEnd w:id="23"/>
    </w:p>
    <w:p>
      <w:pPr>
        <w:pStyle w:val="FirstParagraph"/>
      </w:pPr>
      <w:r>
        <w:t xml:space="preserve">Los estudiantes de diversificado que aplican a UVG Campus Central 2026 carecen de un mecanismo estructurado, basado en datos, que los oriente en la selección de carrera universitaria. El proceso actual depende de orientación informal, ferias vocacionales esporádicas y autodiagnóstico sin soporte técnico. Esto genera decisiones de elección de carrera con bajo nivel de información, aumenta la probabilidad de cambios de carrera en primer año y reduce la retención estudiantil en las carreras afines al perfil del aspirante.</w:t>
      </w:r>
    </w:p>
    <w:p>
      <w:pPr>
        <w:pStyle w:val="Heading2"/>
      </w:pPr>
      <w:bookmarkStart w:id="24" w:name="objetivo-general"/>
      <w:r>
        <w:t xml:space="preserve">Objetivo general</w:t>
      </w:r>
      <w:bookmarkEnd w:id="24"/>
    </w:p>
    <w:p>
      <w:pPr>
        <w:pStyle w:val="FirstParagraph"/>
      </w:pPr>
      <w:r>
        <w:t xml:space="preserve">Desarrollar e implementar un sistema web de recomendación de carrera universitaria para UVG Campus Central, que mediante una encuesta vocacional estructurada y un motor de afinidad calcule y presente al aspirante las carreras del pensum 2026 más compatibles con sus intereses, habilidades y perfil académico.</w:t>
      </w:r>
    </w:p>
    <w:p>
      <w:pPr>
        <w:pStyle w:val="Heading2"/>
      </w:pPr>
      <w:bookmarkStart w:id="25" w:name="objetivos-específicos"/>
      <w:r>
        <w:t xml:space="preserve">Objetivos específicos</w:t>
      </w:r>
      <w:bookmarkEnd w:id="25"/>
    </w:p>
    <w:p>
      <w:pPr>
        <w:numPr>
          <w:ilvl w:val="0"/>
          <w:numId w:val="1001"/>
        </w:numPr>
        <w:pStyle w:val="Compact"/>
      </w:pPr>
      <w:r>
        <w:t xml:space="preserve">Implementar un módulo de registro y gestión de perfiles de aspirantes que garantice la trazabilidad de cada usuario a lo largo del proceso de orientación.</w:t>
      </w:r>
    </w:p>
    <w:p>
      <w:pPr>
        <w:numPr>
          <w:ilvl w:val="0"/>
          <w:numId w:val="1001"/>
        </w:numPr>
        <w:pStyle w:val="Compact"/>
      </w:pPr>
      <w:r>
        <w:t xml:space="preserve">Diseñar y desplegar una encuesta vocacional interactiva que capture intereses, habilidades percibidas y preferencias académicas del aspirante de manera estandarizada.</w:t>
      </w:r>
    </w:p>
    <w:p>
      <w:pPr>
        <w:numPr>
          <w:ilvl w:val="0"/>
          <w:numId w:val="1001"/>
        </w:numPr>
        <w:pStyle w:val="Compact"/>
      </w:pPr>
      <w:r>
        <w:t xml:space="preserve">Construir y publicar el catálogo de carreras y pensum 2026 de UVG Campus Central, validado por la Dirección de Admisiones, como base de datos de referencia del sistema.</w:t>
      </w:r>
    </w:p>
    <w:p>
      <w:pPr>
        <w:numPr>
          <w:ilvl w:val="0"/>
          <w:numId w:val="1001"/>
        </w:numPr>
        <w:pStyle w:val="Compact"/>
      </w:pPr>
      <w:r>
        <w:t xml:space="preserve">Desarrollar el motor de recomendación que aplica el algoritmo de afinidad entre el perfil del aspirante y el catálogo de carreras, produciendo un ranking ordenado de compatibilidad.</w:t>
      </w:r>
    </w:p>
    <w:p>
      <w:pPr>
        <w:numPr>
          <w:ilvl w:val="0"/>
          <w:numId w:val="1001"/>
        </w:numPr>
        <w:pStyle w:val="Compact"/>
      </w:pPr>
      <w:r>
        <w:t xml:space="preserve">Implementar el módulo de análisis y clasificación de afinidad que interpreta los resultados del motor y los presenta en categorías comprensibles para el aspirante.</w:t>
      </w:r>
    </w:p>
    <w:p>
      <w:pPr>
        <w:numPr>
          <w:ilvl w:val="0"/>
          <w:numId w:val="1001"/>
        </w:numPr>
        <w:pStyle w:val="Compact"/>
      </w:pPr>
      <w:r>
        <w:t xml:space="preserve">Entregar un panel de resultados accesible que permita al aspirante visualizar, comparar y explorar las carreras recomendadas con información suficiente para tomar una decisión informada.</w:t>
      </w:r>
    </w:p>
    <w:p>
      <w:pPr>
        <w:pStyle w:val="Heading2"/>
      </w:pPr>
      <w:bookmarkStart w:id="26" w:name="alcance"/>
      <w:r>
        <w:t xml:space="preserve">Alcance</w:t>
      </w:r>
      <w:bookmarkEnd w:id="26"/>
    </w:p>
    <w:p>
      <w:pPr>
        <w:pStyle w:val="Heading3"/>
      </w:pPr>
      <w:bookmarkStart w:id="27" w:name="in-scope-por-épica"/>
      <w:r>
        <w:t xml:space="preserve">In Scope — por épica</w:t>
      </w:r>
      <w:bookmarkEnd w:id="27"/>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Épica</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c>
          <w:tcPr>
            <w:tcBorders>
              <w:bottom w:val="single"/>
            </w:tcBorders>
            <w:vAlign w:val="bottom"/>
            <w:shd w:val="clear" w:color="auto" w:fill="0E2841"/>
          </w:tcPr>
          <w:p>
            <w:pPr>
              <w:pStyle w:val="Compact"/>
              <w:jc w:val="left"/>
            </w:pPr>
            <w:r>
              <w:rPr>
                <w:rFonts w:ascii="Calibri" w:hAnsi="Calibri"/>
                <w:b/>
                <w:color w:val="FFFFFF"/>
                <w:sz w:val="18"/>
              </w:rPr>
              <w:t xml:space="preserve">Historias de usuario</w:t>
            </w:r>
          </w:p>
        </w:tc>
        <w:tc>
          <w:tcPr>
            <w:tcBorders>
              <w:bottom w:val="single"/>
            </w:tcBorders>
            <w:vAlign w:val="bottom"/>
            <w:shd w:val="clear" w:color="auto" w:fill="0E2841"/>
          </w:tcPr>
          <w:p>
            <w:pPr>
              <w:pStyle w:val="Compact"/>
              <w:jc w:val="left"/>
            </w:pPr>
            <w:r>
              <w:rPr>
                <w:rFonts w:ascii="Calibri" w:hAnsi="Calibri"/>
                <w:b/>
                <w:color w:val="FFFFFF"/>
                <w:sz w:val="18"/>
              </w:rPr>
              <w:t xml:space="preserve">Story Points</w:t>
            </w:r>
          </w:p>
        </w:tc>
        <w:tc>
          <w:tcPr>
            <w:tcBorders>
              <w:bottom w:val="single"/>
            </w:tcBorders>
            <w:vAlign w:val="bottom"/>
            <w:shd w:val="clear" w:color="auto" w:fill="0E2841"/>
          </w:tcPr>
          <w:p>
            <w:pPr>
              <w:pStyle w:val="Compact"/>
              <w:jc w:val="left"/>
            </w:pPr>
            <w:r>
              <w:rPr>
                <w:rFonts w:ascii="Calibri" w:hAnsi="Calibri"/>
                <w:b/>
                <w:color w:val="FFFFFF"/>
                <w:sz w:val="18"/>
              </w:rPr>
              <w:t xml:space="preserve">Tareas técnicas</w:t>
            </w:r>
          </w:p>
        </w:tc>
      </w:tr>
      <w:tr>
        <w:tc>
          <w:tcPr>
            <w:shd w:val="clear" w:color="auto" w:fill="FFFFFF"/>
          </w:tcPr>
          <w:p>
            <w:pPr>
              <w:pStyle w:val="Compact"/>
              <w:jc w:val="left"/>
            </w:pPr>
            <w:r>
              <w:rPr>
                <w:rFonts w:ascii="Calibri" w:hAnsi="Calibri"/>
                <w:sz w:val="18"/>
              </w:rPr>
              <w:t xml:space="preserve">EP01</w:t>
            </w:r>
          </w:p>
        </w:tc>
        <w:tc>
          <w:tcPr>
            <w:shd w:val="clear" w:color="auto" w:fill="FFFFFF"/>
          </w:tcPr>
          <w:p>
            <w:pPr>
              <w:pStyle w:val="Compact"/>
              <w:jc w:val="left"/>
            </w:pPr>
            <w:r>
              <w:rPr>
                <w:rFonts w:ascii="Calibri" w:hAnsi="Calibri"/>
                <w:sz w:val="18"/>
              </w:rPr>
              <w:t xml:space="preserve">Registro y perfiles</w:t>
            </w:r>
          </w:p>
        </w:tc>
        <w:tc>
          <w:tcPr>
            <w:shd w:val="clear" w:color="auto" w:fill="FFFFFF"/>
          </w:tcPr>
          <w:p>
            <w:pPr>
              <w:pStyle w:val="Compact"/>
              <w:jc w:val="left"/>
            </w:pPr>
            <w:r>
              <w:rPr>
                <w:rFonts w:ascii="Calibri" w:hAnsi="Calibri"/>
                <w:sz w:val="18"/>
              </w:rPr>
              <w:t xml:space="preserve">6</w:t>
            </w:r>
          </w:p>
        </w:tc>
        <w:tc>
          <w:tcPr>
            <w:shd w:val="clear" w:color="auto" w:fill="FFFFFF"/>
          </w:tcPr>
          <w:p>
            <w:pPr>
              <w:pStyle w:val="Compact"/>
              <w:jc w:val="left"/>
            </w:pPr>
            <w:r>
              <w:rPr>
                <w:rFonts w:ascii="Calibri" w:hAnsi="Calibri"/>
                <w:sz w:val="18"/>
              </w:rPr>
              <w:t xml:space="preserve">18</w:t>
            </w:r>
          </w:p>
        </w:tc>
        <w:tc>
          <w:tcPr>
            <w:shd w:val="clear" w:color="auto" w:fill="FFFFFF"/>
          </w:tcPr>
          <w:p>
            <w:pPr>
              <w:pStyle w:val="Compact"/>
              <w:jc w:val="left"/>
            </w:pPr>
            <w:r>
              <w:rPr>
                <w:rFonts w:ascii="Calibri" w:hAnsi="Calibri"/>
                <w:sz w:val="18"/>
              </w:rPr>
              <w:t xml:space="preserve">28</w:t>
            </w:r>
          </w:p>
        </w:tc>
      </w:tr>
      <w:tr>
        <w:tc>
          <w:tcPr>
            <w:shd w:val="clear" w:color="auto" w:fill="E8E8E8"/>
          </w:tcPr>
          <w:p>
            <w:pPr>
              <w:pStyle w:val="Compact"/>
              <w:jc w:val="left"/>
            </w:pPr>
            <w:r>
              <w:rPr>
                <w:rFonts w:ascii="Calibri" w:hAnsi="Calibri"/>
                <w:sz w:val="18"/>
              </w:rPr>
              <w:t xml:space="preserve">EP02</w:t>
            </w:r>
          </w:p>
        </w:tc>
        <w:tc>
          <w:tcPr>
            <w:shd w:val="clear" w:color="auto" w:fill="E8E8E8"/>
          </w:tcPr>
          <w:p>
            <w:pPr>
              <w:pStyle w:val="Compact"/>
              <w:jc w:val="left"/>
            </w:pPr>
            <w:r>
              <w:rPr>
                <w:rFonts w:ascii="Calibri" w:hAnsi="Calibri"/>
                <w:sz w:val="18"/>
              </w:rPr>
              <w:t xml:space="preserve">Encuesta vocacional</w:t>
            </w:r>
          </w:p>
        </w:tc>
        <w:tc>
          <w:tcPr>
            <w:shd w:val="clear" w:color="auto" w:fill="E8E8E8"/>
          </w:tcPr>
          <w:p>
            <w:pPr>
              <w:pStyle w:val="Compact"/>
              <w:jc w:val="left"/>
            </w:pPr>
            <w:r>
              <w:rPr>
                <w:rFonts w:ascii="Calibri" w:hAnsi="Calibri"/>
                <w:sz w:val="18"/>
              </w:rPr>
              <w:t xml:space="preserve">6</w:t>
            </w:r>
          </w:p>
        </w:tc>
        <w:tc>
          <w:tcPr>
            <w:shd w:val="clear" w:color="auto" w:fill="E8E8E8"/>
          </w:tcPr>
          <w:p>
            <w:pPr>
              <w:pStyle w:val="Compact"/>
              <w:jc w:val="left"/>
            </w:pPr>
            <w:r>
              <w:rPr>
                <w:rFonts w:ascii="Calibri" w:hAnsi="Calibri"/>
                <w:sz w:val="18"/>
              </w:rPr>
              <w:t xml:space="preserve">20</w:t>
            </w:r>
          </w:p>
        </w:tc>
        <w:tc>
          <w:tcPr>
            <w:shd w:val="clear" w:color="auto" w:fill="E8E8E8"/>
          </w:tcPr>
          <w:p>
            <w:pPr>
              <w:pStyle w:val="Compact"/>
              <w:jc w:val="left"/>
            </w:pPr>
            <w:r>
              <w:rPr>
                <w:rFonts w:ascii="Calibri" w:hAnsi="Calibri"/>
                <w:sz w:val="18"/>
              </w:rPr>
              <w:t xml:space="preserve">28</w:t>
            </w:r>
          </w:p>
        </w:tc>
      </w:tr>
      <w:tr>
        <w:tc>
          <w:tcPr>
            <w:shd w:val="clear" w:color="auto" w:fill="FFFFFF"/>
          </w:tcPr>
          <w:p>
            <w:pPr>
              <w:pStyle w:val="Compact"/>
              <w:jc w:val="left"/>
            </w:pPr>
            <w:r>
              <w:rPr>
                <w:rFonts w:ascii="Calibri" w:hAnsi="Calibri"/>
                <w:sz w:val="18"/>
              </w:rPr>
              <w:t xml:space="preserve">EP03</w:t>
            </w:r>
          </w:p>
        </w:tc>
        <w:tc>
          <w:tcPr>
            <w:shd w:val="clear" w:color="auto" w:fill="FFFFFF"/>
          </w:tcPr>
          <w:p>
            <w:pPr>
              <w:pStyle w:val="Compact"/>
              <w:jc w:val="left"/>
            </w:pPr>
            <w:r>
              <w:rPr>
                <w:rFonts w:ascii="Calibri" w:hAnsi="Calibri"/>
                <w:sz w:val="18"/>
              </w:rPr>
              <w:t xml:space="preserve">Carreras y pensum 2026</w:t>
            </w:r>
          </w:p>
        </w:tc>
        <w:tc>
          <w:tcPr>
            <w:shd w:val="clear" w:color="auto" w:fill="FFFFFF"/>
          </w:tcPr>
          <w:p>
            <w:pPr>
              <w:pStyle w:val="Compact"/>
              <w:jc w:val="left"/>
            </w:pPr>
            <w:r>
              <w:rPr>
                <w:rFonts w:ascii="Calibri" w:hAnsi="Calibri"/>
                <w:sz w:val="18"/>
              </w:rPr>
              <w:t xml:space="preserve">7</w:t>
            </w:r>
          </w:p>
        </w:tc>
        <w:tc>
          <w:tcPr>
            <w:shd w:val="clear" w:color="auto" w:fill="FFFFFF"/>
          </w:tcPr>
          <w:p>
            <w:pPr>
              <w:pStyle w:val="Compact"/>
              <w:jc w:val="left"/>
            </w:pPr>
            <w:r>
              <w:rPr>
                <w:rFonts w:ascii="Calibri" w:hAnsi="Calibri"/>
                <w:sz w:val="18"/>
              </w:rPr>
              <w:t xml:space="preserve">19</w:t>
            </w:r>
          </w:p>
        </w:tc>
        <w:tc>
          <w:tcPr>
            <w:shd w:val="clear" w:color="auto" w:fill="FFFFFF"/>
          </w:tcPr>
          <w:p>
            <w:pPr>
              <w:pStyle w:val="Compact"/>
              <w:jc w:val="left"/>
            </w:pPr>
            <w:r>
              <w:rPr>
                <w:rFonts w:ascii="Calibri" w:hAnsi="Calibri"/>
                <w:sz w:val="18"/>
              </w:rPr>
              <w:t xml:space="preserve">30</w:t>
            </w:r>
          </w:p>
        </w:tc>
      </w:tr>
      <w:tr>
        <w:tc>
          <w:tcPr>
            <w:shd w:val="clear" w:color="auto" w:fill="E8E8E8"/>
          </w:tcPr>
          <w:p>
            <w:pPr>
              <w:pStyle w:val="Compact"/>
              <w:jc w:val="left"/>
            </w:pPr>
            <w:r>
              <w:rPr>
                <w:rFonts w:ascii="Calibri" w:hAnsi="Calibri"/>
                <w:sz w:val="18"/>
              </w:rPr>
              <w:t xml:space="preserve">EP04</w:t>
            </w:r>
          </w:p>
        </w:tc>
        <w:tc>
          <w:tcPr>
            <w:shd w:val="clear" w:color="auto" w:fill="E8E8E8"/>
          </w:tcPr>
          <w:p>
            <w:pPr>
              <w:pStyle w:val="Compact"/>
              <w:jc w:val="left"/>
            </w:pPr>
            <w:r>
              <w:rPr>
                <w:rFonts w:ascii="Calibri" w:hAnsi="Calibri"/>
                <w:sz w:val="18"/>
              </w:rPr>
              <w:t xml:space="preserve">Motor de recomendación</w:t>
            </w:r>
          </w:p>
        </w:tc>
        <w:tc>
          <w:tcPr>
            <w:shd w:val="clear" w:color="auto" w:fill="E8E8E8"/>
          </w:tcPr>
          <w:p>
            <w:pPr>
              <w:pStyle w:val="Compact"/>
              <w:jc w:val="left"/>
            </w:pPr>
            <w:r>
              <w:rPr>
                <w:rFonts w:ascii="Calibri" w:hAnsi="Calibri"/>
                <w:sz w:val="18"/>
              </w:rPr>
              <w:t xml:space="preserve">3</w:t>
            </w:r>
          </w:p>
        </w:tc>
        <w:tc>
          <w:tcPr>
            <w:shd w:val="clear" w:color="auto" w:fill="E8E8E8"/>
          </w:tcPr>
          <w:p>
            <w:pPr>
              <w:pStyle w:val="Compact"/>
              <w:jc w:val="left"/>
            </w:pPr>
            <w:r>
              <w:rPr>
                <w:rFonts w:ascii="Calibri" w:hAnsi="Calibri"/>
                <w:sz w:val="18"/>
              </w:rPr>
              <w:t xml:space="preserve">16</w:t>
            </w:r>
          </w:p>
        </w:tc>
        <w:tc>
          <w:tcPr>
            <w:shd w:val="clear" w:color="auto" w:fill="E8E8E8"/>
          </w:tcPr>
          <w:p>
            <w:pPr>
              <w:pStyle w:val="Compact"/>
              <w:jc w:val="left"/>
            </w:pPr>
            <w:r>
              <w:rPr>
                <w:rFonts w:ascii="Calibri" w:hAnsi="Calibri"/>
                <w:sz w:val="18"/>
              </w:rPr>
              <w:t xml:space="preserve">10</w:t>
            </w:r>
          </w:p>
        </w:tc>
      </w:tr>
      <w:tr>
        <w:tc>
          <w:tcPr>
            <w:shd w:val="clear" w:color="auto" w:fill="FFFFFF"/>
          </w:tcPr>
          <w:p>
            <w:pPr>
              <w:pStyle w:val="Compact"/>
              <w:jc w:val="left"/>
            </w:pPr>
            <w:r>
              <w:rPr>
                <w:rFonts w:ascii="Calibri" w:hAnsi="Calibri"/>
                <w:sz w:val="18"/>
              </w:rPr>
              <w:t xml:space="preserve">EP05</w:t>
            </w:r>
          </w:p>
        </w:tc>
        <w:tc>
          <w:tcPr>
            <w:shd w:val="clear" w:color="auto" w:fill="FFFFFF"/>
          </w:tcPr>
          <w:p>
            <w:pPr>
              <w:pStyle w:val="Compact"/>
              <w:jc w:val="left"/>
            </w:pPr>
            <w:r>
              <w:rPr>
                <w:rFonts w:ascii="Calibri" w:hAnsi="Calibri"/>
                <w:sz w:val="18"/>
              </w:rPr>
              <w:t xml:space="preserve">Análisis y clasificación de afinidad</w:t>
            </w:r>
          </w:p>
        </w:tc>
        <w:tc>
          <w:tcPr>
            <w:shd w:val="clear" w:color="auto" w:fill="FFFFFF"/>
          </w:tcPr>
          <w:p>
            <w:pPr>
              <w:pStyle w:val="Compact"/>
              <w:jc w:val="left"/>
            </w:pPr>
            <w:r>
              <w:rPr>
                <w:rFonts w:ascii="Calibri" w:hAnsi="Calibri"/>
                <w:sz w:val="18"/>
              </w:rPr>
              <w:t xml:space="preserve">4</w:t>
            </w:r>
          </w:p>
        </w:tc>
        <w:tc>
          <w:tcPr>
            <w:shd w:val="clear" w:color="auto" w:fill="FFFFFF"/>
          </w:tcPr>
          <w:p>
            <w:pPr>
              <w:pStyle w:val="Compact"/>
              <w:jc w:val="left"/>
            </w:pPr>
            <w:r>
              <w:rPr>
                <w:rFonts w:ascii="Calibri" w:hAnsi="Calibri"/>
                <w:sz w:val="18"/>
              </w:rPr>
              <w:t xml:space="preserve">26</w:t>
            </w:r>
          </w:p>
        </w:tc>
        <w:tc>
          <w:tcPr>
            <w:shd w:val="clear" w:color="auto" w:fill="FFFFFF"/>
          </w:tcPr>
          <w:p>
            <w:pPr>
              <w:pStyle w:val="Compact"/>
              <w:jc w:val="left"/>
            </w:pPr>
            <w:r>
              <w:rPr>
                <w:rFonts w:ascii="Calibri" w:hAnsi="Calibri"/>
                <w:sz w:val="18"/>
              </w:rPr>
              <w:t xml:space="preserve">15</w:t>
            </w:r>
          </w:p>
        </w:tc>
      </w:tr>
      <w:tr>
        <w:tc>
          <w:tcPr>
            <w:shd w:val="clear" w:color="auto" w:fill="E8E8E8"/>
          </w:tcPr>
          <w:p>
            <w:pPr>
              <w:pStyle w:val="Compact"/>
              <w:jc w:val="left"/>
            </w:pPr>
            <w:r>
              <w:rPr>
                <w:rFonts w:ascii="Calibri" w:hAnsi="Calibri"/>
                <w:sz w:val="18"/>
              </w:rPr>
              <w:t xml:space="preserve">EP06</w:t>
            </w:r>
          </w:p>
        </w:tc>
        <w:tc>
          <w:tcPr>
            <w:shd w:val="clear" w:color="auto" w:fill="E8E8E8"/>
          </w:tcPr>
          <w:p>
            <w:pPr>
              <w:pStyle w:val="Compact"/>
              <w:jc w:val="left"/>
            </w:pPr>
            <w:r>
              <w:rPr>
                <w:rFonts w:ascii="Calibri" w:hAnsi="Calibri"/>
                <w:sz w:val="18"/>
              </w:rPr>
              <w:t xml:space="preserve">Panel de resultados</w:t>
            </w:r>
          </w:p>
        </w:tc>
        <w:tc>
          <w:tcPr>
            <w:shd w:val="clear" w:color="auto" w:fill="E8E8E8"/>
          </w:tcPr>
          <w:p>
            <w:pPr>
              <w:pStyle w:val="Compact"/>
              <w:jc w:val="left"/>
            </w:pPr>
            <w:r>
              <w:rPr>
                <w:rFonts w:ascii="Calibri" w:hAnsi="Calibri"/>
                <w:sz w:val="18"/>
              </w:rPr>
              <w:t xml:space="preserve">6</w:t>
            </w:r>
          </w:p>
        </w:tc>
        <w:tc>
          <w:tcPr>
            <w:shd w:val="clear" w:color="auto" w:fill="E8E8E8"/>
          </w:tcPr>
          <w:p>
            <w:pPr>
              <w:pStyle w:val="Compact"/>
              <w:jc w:val="left"/>
            </w:pPr>
            <w:r>
              <w:rPr>
                <w:rFonts w:ascii="Calibri" w:hAnsi="Calibri"/>
                <w:sz w:val="18"/>
              </w:rPr>
              <w:t xml:space="preserve">22</w:t>
            </w:r>
          </w:p>
        </w:tc>
        <w:tc>
          <w:tcPr>
            <w:shd w:val="clear" w:color="auto" w:fill="E8E8E8"/>
          </w:tcPr>
          <w:p>
            <w:pPr>
              <w:pStyle w:val="Compact"/>
              <w:jc w:val="left"/>
            </w:pPr>
            <w:r>
              <w:rPr>
                <w:rFonts w:ascii="Calibri" w:hAnsi="Calibri"/>
                <w:sz w:val="18"/>
              </w:rPr>
              <w:t xml:space="preserve">22</w:t>
            </w:r>
          </w:p>
        </w:tc>
      </w:tr>
      <w:tr>
        <w:tc>
          <w:tcPr>
            <w:shd w:val="clear" w:color="auto" w:fill="FFFFFF"/>
          </w:tcPr>
          <w:p>
            <w:pPr>
              <w:pStyle w:val="Compact"/>
              <w:jc w:val="left"/>
            </w:pPr>
            <w:r>
              <w:rPr>
                <w:rFonts w:ascii="Calibri" w:hAnsi="Calibri"/>
                <w:b/>
                <w:sz w:val="18"/>
              </w:rPr>
              <w:t xml:space="preserve">Total</w:t>
            </w:r>
          </w:p>
        </w:tc>
        <w:tc>
          <w:tcPr>
            <w:shd w:val="clear" w:color="auto" w:fill="FFFFFF"/>
          </w:tcPr>
          <w:p/>
        </w:tc>
        <w:tc>
          <w:tcPr>
            <w:shd w:val="clear" w:color="auto" w:fill="FFFFFF"/>
          </w:tcPr>
          <w:p>
            <w:pPr>
              <w:pStyle w:val="Compact"/>
              <w:jc w:val="left"/>
            </w:pPr>
            <w:r>
              <w:rPr>
                <w:rFonts w:ascii="Calibri" w:hAnsi="Calibri"/>
                <w:b/>
                <w:sz w:val="18"/>
              </w:rPr>
              <w:t xml:space="preserve">32</w:t>
            </w:r>
          </w:p>
        </w:tc>
        <w:tc>
          <w:tcPr>
            <w:shd w:val="clear" w:color="auto" w:fill="FFFFFF"/>
          </w:tcPr>
          <w:p>
            <w:pPr>
              <w:pStyle w:val="Compact"/>
              <w:jc w:val="left"/>
            </w:pPr>
            <w:r>
              <w:rPr>
                <w:rFonts w:ascii="Calibri" w:hAnsi="Calibri"/>
                <w:b/>
                <w:sz w:val="18"/>
              </w:rPr>
              <w:t xml:space="preserve">121</w:t>
            </w:r>
          </w:p>
        </w:tc>
        <w:tc>
          <w:tcPr>
            <w:shd w:val="clear" w:color="auto" w:fill="FFFFFF"/>
          </w:tcPr>
          <w:p>
            <w:pPr>
              <w:pStyle w:val="Compact"/>
              <w:jc w:val="left"/>
            </w:pPr>
            <w:r>
              <w:rPr>
                <w:rFonts w:ascii="Calibri" w:hAnsi="Calibri"/>
                <w:b/>
                <w:sz w:val="18"/>
              </w:rPr>
              <w:t xml:space="preserve">133</w:t>
            </w:r>
          </w:p>
        </w:tc>
      </w:tr>
    </w:tbl>
    <w:p>
      <w:pPr>
        <w:pStyle w:val="Heading3"/>
      </w:pPr>
      <w:bookmarkStart w:id="28" w:name="out-of-scope"/>
      <w:r>
        <w:t xml:space="preserve">Out of Scope</w:t>
      </w:r>
      <w:bookmarkEnd w:id="28"/>
    </w:p>
    <w:p>
      <w:pPr>
        <w:numPr>
          <w:ilvl w:val="0"/>
          <w:numId w:val="1002"/>
        </w:numPr>
        <w:pStyle w:val="Compact"/>
      </w:pPr>
      <w:r>
        <w:t xml:space="preserve">Integración directa con el sistema de admisiones o ERP de UVG (el sistema no inscribe ni prematricula al aspirante).</w:t>
      </w:r>
    </w:p>
    <w:p>
      <w:pPr>
        <w:numPr>
          <w:ilvl w:val="0"/>
          <w:numId w:val="1002"/>
        </w:numPr>
        <w:pStyle w:val="Compact"/>
      </w:pPr>
      <w:r>
        <w:t xml:space="preserve">Orientación psicológica o asesoría personalizada por parte de un profesional humano.</w:t>
      </w:r>
    </w:p>
    <w:p>
      <w:pPr>
        <w:numPr>
          <w:ilvl w:val="0"/>
          <w:numId w:val="1002"/>
        </w:numPr>
        <w:pStyle w:val="Compact"/>
      </w:pPr>
      <w:r>
        <w:t xml:space="preserve">Módulo de seguimiento post-admisión (desempeño académico del estudiante ya inscrito).</w:t>
      </w:r>
    </w:p>
    <w:p>
      <w:pPr>
        <w:numPr>
          <w:ilvl w:val="0"/>
          <w:numId w:val="1002"/>
        </w:numPr>
        <w:pStyle w:val="Compact"/>
      </w:pPr>
      <w:r>
        <w:t xml:space="preserve">Cobertura de otros campus o sedes de UVG distintos a Campus Central.</w:t>
      </w:r>
    </w:p>
    <w:p>
      <w:pPr>
        <w:numPr>
          <w:ilvl w:val="0"/>
          <w:numId w:val="1002"/>
        </w:numPr>
        <w:pStyle w:val="Compact"/>
      </w:pPr>
      <w:r>
        <w:t xml:space="preserve">Aplicación móvil nativa (iOS / Android); el entregable es una aplicación web responsiva.</w:t>
      </w:r>
    </w:p>
    <w:p>
      <w:pPr>
        <w:numPr>
          <w:ilvl w:val="0"/>
          <w:numId w:val="1002"/>
        </w:numPr>
        <w:pStyle w:val="Compact"/>
      </w:pPr>
      <w:r>
        <w:t xml:space="preserve">Integración con plataformas de terceros para autenticación federada (SSO institucional de UVG).</w:t>
      </w:r>
    </w:p>
    <w:p>
      <w:pPr>
        <w:numPr>
          <w:ilvl w:val="0"/>
          <w:numId w:val="1002"/>
        </w:numPr>
        <w:pStyle w:val="Compact"/>
      </w:pPr>
      <w:r>
        <w:t xml:space="preserve">Recomendación de carreras técnicas, postgrados o programas fuera del pensum de pregrado 2026.</w:t>
      </w:r>
    </w:p>
    <w:p>
      <w:pPr>
        <w:numPr>
          <w:ilvl w:val="0"/>
          <w:numId w:val="1002"/>
        </w:numPr>
        <w:pStyle w:val="Compact"/>
      </w:pPr>
      <w:r>
        <w:t xml:space="preserve">Módulo administrativo de reportes estadísticos para la Dirección de Admisiones (fuera del MVP).</w:t>
      </w:r>
    </w:p>
    <w:p>
      <w:pPr>
        <w:pStyle w:val="Heading2"/>
      </w:pPr>
      <w:bookmarkStart w:id="29" w:name="supuestos-operativos"/>
      <w:r>
        <w:t xml:space="preserve">Supuestos operativos</w:t>
      </w:r>
      <w:bookmarkEnd w:id="29"/>
    </w:p>
    <w:p>
      <w:pPr>
        <w:numPr>
          <w:ilvl w:val="0"/>
          <w:numId w:val="1003"/>
        </w:numPr>
        <w:pStyle w:val="Compact"/>
      </w:pPr>
      <w:r>
        <w:t xml:space="preserve">La Dirección de Admisiones UVG entregará el catálogo oficial de carreras y pensum 2026 antes del sprint 3 (hito H4, 11 feb 2027).</w:t>
      </w:r>
    </w:p>
    <w:p>
      <w:pPr>
        <w:numPr>
          <w:ilvl w:val="0"/>
          <w:numId w:val="1003"/>
        </w:numPr>
        <w:pStyle w:val="Compact"/>
      </w:pPr>
      <w:r>
        <w:t xml:space="preserve">El proveedor de infraestructura cloud (S10) garantiza disponibilidad con SLA formal previo al inicio de la ejecución.</w:t>
      </w:r>
    </w:p>
    <w:p>
      <w:pPr>
        <w:numPr>
          <w:ilvl w:val="0"/>
          <w:numId w:val="1003"/>
        </w:numPr>
        <w:pStyle w:val="Compact"/>
      </w:pPr>
      <w:r>
        <w:t xml:space="preserve">El Catedrático/Sponsor (S1) dispondrá de tiempo para revisiones quincenales según C1 durante toda la fase de ejecución.</w:t>
      </w:r>
    </w:p>
    <w:p>
      <w:pPr>
        <w:numPr>
          <w:ilvl w:val="0"/>
          <w:numId w:val="1003"/>
        </w:numPr>
        <w:pStyle w:val="Compact"/>
      </w:pPr>
      <w:r>
        <w:t xml:space="preserve">Los desarrolladores tienen acceso continuo a los entornos de desarrollo y staging durante los 8 sprints.</w:t>
      </w:r>
    </w:p>
    <w:p>
      <w:pPr>
        <w:numPr>
          <w:ilvl w:val="0"/>
          <w:numId w:val="1003"/>
        </w:numPr>
        <w:pStyle w:val="Compact"/>
      </w:pPr>
      <w:r>
        <w:t xml:space="preserve">Los cambios de pensum UVG 2026 posteriores a la validación del sprint 3 serán tratados como solicitudes de cambio formal (CR) según el proceso de control de cambios.</w:t>
      </w:r>
    </w:p>
    <w:p>
      <w:pPr>
        <w:numPr>
          <w:ilvl w:val="0"/>
          <w:numId w:val="1003"/>
        </w:numPr>
        <w:pStyle w:val="Compact"/>
      </w:pPr>
      <w:r>
        <w:t xml:space="preserve">El equipo completo se mantiene disponible durante el período de ejecución (1 ene – 22 abr 2027).</w:t>
      </w:r>
    </w:p>
    <w:p>
      <w:pPr>
        <w:pStyle w:val="Heading2"/>
      </w:pPr>
      <w:bookmarkStart w:id="30" w:name="restricciones"/>
      <w:r>
        <w:t xml:space="preserve">Restricciones</w:t>
      </w:r>
      <w:bookmarkEnd w:id="30"/>
    </w:p>
    <w:p>
      <w:pPr>
        <w:pStyle w:val="Heading3"/>
      </w:pPr>
      <w:bookmarkStart w:id="31" w:name="restricción-de-alcance"/>
      <w:r>
        <w:t xml:space="preserve">Restricción de alcance</w:t>
      </w:r>
      <w:bookmarkEnd w:id="31"/>
    </w:p>
    <w:p>
      <w:pPr>
        <w:pStyle w:val="FirstParagraph"/>
      </w:pPr>
      <w:r>
        <w:t xml:space="preserve">El sistema cubre exclusivamente las carreras de pregrado del pensum UVG Campus Central 2026. Cualquier adición de campus, sedes o programas fuera de este alcance requiere un CR aprobado por el CCB ampliado.</w:t>
      </w:r>
    </w:p>
    <w:p>
      <w:pPr>
        <w:pStyle w:val="Heading3"/>
      </w:pPr>
      <w:bookmarkStart w:id="32" w:name="restricción-de-tiempo"/>
      <w:r>
        <w:t xml:space="preserve">Restricción de tiempo</w:t>
      </w:r>
      <w:bookmarkEnd w:id="32"/>
    </w:p>
    <w:p>
      <w:pPr>
        <w:pStyle w:val="FirstParagraph"/>
      </w:pPr>
      <w:r>
        <w:t xml:space="preserve">La fecha de entrega del MVP es el 22 de abril de 2027 (H7), condicionada al calendario académico de UVG. La ejecución no puede extenderse más allá de esa fecha sin aprobación formal del Sponsor.</w:t>
      </w:r>
    </w:p>
    <w:p>
      <w:pPr>
        <w:pStyle w:val="Heading3"/>
      </w:pPr>
      <w:bookmarkStart w:id="33" w:name="restricción-de-recursos"/>
      <w:r>
        <w:t xml:space="preserve">Restricción de recursos</w:t>
      </w:r>
      <w:bookmarkEnd w:id="33"/>
    </w:p>
    <w:p>
      <w:pPr>
        <w:pStyle w:val="FirstParagraph"/>
      </w:pPr>
      <w:r>
        <w:t xml:space="preserve">El equipo está compuesto por 5 personas con los FTE declarados. No se contempla incorporación de personal adicional ni contratistas externos fuera del proveedor cloud (S10).</w:t>
      </w:r>
    </w:p>
    <w:p>
      <w:pPr>
        <w:pStyle w:val="Heading3"/>
      </w:pPr>
      <w:bookmarkStart w:id="34" w:name="restricción-tecnológica"/>
      <w:r>
        <w:t xml:space="preserve">Restricción tecnológica</w:t>
      </w:r>
      <w:bookmarkEnd w:id="34"/>
    </w:p>
    <w:p>
      <w:pPr>
        <w:pStyle w:val="FirstParagraph"/>
      </w:pPr>
      <w:r>
        <w:t xml:space="preserve">La infraestructura de producción depende del proveedor cloud externo (S10). El equipo no tiene control directo sobre la infraestructura de red de UVG; las coordinaciones con el Área de TI (S4) siguen el canal C4.</w:t>
      </w:r>
    </w:p>
    <w:p>
      <w:pPr>
        <w:pStyle w:val="Heading2"/>
      </w:pPr>
      <w:bookmarkStart w:id="35" w:name="criterios-de-éxito"/>
      <w:r>
        <w:t xml:space="preserve">Criterios de éxito</w:t>
      </w:r>
      <w:bookmarkEnd w:id="35"/>
    </w:p>
    <w:p>
      <w:pPr>
        <w:numPr>
          <w:ilvl w:val="0"/>
          <w:numId w:val="1004"/>
        </w:numPr>
        <w:pStyle w:val="Compact"/>
      </w:pPr>
      <w:r>
        <w:t xml:space="preserve">El sistema pasa las pruebas de usabilidad con usuarios reales de diversificado en el sprint 8 (H6, 22 abr 2027) con una tasa de satisfacción aceptable definida con el Sponsor.</w:t>
      </w:r>
    </w:p>
    <w:p>
      <w:pPr>
        <w:numPr>
          <w:ilvl w:val="0"/>
          <w:numId w:val="1004"/>
        </w:numPr>
        <w:pStyle w:val="Compact"/>
      </w:pPr>
      <w:r>
        <w:t xml:space="preserve">El motor de recomendación produce resultados coherentes con el perfil de entrada en el 100% de los casos de prueba definidos en el DoD de EP04.</w:t>
      </w:r>
    </w:p>
    <w:p>
      <w:pPr>
        <w:numPr>
          <w:ilvl w:val="0"/>
          <w:numId w:val="1004"/>
        </w:numPr>
        <w:pStyle w:val="Compact"/>
      </w:pPr>
      <w:r>
        <w:t xml:space="preserve">El catálogo de carreras y pensum 2026 está validado y firmado por la Dirección de Admisiones antes del cierre del sprint 3.</w:t>
      </w:r>
    </w:p>
    <w:p>
      <w:pPr>
        <w:numPr>
          <w:ilvl w:val="0"/>
          <w:numId w:val="1004"/>
        </w:numPr>
        <w:pStyle w:val="Compact"/>
      </w:pPr>
      <w:r>
        <w:t xml:space="preserve">El MVP es entregado en la fecha H7 (22 abr 2027) con todas las épicas EP01–EP06 completas bajo el DoD.</w:t>
      </w:r>
    </w:p>
    <w:p>
      <w:pPr>
        <w:numPr>
          <w:ilvl w:val="0"/>
          <w:numId w:val="1004"/>
        </w:numPr>
        <w:pStyle w:val="Compact"/>
      </w:pPr>
      <w:r>
        <w:t xml:space="preserve">El Acta de Cierre es firmada por el Sponsor/Catedrático (H8) sin observaciones pendientes de alcance.</w:t>
      </w:r>
    </w:p>
    <w:p>
      <w:pPr>
        <w:numPr>
          <w:ilvl w:val="0"/>
          <w:numId w:val="1004"/>
        </w:numPr>
        <w:pStyle w:val="Compact"/>
      </w:pPr>
      <w:r>
        <w:t xml:space="preserve">La velocidad del equipo se mantiene dentro del rango planificado (no inferior a</w:t>
      </w:r>
      <w:r>
        <w:t xml:space="preserve"> </w:t>
      </w:r>
      <m:oMath>
        <m:r>
          <m:t>S</m:t>
        </m:r>
        <m:r>
          <m:t>P</m:t>
        </m:r>
        <m:r>
          <m:t>I</m:t>
        </m:r>
        <m:r>
          <m:t>≥</m:t>
        </m:r>
        <m:r>
          <m:t>0.90</m:t>
        </m:r>
      </m:oMath>
      <w:r>
        <w:t xml:space="preserve"> </w:t>
      </w:r>
      <w:r>
        <w:t xml:space="preserve">por sprint sostenido).</w:t>
      </w:r>
    </w:p>
    <w:p>
      <w:pPr>
        <w:pStyle w:val="Heading2"/>
      </w:pPr>
      <w:bookmarkStart w:id="36" w:name="marco-metodológico-integrado"/>
      <w:r>
        <w:t xml:space="preserve">Marco metodológico integrado</w:t>
      </w:r>
      <w:bookmarkEnd w:id="36"/>
    </w:p>
    <w:p>
      <w:pPr>
        <w:pStyle w:val="Heading3"/>
      </w:pPr>
      <w:bookmarkStart w:id="37" w:name="modelo-water-scrum-fall"/>
      <w:r>
        <w:t xml:space="preserve">Modelo Water-Scrum-Fall</w:t>
      </w:r>
      <w:bookmarkEnd w:id="37"/>
    </w:p>
    <w:p>
      <w:pPr>
        <w:pStyle w:val="FirstParagraph"/>
      </w:pPr>
      <w:r>
        <w:t xml:space="preserve">El proyecto adopta el modelo Water-Scrum-Fall porque combina la rigurosidad contractual de PMI (necesaria para un cliente institucional como UVG con un Sponsor formal) con la adaptabilidad de Scrum en la ejecución técnica. Ver documento detallado en</w:t>
      </w:r>
      <w:r>
        <w:t xml:space="preserve"> </w:t>
      </w:r>
      <w:r>
        <w:rPr>
          <w:rStyle w:val="VerbatimChar"/>
        </w:rPr>
        <w:t xml:space="preserve">pmi/water-scrum-fall.md</w:t>
      </w:r>
      <w:r>
        <w:t xml:space="preserve">.</w:t>
      </w:r>
    </w:p>
    <w:p>
      <w:pPr>
        <w:pStyle w:val="Heading3"/>
      </w:pPr>
      <w:bookmarkStart w:id="38" w:name="capas-metodológicas"/>
      <w:r>
        <w:t xml:space="preserve">Capas metodológicas</w:t>
      </w:r>
      <w:bookmarkEnd w:id="38"/>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Capa</w:t>
            </w:r>
          </w:p>
        </w:tc>
        <w:tc>
          <w:tcPr>
            <w:tcBorders>
              <w:bottom w:val="single"/>
            </w:tcBorders>
            <w:vAlign w:val="bottom"/>
            <w:shd w:val="clear" w:color="auto" w:fill="0E2841"/>
          </w:tcPr>
          <w:p>
            <w:pPr>
              <w:pStyle w:val="Compact"/>
              <w:jc w:val="left"/>
            </w:pPr>
            <w:r>
              <w:rPr>
                <w:rFonts w:ascii="Calibri" w:hAnsi="Calibri"/>
                <w:b/>
                <w:color w:val="FFFFFF"/>
                <w:sz w:val="18"/>
              </w:rPr>
              <w:t xml:space="preserve">Marco</w:t>
            </w:r>
          </w:p>
        </w:tc>
        <w:tc>
          <w:tcPr>
            <w:tcBorders>
              <w:bottom w:val="single"/>
            </w:tcBorders>
            <w:vAlign w:val="bottom"/>
            <w:shd w:val="clear" w:color="auto" w:fill="0E2841"/>
          </w:tcPr>
          <w:p>
            <w:pPr>
              <w:pStyle w:val="Compact"/>
              <w:jc w:val="left"/>
            </w:pPr>
            <w:r>
              <w:rPr>
                <w:rFonts w:ascii="Calibri" w:hAnsi="Calibri"/>
                <w:b/>
                <w:color w:val="FFFFFF"/>
                <w:sz w:val="18"/>
              </w:rPr>
              <w:t xml:space="preserve">Cuándo aplica</w:t>
            </w:r>
          </w:p>
        </w:tc>
        <w:tc>
          <w:tcPr>
            <w:tcBorders>
              <w:bottom w:val="single"/>
            </w:tcBorders>
            <w:vAlign w:val="bottom"/>
            <w:shd w:val="clear" w:color="auto" w:fill="0E2841"/>
          </w:tcPr>
          <w:p>
            <w:pPr>
              <w:pStyle w:val="Compact"/>
              <w:jc w:val="left"/>
            </w:pPr>
            <w:r>
              <w:rPr>
                <w:rFonts w:ascii="Calibri" w:hAnsi="Calibri"/>
                <w:b/>
                <w:color w:val="FFFFFF"/>
                <w:sz w:val="18"/>
              </w:rPr>
              <w:t xml:space="preserve">Para qué</w:t>
            </w:r>
          </w:p>
        </w:tc>
      </w:tr>
      <w:tr>
        <w:tc>
          <w:tcPr>
            <w:shd w:val="clear" w:color="auto" w:fill="FFFFFF"/>
          </w:tcPr>
          <w:p>
            <w:pPr>
              <w:pStyle w:val="Compact"/>
              <w:jc w:val="left"/>
            </w:pPr>
            <w:r>
              <w:rPr>
                <w:rFonts w:ascii="Calibri" w:hAnsi="Calibri"/>
                <w:sz w:val="18"/>
              </w:rPr>
              <w:t xml:space="preserve">Planificación macro</w:t>
            </w:r>
          </w:p>
        </w:tc>
        <w:tc>
          <w:tcPr>
            <w:shd w:val="clear" w:color="auto" w:fill="FFFFFF"/>
          </w:tcPr>
          <w:p>
            <w:pPr>
              <w:pStyle w:val="Compact"/>
              <w:jc w:val="left"/>
            </w:pPr>
            <w:r>
              <w:rPr>
                <w:rFonts w:ascii="Calibri" w:hAnsi="Calibri"/>
                <w:sz w:val="18"/>
              </w:rPr>
              <w:t xml:space="preserve">PMI (10 áreas)</w:t>
            </w:r>
          </w:p>
        </w:tc>
        <w:tc>
          <w:tcPr>
            <w:shd w:val="clear" w:color="auto" w:fill="FFFFFF"/>
          </w:tcPr>
          <w:p>
            <w:pPr>
              <w:pStyle w:val="Compact"/>
              <w:jc w:val="left"/>
            </w:pPr>
            <w:r>
              <w:rPr>
                <w:rFonts w:ascii="Calibri" w:hAnsi="Calibri"/>
                <w:sz w:val="18"/>
              </w:rPr>
              <w:t xml:space="preserve">Fase 1 (mar–dic 2026)</w:t>
            </w:r>
          </w:p>
        </w:tc>
        <w:tc>
          <w:tcPr>
            <w:shd w:val="clear" w:color="auto" w:fill="FFFFFF"/>
          </w:tcPr>
          <w:p>
            <w:pPr>
              <w:pStyle w:val="Compact"/>
              <w:jc w:val="left"/>
            </w:pPr>
            <w:r>
              <w:rPr>
                <w:rFonts w:ascii="Calibri" w:hAnsi="Calibri"/>
                <w:sz w:val="18"/>
              </w:rPr>
              <w:t xml:space="preserve">Charter, WBS, plan de riesgos, comunicaciones, adquisiciones</w:t>
            </w:r>
          </w:p>
        </w:tc>
      </w:tr>
      <w:tr>
        <w:tc>
          <w:tcPr>
            <w:shd w:val="clear" w:color="auto" w:fill="E8E8E8"/>
          </w:tcPr>
          <w:p>
            <w:pPr>
              <w:pStyle w:val="Compact"/>
              <w:jc w:val="left"/>
            </w:pPr>
            <w:r>
              <w:rPr>
                <w:rFonts w:ascii="Calibri" w:hAnsi="Calibri"/>
                <w:sz w:val="18"/>
              </w:rPr>
              <w:t xml:space="preserve">Ejecución iterativa</w:t>
            </w:r>
          </w:p>
        </w:tc>
        <w:tc>
          <w:tcPr>
            <w:shd w:val="clear" w:color="auto" w:fill="E8E8E8"/>
          </w:tcPr>
          <w:p>
            <w:pPr>
              <w:pStyle w:val="Compact"/>
              <w:jc w:val="left"/>
            </w:pPr>
            <w:r>
              <w:rPr>
                <w:rFonts w:ascii="Calibri" w:hAnsi="Calibri"/>
                <w:sz w:val="18"/>
              </w:rPr>
              <w:t xml:space="preserve">Scrum</w:t>
            </w:r>
          </w:p>
        </w:tc>
        <w:tc>
          <w:tcPr>
            <w:shd w:val="clear" w:color="auto" w:fill="E8E8E8"/>
          </w:tcPr>
          <w:p>
            <w:pPr>
              <w:pStyle w:val="Compact"/>
              <w:jc w:val="left"/>
            </w:pPr>
            <w:r>
              <w:rPr>
                <w:rFonts w:ascii="Calibri" w:hAnsi="Calibri"/>
                <w:sz w:val="18"/>
              </w:rPr>
              <w:t xml:space="preserve">Fase 2 (ene–abr 2027)</w:t>
            </w:r>
          </w:p>
        </w:tc>
        <w:tc>
          <w:tcPr>
            <w:shd w:val="clear" w:color="auto" w:fill="E8E8E8"/>
          </w:tcPr>
          <w:p>
            <w:pPr>
              <w:pStyle w:val="Compact"/>
              <w:jc w:val="left"/>
            </w:pPr>
            <w:r>
              <w:rPr>
                <w:rFonts w:ascii="Calibri" w:hAnsi="Calibri"/>
                <w:sz w:val="18"/>
              </w:rPr>
              <w:t xml:space="preserve">Sprints, ceremonies, backlog, velocidad</w:t>
            </w:r>
          </w:p>
        </w:tc>
      </w:tr>
      <w:tr>
        <w:tc>
          <w:tcPr>
            <w:shd w:val="clear" w:color="auto" w:fill="FFFFFF"/>
          </w:tcPr>
          <w:p>
            <w:pPr>
              <w:pStyle w:val="Compact"/>
              <w:jc w:val="left"/>
            </w:pPr>
            <w:r>
              <w:rPr>
                <w:rFonts w:ascii="Calibri" w:hAnsi="Calibri"/>
                <w:sz w:val="18"/>
              </w:rPr>
              <w:t xml:space="preserve">Gestión de flujo diario</w:t>
            </w:r>
          </w:p>
        </w:tc>
        <w:tc>
          <w:tcPr>
            <w:shd w:val="clear" w:color="auto" w:fill="FFFFFF"/>
          </w:tcPr>
          <w:p>
            <w:pPr>
              <w:pStyle w:val="Compact"/>
              <w:jc w:val="left"/>
            </w:pPr>
            <w:r>
              <w:rPr>
                <w:rFonts w:ascii="Calibri" w:hAnsi="Calibri"/>
                <w:sz w:val="18"/>
              </w:rPr>
              <w:t xml:space="preserve">Kanban / Scrumban</w:t>
            </w:r>
          </w:p>
        </w:tc>
        <w:tc>
          <w:tcPr>
            <w:shd w:val="clear" w:color="auto" w:fill="FFFFFF"/>
          </w:tcPr>
          <w:p>
            <w:pPr>
              <w:pStyle w:val="Compact"/>
              <w:jc w:val="left"/>
            </w:pPr>
            <w:r>
              <w:rPr>
                <w:rFonts w:ascii="Calibri" w:hAnsi="Calibri"/>
                <w:sz w:val="18"/>
              </w:rPr>
              <w:t xml:space="preserve">Durante sprints</w:t>
            </w:r>
          </w:p>
        </w:tc>
        <w:tc>
          <w:tcPr>
            <w:shd w:val="clear" w:color="auto" w:fill="FFFFFF"/>
          </w:tcPr>
          <w:p>
            <w:pPr>
              <w:pStyle w:val="Compact"/>
              <w:jc w:val="left"/>
            </w:pPr>
            <w:r>
              <w:rPr>
                <w:rFonts w:ascii="Calibri" w:hAnsi="Calibri"/>
                <w:sz w:val="18"/>
              </w:rPr>
              <w:t xml:space="preserve">Tablero visual, WIP limits, cycle time</w:t>
            </w:r>
          </w:p>
        </w:tc>
      </w:tr>
      <w:tr>
        <w:tc>
          <w:tcPr>
            <w:shd w:val="clear" w:color="auto" w:fill="E8E8E8"/>
          </w:tcPr>
          <w:p>
            <w:pPr>
              <w:pStyle w:val="Compact"/>
              <w:jc w:val="left"/>
            </w:pPr>
            <w:r>
              <w:rPr>
                <w:rFonts w:ascii="Calibri" w:hAnsi="Calibri"/>
                <w:sz w:val="18"/>
              </w:rPr>
              <w:t xml:space="preserve">Calidad técnica</w:t>
            </w:r>
          </w:p>
        </w:tc>
        <w:tc>
          <w:tcPr>
            <w:shd w:val="clear" w:color="auto" w:fill="E8E8E8"/>
          </w:tcPr>
          <w:p>
            <w:pPr>
              <w:pStyle w:val="Compact"/>
              <w:jc w:val="left"/>
            </w:pPr>
            <w:r>
              <w:rPr>
                <w:rFonts w:ascii="Calibri" w:hAnsi="Calibri"/>
                <w:sz w:val="18"/>
              </w:rPr>
              <w:t xml:space="preserve">XP (prácticas seleccionadas)</w:t>
            </w:r>
          </w:p>
        </w:tc>
        <w:tc>
          <w:tcPr>
            <w:shd w:val="clear" w:color="auto" w:fill="E8E8E8"/>
          </w:tcPr>
          <w:p>
            <w:pPr>
              <w:pStyle w:val="Compact"/>
              <w:jc w:val="left"/>
            </w:pPr>
            <w:r>
              <w:rPr>
                <w:rFonts w:ascii="Calibri" w:hAnsi="Calibri"/>
                <w:sz w:val="18"/>
              </w:rPr>
              <w:t xml:space="preserve">Durante sprints</w:t>
            </w:r>
          </w:p>
        </w:tc>
        <w:tc>
          <w:tcPr>
            <w:shd w:val="clear" w:color="auto" w:fill="E8E8E8"/>
          </w:tcPr>
          <w:p>
            <w:pPr>
              <w:pStyle w:val="Compact"/>
              <w:jc w:val="left"/>
            </w:pPr>
            <w:r>
              <w:rPr>
                <w:rFonts w:ascii="Calibri" w:hAnsi="Calibri"/>
                <w:sz w:val="18"/>
              </w:rPr>
              <w:t xml:space="preserve">TDD, CI, Pair Programming, Code Review</w:t>
            </w:r>
          </w:p>
        </w:tc>
      </w:tr>
      <w:tr>
        <w:tc>
          <w:tcPr>
            <w:shd w:val="clear" w:color="auto" w:fill="FFFFFF"/>
          </w:tcPr>
          <w:p>
            <w:pPr>
              <w:pStyle w:val="Compact"/>
              <w:jc w:val="left"/>
            </w:pPr>
            <w:r>
              <w:rPr>
                <w:rFonts w:ascii="Calibri" w:hAnsi="Calibri"/>
                <w:sz w:val="18"/>
              </w:rPr>
              <w:t xml:space="preserve">Cierre formal</w:t>
            </w:r>
          </w:p>
        </w:tc>
        <w:tc>
          <w:tcPr>
            <w:shd w:val="clear" w:color="auto" w:fill="FFFFFF"/>
          </w:tcPr>
          <w:p>
            <w:pPr>
              <w:pStyle w:val="Compact"/>
              <w:jc w:val="left"/>
            </w:pPr>
            <w:r>
              <w:rPr>
                <w:rFonts w:ascii="Calibri" w:hAnsi="Calibri"/>
                <w:sz w:val="18"/>
              </w:rPr>
              <w:t xml:space="preserve">PMI</w:t>
            </w:r>
          </w:p>
        </w:tc>
        <w:tc>
          <w:tcPr>
            <w:shd w:val="clear" w:color="auto" w:fill="FFFFFF"/>
          </w:tcPr>
          <w:p>
            <w:pPr>
              <w:pStyle w:val="Compact"/>
              <w:jc w:val="left"/>
            </w:pPr>
            <w:r>
              <w:rPr>
                <w:rFonts w:ascii="Calibri" w:hAnsi="Calibri"/>
                <w:sz w:val="18"/>
              </w:rPr>
              <w:t xml:space="preserve">Fase 3 (abr–may 2027)</w:t>
            </w:r>
          </w:p>
        </w:tc>
        <w:tc>
          <w:tcPr>
            <w:shd w:val="clear" w:color="auto" w:fill="FFFFFF"/>
          </w:tcPr>
          <w:p>
            <w:pPr>
              <w:pStyle w:val="Compact"/>
              <w:jc w:val="left"/>
            </w:pPr>
            <w:r>
              <w:rPr>
                <w:rFonts w:ascii="Calibri" w:hAnsi="Calibri"/>
                <w:sz w:val="18"/>
              </w:rPr>
              <w:t xml:space="preserve">EVM, lecciones aprendidas, Acta de Cierre</w:t>
            </w:r>
          </w:p>
        </w:tc>
      </w:tr>
    </w:tbl>
    <w:p>
      <w:pPr>
        <w:pStyle w:val="Heading3"/>
      </w:pPr>
      <w:bookmarkStart w:id="39" w:name="X6c615baa5eb5a9946cd7c4341a938feccc510eb"/>
      <w:r>
        <w:t xml:space="preserve">Nota sobre la columna Code Review en el tablero Kanban/Scrumban</w:t>
      </w:r>
      <w:bookmarkEnd w:id="39"/>
    </w:p>
    <w:p>
      <w:pPr>
        <w:pStyle w:val="FirstParagraph"/>
      </w:pPr>
      <w:r>
        <w:t xml:space="preserve">Cuando se incorporan prácticas XP (Pair Programming y TDD) en el tablero Kanban/Scrumban, se agrega una columna</w:t>
      </w:r>
      <w:r>
        <w:t xml:space="preserve"> </w:t>
      </w:r>
      <w:r>
        <w:t xml:space="preserve">“</w:t>
      </w:r>
      <w:r>
        <w:t xml:space="preserve">Code Review</w:t>
      </w:r>
      <w:r>
        <w:t xml:space="preserve">”</w:t>
      </w:r>
      <w:r>
        <w:t xml:space="preserve"> </w:t>
      </w:r>
      <w:r>
        <w:t xml:space="preserve">entre Testing y Review. Esta columna materializa el criterio XP de revisión por pares antes de que la tarea pase a validación funcional. El efecto es un aumento estimado de +1 día al Cycle Time por tarea (de 5.13 días promedio a ~6.13 días promedio). Esto no es un defecto del tablero sino un control de calidad explícito: la columna hace visible el paso de revisión técnica que sin XP quedaría implícito o se omitiría bajo presión de velocidad.</w:t>
      </w:r>
    </w:p>
    <w:p>
      <w:pPr>
        <w:pStyle w:val="Heading2"/>
      </w:pPr>
      <w:bookmarkStart w:id="40" w:name="wbs-edt-3-niveles"/>
      <w:r>
        <w:t xml:space="preserve">WBS / EDT — 3 niveles</w:t>
      </w:r>
      <w:bookmarkEnd w:id="40"/>
    </w:p>
    <w:p>
      <w:pPr>
        <w:pStyle w:val="FirstParagraph"/>
      </w:pPr>
      <w:r>
        <w:t xml:space="preserve">La descomposición del trabajo sigue tres niveles equivalentes a una WBS formal. En un proyecto con backlog ágil, las épicas, historias de usuario y tareas técnicas cumplen la función estructural de la WBS PMI.</w:t>
      </w:r>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Nivel</w:t>
            </w:r>
          </w:p>
        </w:tc>
        <w:tc>
          <w:tcPr>
            <w:tcBorders>
              <w:bottom w:val="single"/>
            </w:tcBorders>
            <w:vAlign w:val="bottom"/>
            <w:shd w:val="clear" w:color="auto" w:fill="0E2841"/>
          </w:tcPr>
          <w:p>
            <w:pPr>
              <w:pStyle w:val="Compact"/>
              <w:jc w:val="left"/>
            </w:pPr>
            <w:r>
              <w:rPr>
                <w:rFonts w:ascii="Calibri" w:hAnsi="Calibri"/>
                <w:b/>
                <w:color w:val="FFFFFF"/>
                <w:sz w:val="18"/>
              </w:rPr>
              <w:t xml:space="preserve">Elemento</w:t>
            </w:r>
          </w:p>
        </w:tc>
        <w:tc>
          <w:tcPr>
            <w:tcBorders>
              <w:bottom w:val="single"/>
            </w:tcBorders>
            <w:vAlign w:val="bottom"/>
            <w:shd w:val="clear" w:color="auto" w:fill="0E2841"/>
          </w:tcPr>
          <w:p>
            <w:pPr>
              <w:pStyle w:val="Compact"/>
              <w:jc w:val="left"/>
            </w:pPr>
            <w:r>
              <w:rPr>
                <w:rFonts w:ascii="Calibri" w:hAnsi="Calibri"/>
                <w:b/>
                <w:color w:val="FFFFFF"/>
                <w:sz w:val="18"/>
              </w:rPr>
              <w:t xml:space="preserve">Cantidad</w:t>
            </w:r>
          </w:p>
        </w:tc>
      </w:tr>
      <w:tr>
        <w:tc>
          <w:tcPr>
            <w:shd w:val="clear" w:color="auto" w:fill="FFFFFF"/>
          </w:tcPr>
          <w:p>
            <w:pPr>
              <w:pStyle w:val="Compact"/>
              <w:jc w:val="left"/>
            </w:pPr>
            <w:r>
              <w:rPr>
                <w:rFonts w:ascii="Calibri" w:hAnsi="Calibri"/>
                <w:sz w:val="18"/>
              </w:rPr>
              <w:t xml:space="preserve">Nivel 1</w:t>
            </w:r>
          </w:p>
        </w:tc>
        <w:tc>
          <w:tcPr>
            <w:shd w:val="clear" w:color="auto" w:fill="FFFFFF"/>
          </w:tcPr>
          <w:p>
            <w:pPr>
              <w:pStyle w:val="Compact"/>
              <w:jc w:val="left"/>
            </w:pPr>
            <w:r>
              <w:rPr>
                <w:rFonts w:ascii="Calibri" w:hAnsi="Calibri"/>
                <w:sz w:val="18"/>
              </w:rPr>
              <w:t xml:space="preserve">Épicas</w:t>
            </w:r>
          </w:p>
        </w:tc>
        <w:tc>
          <w:tcPr>
            <w:shd w:val="clear" w:color="auto" w:fill="FFFFFF"/>
          </w:tcPr>
          <w:p>
            <w:pPr>
              <w:pStyle w:val="Compact"/>
              <w:jc w:val="left"/>
            </w:pPr>
            <w:r>
              <w:rPr>
                <w:rFonts w:ascii="Calibri" w:hAnsi="Calibri"/>
                <w:sz w:val="18"/>
              </w:rPr>
              <w:t xml:space="preserve">6</w:t>
            </w:r>
          </w:p>
        </w:tc>
      </w:tr>
      <w:tr>
        <w:tc>
          <w:tcPr>
            <w:shd w:val="clear" w:color="auto" w:fill="E8E8E8"/>
          </w:tcPr>
          <w:p>
            <w:pPr>
              <w:pStyle w:val="Compact"/>
              <w:jc w:val="left"/>
            </w:pPr>
            <w:r>
              <w:rPr>
                <w:rFonts w:ascii="Calibri" w:hAnsi="Calibri"/>
                <w:sz w:val="18"/>
              </w:rPr>
              <w:t xml:space="preserve">Nivel 2</w:t>
            </w:r>
          </w:p>
        </w:tc>
        <w:tc>
          <w:tcPr>
            <w:shd w:val="clear" w:color="auto" w:fill="E8E8E8"/>
          </w:tcPr>
          <w:p>
            <w:pPr>
              <w:pStyle w:val="Compact"/>
              <w:jc w:val="left"/>
            </w:pPr>
            <w:r>
              <w:rPr>
                <w:rFonts w:ascii="Calibri" w:hAnsi="Calibri"/>
                <w:sz w:val="18"/>
              </w:rPr>
              <w:t xml:space="preserve">Historias de usuario (por épica)</w:t>
            </w:r>
          </w:p>
        </w:tc>
        <w:tc>
          <w:tcPr>
            <w:shd w:val="clear" w:color="auto" w:fill="E8E8E8"/>
          </w:tcPr>
          <w:p>
            <w:pPr>
              <w:pStyle w:val="Compact"/>
              <w:jc w:val="left"/>
            </w:pPr>
            <w:r>
              <w:rPr>
                <w:rFonts w:ascii="Calibri" w:hAnsi="Calibri"/>
                <w:sz w:val="18"/>
              </w:rPr>
              <w:t xml:space="preserve">32</w:t>
            </w:r>
          </w:p>
        </w:tc>
      </w:tr>
      <w:tr>
        <w:tc>
          <w:tcPr>
            <w:shd w:val="clear" w:color="auto" w:fill="FFFFFF"/>
          </w:tcPr>
          <w:p>
            <w:pPr>
              <w:pStyle w:val="Compact"/>
              <w:jc w:val="left"/>
            </w:pPr>
            <w:r>
              <w:rPr>
                <w:rFonts w:ascii="Calibri" w:hAnsi="Calibri"/>
                <w:sz w:val="18"/>
              </w:rPr>
              <w:t xml:space="preserve">Nivel 3</w:t>
            </w:r>
          </w:p>
        </w:tc>
        <w:tc>
          <w:tcPr>
            <w:shd w:val="clear" w:color="auto" w:fill="FFFFFF"/>
          </w:tcPr>
          <w:p>
            <w:pPr>
              <w:pStyle w:val="Compact"/>
              <w:jc w:val="left"/>
            </w:pPr>
            <w:r>
              <w:rPr>
                <w:rFonts w:ascii="Calibri" w:hAnsi="Calibri"/>
                <w:sz w:val="18"/>
              </w:rPr>
              <w:t xml:space="preserve">Tareas técnicas (por historia)</w:t>
            </w:r>
          </w:p>
        </w:tc>
        <w:tc>
          <w:tcPr>
            <w:shd w:val="clear" w:color="auto" w:fill="FFFFFF"/>
          </w:tcPr>
          <w:p>
            <w:pPr>
              <w:pStyle w:val="Compact"/>
              <w:jc w:val="left"/>
            </w:pPr>
            <w:r>
              <w:rPr>
                <w:rFonts w:ascii="Calibri" w:hAnsi="Calibri"/>
                <w:sz w:val="18"/>
              </w:rPr>
              <w:t xml:space="preserve">133</w:t>
            </w:r>
          </w:p>
        </w:tc>
      </w:tr>
      <w:tr>
        <w:tc>
          <w:tcPr>
            <w:shd w:val="clear" w:color="auto" w:fill="E8E8E8"/>
          </w:tcPr>
          <w:p>
            <w:pPr>
              <w:pStyle w:val="Compact"/>
              <w:jc w:val="left"/>
            </w:pPr>
            <w:r>
              <w:rPr>
                <w:rFonts w:ascii="Calibri" w:hAnsi="Calibri"/>
                <w:sz w:val="18"/>
              </w:rPr>
              <w:t xml:space="preserve">Referencia</w:t>
            </w:r>
          </w:p>
        </w:tc>
        <w:tc>
          <w:tcPr>
            <w:shd w:val="clear" w:color="auto" w:fill="E8E8E8"/>
          </w:tcPr>
          <w:p>
            <w:pPr>
              <w:pStyle w:val="Compact"/>
              <w:jc w:val="left"/>
            </w:pPr>
            <w:r>
              <w:rPr>
                <w:rFonts w:ascii="Calibri" w:hAnsi="Calibri"/>
                <w:sz w:val="18"/>
              </w:rPr>
              <w:t xml:space="preserve">Story points totales</w:t>
            </w:r>
          </w:p>
        </w:tc>
        <w:tc>
          <w:tcPr>
            <w:shd w:val="clear" w:color="auto" w:fill="E8E8E8"/>
          </w:tcPr>
          <w:p>
            <w:pPr>
              <w:pStyle w:val="Compact"/>
              <w:jc w:val="left"/>
            </w:pPr>
            <w:r>
              <w:rPr>
                <w:rFonts w:ascii="Calibri" w:hAnsi="Calibri"/>
                <w:sz w:val="18"/>
              </w:rPr>
              <w:t xml:space="preserve">121</w:t>
            </w:r>
          </w:p>
        </w:tc>
      </w:tr>
      <w:tr>
        <w:tc>
          <w:tcPr>
            <w:shd w:val="clear" w:color="auto" w:fill="FFFFFF"/>
          </w:tcPr>
          <w:p>
            <w:pPr>
              <w:pStyle w:val="Compact"/>
              <w:jc w:val="left"/>
            </w:pPr>
            <w:r>
              <w:rPr>
                <w:rFonts w:ascii="Calibri" w:hAnsi="Calibri"/>
                <w:sz w:val="18"/>
              </w:rPr>
              <w:t xml:space="preserve">Referencia</w:t>
            </w:r>
          </w:p>
        </w:tc>
        <w:tc>
          <w:tcPr>
            <w:shd w:val="clear" w:color="auto" w:fill="FFFFFF"/>
          </w:tcPr>
          <w:p>
            <w:pPr>
              <w:pStyle w:val="Compact"/>
              <w:jc w:val="left"/>
            </w:pPr>
            <w:r>
              <w:rPr>
                <w:rFonts w:ascii="Calibri" w:hAnsi="Calibri"/>
                <w:sz w:val="18"/>
              </w:rPr>
              <w:t xml:space="preserve">Días-tarea totales</w:t>
            </w:r>
          </w:p>
        </w:tc>
        <w:tc>
          <w:tcPr>
            <w:shd w:val="clear" w:color="auto" w:fill="FFFFFF"/>
          </w:tcPr>
          <w:p>
            <w:pPr>
              <w:pStyle w:val="Compact"/>
              <w:jc w:val="left"/>
            </w:pPr>
            <w:r>
              <w:rPr>
                <w:rFonts w:ascii="Calibri" w:hAnsi="Calibri"/>
                <w:sz w:val="18"/>
              </w:rPr>
              <w:t xml:space="preserve">682</w:t>
            </w:r>
          </w:p>
        </w:tc>
      </w:tr>
    </w:tbl>
    <w:p>
      <w:pPr>
        <w:pStyle w:val="Heading3"/>
      </w:pPr>
      <w:bookmarkStart w:id="41" w:name="desglose-por-épica"/>
      <w:r>
        <w:t xml:space="preserve">Desglose por épica</w:t>
      </w:r>
      <w:bookmarkEnd w:id="41"/>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Épica</w:t>
            </w:r>
          </w:p>
        </w:tc>
        <w:tc>
          <w:tcPr>
            <w:tcBorders>
              <w:bottom w:val="single"/>
            </w:tcBorders>
            <w:vAlign w:val="bottom"/>
            <w:shd w:val="clear" w:color="auto" w:fill="0E2841"/>
          </w:tcPr>
          <w:p>
            <w:pPr>
              <w:pStyle w:val="Compact"/>
              <w:jc w:val="left"/>
            </w:pPr>
            <w:r>
              <w:rPr>
                <w:rFonts w:ascii="Calibri" w:hAnsi="Calibri"/>
                <w:b/>
                <w:color w:val="FFFFFF"/>
                <w:sz w:val="18"/>
              </w:rPr>
              <w:t xml:space="preserve">HU (Nivel 2)</w:t>
            </w:r>
          </w:p>
        </w:tc>
        <w:tc>
          <w:tcPr>
            <w:tcBorders>
              <w:bottom w:val="single"/>
            </w:tcBorders>
            <w:vAlign w:val="bottom"/>
            <w:shd w:val="clear" w:color="auto" w:fill="0E2841"/>
          </w:tcPr>
          <w:p>
            <w:pPr>
              <w:pStyle w:val="Compact"/>
              <w:jc w:val="left"/>
            </w:pPr>
            <w:r>
              <w:rPr>
                <w:rFonts w:ascii="Calibri" w:hAnsi="Calibri"/>
                <w:b/>
                <w:color w:val="FFFFFF"/>
                <w:sz w:val="18"/>
              </w:rPr>
              <w:t xml:space="preserve">SP</w:t>
            </w:r>
          </w:p>
        </w:tc>
        <w:tc>
          <w:tcPr>
            <w:tcBorders>
              <w:bottom w:val="single"/>
            </w:tcBorders>
            <w:vAlign w:val="bottom"/>
            <w:shd w:val="clear" w:color="auto" w:fill="0E2841"/>
          </w:tcPr>
          <w:p>
            <w:pPr>
              <w:pStyle w:val="Compact"/>
              <w:jc w:val="left"/>
            </w:pPr>
            <w:r>
              <w:rPr>
                <w:rFonts w:ascii="Calibri" w:hAnsi="Calibri"/>
                <w:b/>
                <w:color w:val="FFFFFF"/>
                <w:sz w:val="18"/>
              </w:rPr>
              <w:t xml:space="preserve">Tareas (Nivel 3)</w:t>
            </w:r>
          </w:p>
        </w:tc>
      </w:tr>
      <w:tr>
        <w:tc>
          <w:tcPr>
            <w:shd w:val="clear" w:color="auto" w:fill="FFFFFF"/>
          </w:tcPr>
          <w:p>
            <w:pPr>
              <w:pStyle w:val="Compact"/>
              <w:jc w:val="left"/>
            </w:pPr>
            <w:r>
              <w:rPr>
                <w:rFonts w:ascii="Calibri" w:hAnsi="Calibri"/>
                <w:sz w:val="18"/>
              </w:rPr>
              <w:t xml:space="preserve">EP01</w:t>
            </w:r>
          </w:p>
        </w:tc>
        <w:tc>
          <w:tcPr>
            <w:shd w:val="clear" w:color="auto" w:fill="FFFFFF"/>
          </w:tcPr>
          <w:p>
            <w:pPr>
              <w:pStyle w:val="Compact"/>
              <w:jc w:val="left"/>
            </w:pPr>
            <w:r>
              <w:rPr>
                <w:rFonts w:ascii="Calibri" w:hAnsi="Calibri"/>
                <w:sz w:val="18"/>
              </w:rPr>
              <w:t xml:space="preserve">Registro y perfiles</w:t>
            </w:r>
          </w:p>
        </w:tc>
        <w:tc>
          <w:tcPr>
            <w:shd w:val="clear" w:color="auto" w:fill="FFFFFF"/>
          </w:tcPr>
          <w:p>
            <w:pPr>
              <w:pStyle w:val="Compact"/>
              <w:jc w:val="left"/>
            </w:pPr>
            <w:r>
              <w:rPr>
                <w:rFonts w:ascii="Calibri" w:hAnsi="Calibri"/>
                <w:sz w:val="18"/>
              </w:rPr>
              <w:t xml:space="preserve">6</w:t>
            </w:r>
          </w:p>
        </w:tc>
        <w:tc>
          <w:tcPr>
            <w:shd w:val="clear" w:color="auto" w:fill="FFFFFF"/>
          </w:tcPr>
          <w:p>
            <w:pPr>
              <w:pStyle w:val="Compact"/>
              <w:jc w:val="left"/>
            </w:pPr>
            <w:r>
              <w:rPr>
                <w:rFonts w:ascii="Calibri" w:hAnsi="Calibri"/>
                <w:sz w:val="18"/>
              </w:rPr>
              <w:t xml:space="preserve">18</w:t>
            </w:r>
          </w:p>
        </w:tc>
        <w:tc>
          <w:tcPr>
            <w:shd w:val="clear" w:color="auto" w:fill="FFFFFF"/>
          </w:tcPr>
          <w:p>
            <w:pPr>
              <w:pStyle w:val="Compact"/>
              <w:jc w:val="left"/>
            </w:pPr>
            <w:r>
              <w:rPr>
                <w:rFonts w:ascii="Calibri" w:hAnsi="Calibri"/>
                <w:sz w:val="18"/>
              </w:rPr>
              <w:t xml:space="preserve">28</w:t>
            </w:r>
          </w:p>
        </w:tc>
      </w:tr>
      <w:tr>
        <w:tc>
          <w:tcPr>
            <w:shd w:val="clear" w:color="auto" w:fill="E8E8E8"/>
          </w:tcPr>
          <w:p>
            <w:pPr>
              <w:pStyle w:val="Compact"/>
              <w:jc w:val="left"/>
            </w:pPr>
            <w:r>
              <w:rPr>
                <w:rFonts w:ascii="Calibri" w:hAnsi="Calibri"/>
                <w:sz w:val="18"/>
              </w:rPr>
              <w:t xml:space="preserve">EP02</w:t>
            </w:r>
          </w:p>
        </w:tc>
        <w:tc>
          <w:tcPr>
            <w:shd w:val="clear" w:color="auto" w:fill="E8E8E8"/>
          </w:tcPr>
          <w:p>
            <w:pPr>
              <w:pStyle w:val="Compact"/>
              <w:jc w:val="left"/>
            </w:pPr>
            <w:r>
              <w:rPr>
                <w:rFonts w:ascii="Calibri" w:hAnsi="Calibri"/>
                <w:sz w:val="18"/>
              </w:rPr>
              <w:t xml:space="preserve">Encuesta vocacional</w:t>
            </w:r>
          </w:p>
        </w:tc>
        <w:tc>
          <w:tcPr>
            <w:shd w:val="clear" w:color="auto" w:fill="E8E8E8"/>
          </w:tcPr>
          <w:p>
            <w:pPr>
              <w:pStyle w:val="Compact"/>
              <w:jc w:val="left"/>
            </w:pPr>
            <w:r>
              <w:rPr>
                <w:rFonts w:ascii="Calibri" w:hAnsi="Calibri"/>
                <w:sz w:val="18"/>
              </w:rPr>
              <w:t xml:space="preserve">6</w:t>
            </w:r>
          </w:p>
        </w:tc>
        <w:tc>
          <w:tcPr>
            <w:shd w:val="clear" w:color="auto" w:fill="E8E8E8"/>
          </w:tcPr>
          <w:p>
            <w:pPr>
              <w:pStyle w:val="Compact"/>
              <w:jc w:val="left"/>
            </w:pPr>
            <w:r>
              <w:rPr>
                <w:rFonts w:ascii="Calibri" w:hAnsi="Calibri"/>
                <w:sz w:val="18"/>
              </w:rPr>
              <w:t xml:space="preserve">20</w:t>
            </w:r>
          </w:p>
        </w:tc>
        <w:tc>
          <w:tcPr>
            <w:shd w:val="clear" w:color="auto" w:fill="E8E8E8"/>
          </w:tcPr>
          <w:p>
            <w:pPr>
              <w:pStyle w:val="Compact"/>
              <w:jc w:val="left"/>
            </w:pPr>
            <w:r>
              <w:rPr>
                <w:rFonts w:ascii="Calibri" w:hAnsi="Calibri"/>
                <w:sz w:val="18"/>
              </w:rPr>
              <w:t xml:space="preserve">28</w:t>
            </w:r>
          </w:p>
        </w:tc>
      </w:tr>
      <w:tr>
        <w:tc>
          <w:tcPr>
            <w:shd w:val="clear" w:color="auto" w:fill="FFFFFF"/>
          </w:tcPr>
          <w:p>
            <w:pPr>
              <w:pStyle w:val="Compact"/>
              <w:jc w:val="left"/>
            </w:pPr>
            <w:r>
              <w:rPr>
                <w:rFonts w:ascii="Calibri" w:hAnsi="Calibri"/>
                <w:sz w:val="18"/>
              </w:rPr>
              <w:t xml:space="preserve">EP03</w:t>
            </w:r>
          </w:p>
        </w:tc>
        <w:tc>
          <w:tcPr>
            <w:shd w:val="clear" w:color="auto" w:fill="FFFFFF"/>
          </w:tcPr>
          <w:p>
            <w:pPr>
              <w:pStyle w:val="Compact"/>
              <w:jc w:val="left"/>
            </w:pPr>
            <w:r>
              <w:rPr>
                <w:rFonts w:ascii="Calibri" w:hAnsi="Calibri"/>
                <w:sz w:val="18"/>
              </w:rPr>
              <w:t xml:space="preserve">Carreras y pensum 2026</w:t>
            </w:r>
          </w:p>
        </w:tc>
        <w:tc>
          <w:tcPr>
            <w:shd w:val="clear" w:color="auto" w:fill="FFFFFF"/>
          </w:tcPr>
          <w:p>
            <w:pPr>
              <w:pStyle w:val="Compact"/>
              <w:jc w:val="left"/>
            </w:pPr>
            <w:r>
              <w:rPr>
                <w:rFonts w:ascii="Calibri" w:hAnsi="Calibri"/>
                <w:sz w:val="18"/>
              </w:rPr>
              <w:t xml:space="preserve">7</w:t>
            </w:r>
          </w:p>
        </w:tc>
        <w:tc>
          <w:tcPr>
            <w:shd w:val="clear" w:color="auto" w:fill="FFFFFF"/>
          </w:tcPr>
          <w:p>
            <w:pPr>
              <w:pStyle w:val="Compact"/>
              <w:jc w:val="left"/>
            </w:pPr>
            <w:r>
              <w:rPr>
                <w:rFonts w:ascii="Calibri" w:hAnsi="Calibri"/>
                <w:sz w:val="18"/>
              </w:rPr>
              <w:t xml:space="preserve">19</w:t>
            </w:r>
          </w:p>
        </w:tc>
        <w:tc>
          <w:tcPr>
            <w:shd w:val="clear" w:color="auto" w:fill="FFFFFF"/>
          </w:tcPr>
          <w:p>
            <w:pPr>
              <w:pStyle w:val="Compact"/>
              <w:jc w:val="left"/>
            </w:pPr>
            <w:r>
              <w:rPr>
                <w:rFonts w:ascii="Calibri" w:hAnsi="Calibri"/>
                <w:sz w:val="18"/>
              </w:rPr>
              <w:t xml:space="preserve">30</w:t>
            </w:r>
          </w:p>
        </w:tc>
      </w:tr>
      <w:tr>
        <w:tc>
          <w:tcPr>
            <w:shd w:val="clear" w:color="auto" w:fill="E8E8E8"/>
          </w:tcPr>
          <w:p>
            <w:pPr>
              <w:pStyle w:val="Compact"/>
              <w:jc w:val="left"/>
            </w:pPr>
            <w:r>
              <w:rPr>
                <w:rFonts w:ascii="Calibri" w:hAnsi="Calibri"/>
                <w:sz w:val="18"/>
              </w:rPr>
              <w:t xml:space="preserve">EP04</w:t>
            </w:r>
          </w:p>
        </w:tc>
        <w:tc>
          <w:tcPr>
            <w:shd w:val="clear" w:color="auto" w:fill="E8E8E8"/>
          </w:tcPr>
          <w:p>
            <w:pPr>
              <w:pStyle w:val="Compact"/>
              <w:jc w:val="left"/>
            </w:pPr>
            <w:r>
              <w:rPr>
                <w:rFonts w:ascii="Calibri" w:hAnsi="Calibri"/>
                <w:sz w:val="18"/>
              </w:rPr>
              <w:t xml:space="preserve">Motor de recomendación</w:t>
            </w:r>
          </w:p>
        </w:tc>
        <w:tc>
          <w:tcPr>
            <w:shd w:val="clear" w:color="auto" w:fill="E8E8E8"/>
          </w:tcPr>
          <w:p>
            <w:pPr>
              <w:pStyle w:val="Compact"/>
              <w:jc w:val="left"/>
            </w:pPr>
            <w:r>
              <w:rPr>
                <w:rFonts w:ascii="Calibri" w:hAnsi="Calibri"/>
                <w:sz w:val="18"/>
              </w:rPr>
              <w:t xml:space="preserve">3</w:t>
            </w:r>
          </w:p>
        </w:tc>
        <w:tc>
          <w:tcPr>
            <w:shd w:val="clear" w:color="auto" w:fill="E8E8E8"/>
          </w:tcPr>
          <w:p>
            <w:pPr>
              <w:pStyle w:val="Compact"/>
              <w:jc w:val="left"/>
            </w:pPr>
            <w:r>
              <w:rPr>
                <w:rFonts w:ascii="Calibri" w:hAnsi="Calibri"/>
                <w:sz w:val="18"/>
              </w:rPr>
              <w:t xml:space="preserve">16</w:t>
            </w:r>
          </w:p>
        </w:tc>
        <w:tc>
          <w:tcPr>
            <w:shd w:val="clear" w:color="auto" w:fill="E8E8E8"/>
          </w:tcPr>
          <w:p>
            <w:pPr>
              <w:pStyle w:val="Compact"/>
              <w:jc w:val="left"/>
            </w:pPr>
            <w:r>
              <w:rPr>
                <w:rFonts w:ascii="Calibri" w:hAnsi="Calibri"/>
                <w:sz w:val="18"/>
              </w:rPr>
              <w:t xml:space="preserve">10</w:t>
            </w:r>
          </w:p>
        </w:tc>
      </w:tr>
      <w:tr>
        <w:tc>
          <w:tcPr>
            <w:shd w:val="clear" w:color="auto" w:fill="FFFFFF"/>
          </w:tcPr>
          <w:p>
            <w:pPr>
              <w:pStyle w:val="Compact"/>
              <w:jc w:val="left"/>
            </w:pPr>
            <w:r>
              <w:rPr>
                <w:rFonts w:ascii="Calibri" w:hAnsi="Calibri"/>
                <w:sz w:val="18"/>
              </w:rPr>
              <w:t xml:space="preserve">EP05</w:t>
            </w:r>
          </w:p>
        </w:tc>
        <w:tc>
          <w:tcPr>
            <w:shd w:val="clear" w:color="auto" w:fill="FFFFFF"/>
          </w:tcPr>
          <w:p>
            <w:pPr>
              <w:pStyle w:val="Compact"/>
              <w:jc w:val="left"/>
            </w:pPr>
            <w:r>
              <w:rPr>
                <w:rFonts w:ascii="Calibri" w:hAnsi="Calibri"/>
                <w:sz w:val="18"/>
              </w:rPr>
              <w:t xml:space="preserve">Análisis y clasificación de afinidad</w:t>
            </w:r>
          </w:p>
        </w:tc>
        <w:tc>
          <w:tcPr>
            <w:shd w:val="clear" w:color="auto" w:fill="FFFFFF"/>
          </w:tcPr>
          <w:p>
            <w:pPr>
              <w:pStyle w:val="Compact"/>
              <w:jc w:val="left"/>
            </w:pPr>
            <w:r>
              <w:rPr>
                <w:rFonts w:ascii="Calibri" w:hAnsi="Calibri"/>
                <w:sz w:val="18"/>
              </w:rPr>
              <w:t xml:space="preserve">4</w:t>
            </w:r>
          </w:p>
        </w:tc>
        <w:tc>
          <w:tcPr>
            <w:shd w:val="clear" w:color="auto" w:fill="FFFFFF"/>
          </w:tcPr>
          <w:p>
            <w:pPr>
              <w:pStyle w:val="Compact"/>
              <w:jc w:val="left"/>
            </w:pPr>
            <w:r>
              <w:rPr>
                <w:rFonts w:ascii="Calibri" w:hAnsi="Calibri"/>
                <w:sz w:val="18"/>
              </w:rPr>
              <w:t xml:space="preserve">26</w:t>
            </w:r>
          </w:p>
        </w:tc>
        <w:tc>
          <w:tcPr>
            <w:shd w:val="clear" w:color="auto" w:fill="FFFFFF"/>
          </w:tcPr>
          <w:p>
            <w:pPr>
              <w:pStyle w:val="Compact"/>
              <w:jc w:val="left"/>
            </w:pPr>
            <w:r>
              <w:rPr>
                <w:rFonts w:ascii="Calibri" w:hAnsi="Calibri"/>
                <w:sz w:val="18"/>
              </w:rPr>
              <w:t xml:space="preserve">15</w:t>
            </w:r>
          </w:p>
        </w:tc>
      </w:tr>
      <w:tr>
        <w:tc>
          <w:tcPr>
            <w:shd w:val="clear" w:color="auto" w:fill="E8E8E8"/>
          </w:tcPr>
          <w:p>
            <w:pPr>
              <w:pStyle w:val="Compact"/>
              <w:jc w:val="left"/>
            </w:pPr>
            <w:r>
              <w:rPr>
                <w:rFonts w:ascii="Calibri" w:hAnsi="Calibri"/>
                <w:sz w:val="18"/>
              </w:rPr>
              <w:t xml:space="preserve">EP06</w:t>
            </w:r>
          </w:p>
        </w:tc>
        <w:tc>
          <w:tcPr>
            <w:shd w:val="clear" w:color="auto" w:fill="E8E8E8"/>
          </w:tcPr>
          <w:p>
            <w:pPr>
              <w:pStyle w:val="Compact"/>
              <w:jc w:val="left"/>
            </w:pPr>
            <w:r>
              <w:rPr>
                <w:rFonts w:ascii="Calibri" w:hAnsi="Calibri"/>
                <w:sz w:val="18"/>
              </w:rPr>
              <w:t xml:space="preserve">Panel de resultados</w:t>
            </w:r>
          </w:p>
        </w:tc>
        <w:tc>
          <w:tcPr>
            <w:shd w:val="clear" w:color="auto" w:fill="E8E8E8"/>
          </w:tcPr>
          <w:p>
            <w:pPr>
              <w:pStyle w:val="Compact"/>
              <w:jc w:val="left"/>
            </w:pPr>
            <w:r>
              <w:rPr>
                <w:rFonts w:ascii="Calibri" w:hAnsi="Calibri"/>
                <w:sz w:val="18"/>
              </w:rPr>
              <w:t xml:space="preserve">6</w:t>
            </w:r>
          </w:p>
        </w:tc>
        <w:tc>
          <w:tcPr>
            <w:shd w:val="clear" w:color="auto" w:fill="E8E8E8"/>
          </w:tcPr>
          <w:p>
            <w:pPr>
              <w:pStyle w:val="Compact"/>
              <w:jc w:val="left"/>
            </w:pPr>
            <w:r>
              <w:rPr>
                <w:rFonts w:ascii="Calibri" w:hAnsi="Calibri"/>
                <w:sz w:val="18"/>
              </w:rPr>
              <w:t xml:space="preserve">22</w:t>
            </w:r>
          </w:p>
        </w:tc>
        <w:tc>
          <w:tcPr>
            <w:shd w:val="clear" w:color="auto" w:fill="E8E8E8"/>
          </w:tcPr>
          <w:p>
            <w:pPr>
              <w:pStyle w:val="Compact"/>
              <w:jc w:val="left"/>
            </w:pPr>
            <w:r>
              <w:rPr>
                <w:rFonts w:ascii="Calibri" w:hAnsi="Calibri"/>
                <w:sz w:val="18"/>
              </w:rPr>
              <w:t xml:space="preserve">22</w:t>
            </w:r>
          </w:p>
        </w:tc>
      </w:tr>
      <w:tr>
        <w:tc>
          <w:tcPr>
            <w:shd w:val="clear" w:color="auto" w:fill="FFFFFF"/>
          </w:tcPr>
          <w:p>
            <w:pPr>
              <w:pStyle w:val="Compact"/>
              <w:jc w:val="left"/>
            </w:pPr>
            <w:r>
              <w:rPr>
                <w:rFonts w:ascii="Calibri" w:hAnsi="Calibri"/>
                <w:b/>
                <w:sz w:val="18"/>
              </w:rPr>
              <w:t xml:space="preserve">Total</w:t>
            </w:r>
          </w:p>
        </w:tc>
        <w:tc>
          <w:tcPr>
            <w:shd w:val="clear" w:color="auto" w:fill="FFFFFF"/>
          </w:tcPr>
          <w:p/>
        </w:tc>
        <w:tc>
          <w:tcPr>
            <w:shd w:val="clear" w:color="auto" w:fill="FFFFFF"/>
          </w:tcPr>
          <w:p>
            <w:pPr>
              <w:pStyle w:val="Compact"/>
              <w:jc w:val="left"/>
            </w:pPr>
            <w:r>
              <w:rPr>
                <w:rFonts w:ascii="Calibri" w:hAnsi="Calibri"/>
                <w:b/>
                <w:sz w:val="18"/>
              </w:rPr>
              <w:t xml:space="preserve">32</w:t>
            </w:r>
          </w:p>
        </w:tc>
        <w:tc>
          <w:tcPr>
            <w:shd w:val="clear" w:color="auto" w:fill="FFFFFF"/>
          </w:tcPr>
          <w:p>
            <w:pPr>
              <w:pStyle w:val="Compact"/>
              <w:jc w:val="left"/>
            </w:pPr>
            <w:r>
              <w:rPr>
                <w:rFonts w:ascii="Calibri" w:hAnsi="Calibri"/>
                <w:b/>
                <w:sz w:val="18"/>
              </w:rPr>
              <w:t xml:space="preserve">121</w:t>
            </w:r>
          </w:p>
        </w:tc>
        <w:tc>
          <w:tcPr>
            <w:shd w:val="clear" w:color="auto" w:fill="FFFFFF"/>
          </w:tcPr>
          <w:p>
            <w:pPr>
              <w:pStyle w:val="Compact"/>
              <w:jc w:val="left"/>
            </w:pPr>
            <w:r>
              <w:rPr>
                <w:rFonts w:ascii="Calibri" w:hAnsi="Calibri"/>
                <w:b/>
                <w:sz w:val="18"/>
              </w:rPr>
              <w:t xml:space="preserve">133</w:t>
            </w:r>
          </w:p>
        </w:tc>
      </w:tr>
    </w:tbl>
    <w:p>
      <w:pPr>
        <w:pStyle w:val="Heading2"/>
      </w:pPr>
      <w:bookmarkStart w:id="42" w:name="stakeholders-resumen-inicial"/>
      <w:r>
        <w:t xml:space="preserve">Stakeholders — resumen inicial</w:t>
      </w:r>
      <w:bookmarkEnd w:id="42"/>
    </w:p>
    <w:p>
      <w:pPr>
        <w:pStyle w:val="FirstParagraph"/>
      </w:pPr>
      <w:r>
        <w:t xml:space="preserve">El proyecto identifica 10 stakeholders clasificados en la Matriz Poder-Interés. Ver documento completo en</w:t>
      </w:r>
      <w:r>
        <w:t xml:space="preserve"> </w:t>
      </w:r>
      <w:r>
        <w:rPr>
          <w:rStyle w:val="VerbatimChar"/>
        </w:rPr>
        <w:t xml:space="preserve">pmi/stakeholders.md</w:t>
      </w:r>
      <w:r>
        <w:t xml:space="preserve">.</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Cuadrante</w:t>
            </w:r>
          </w:p>
        </w:tc>
        <w:tc>
          <w:tcPr>
            <w:tcBorders>
              <w:bottom w:val="single"/>
            </w:tcBorders>
            <w:vAlign w:val="bottom"/>
            <w:shd w:val="clear" w:color="auto" w:fill="0E2841"/>
          </w:tcPr>
          <w:p>
            <w:pPr>
              <w:pStyle w:val="Compact"/>
              <w:jc w:val="left"/>
            </w:pPr>
            <w:r>
              <w:rPr>
                <w:rFonts w:ascii="Calibri" w:hAnsi="Calibri"/>
                <w:b/>
                <w:color w:val="FFFFFF"/>
                <w:sz w:val="18"/>
              </w:rPr>
              <w:t xml:space="preserve">Estrategia</w:t>
            </w:r>
          </w:p>
        </w:tc>
        <w:tc>
          <w:tcPr>
            <w:tcBorders>
              <w:bottom w:val="single"/>
            </w:tcBorders>
            <w:vAlign w:val="bottom"/>
            <w:shd w:val="clear" w:color="auto" w:fill="0E2841"/>
          </w:tcPr>
          <w:p>
            <w:pPr>
              <w:pStyle w:val="Compact"/>
              <w:jc w:val="left"/>
            </w:pPr>
            <w:r>
              <w:rPr>
                <w:rFonts w:ascii="Calibri" w:hAnsi="Calibri"/>
                <w:b/>
                <w:color w:val="FFFFFF"/>
                <w:sz w:val="18"/>
              </w:rPr>
              <w:t xml:space="preserve">Stakeholders principales</w:t>
            </w:r>
          </w:p>
        </w:tc>
      </w:tr>
      <w:tr>
        <w:tc>
          <w:tcPr>
            <w:shd w:val="clear" w:color="auto" w:fill="FFFFFF"/>
          </w:tcPr>
          <w:p>
            <w:pPr>
              <w:pStyle w:val="Compact"/>
              <w:jc w:val="left"/>
            </w:pPr>
            <w:r>
              <w:rPr>
                <w:rFonts w:ascii="Calibri" w:hAnsi="Calibri"/>
                <w:sz w:val="18"/>
              </w:rPr>
              <w:t xml:space="preserve">I — Alto Poder / Alto Interés</w:t>
            </w:r>
          </w:p>
        </w:tc>
        <w:tc>
          <w:tcPr>
            <w:shd w:val="clear" w:color="auto" w:fill="FFFFFF"/>
          </w:tcPr>
          <w:p>
            <w:pPr>
              <w:pStyle w:val="Compact"/>
              <w:jc w:val="left"/>
            </w:pPr>
            <w:r>
              <w:rPr>
                <w:rFonts w:ascii="Calibri" w:hAnsi="Calibri"/>
                <w:sz w:val="18"/>
              </w:rPr>
              <w:t xml:space="preserve">Gestionar de cerca</w:t>
            </w:r>
          </w:p>
        </w:tc>
        <w:tc>
          <w:tcPr>
            <w:shd w:val="clear" w:color="auto" w:fill="FFFFFF"/>
          </w:tcPr>
          <w:p>
            <w:pPr>
              <w:pStyle w:val="Compact"/>
              <w:jc w:val="left"/>
            </w:pPr>
            <w:r>
              <w:rPr>
                <w:rFonts w:ascii="Calibri" w:hAnsi="Calibri"/>
                <w:sz w:val="18"/>
              </w:rPr>
              <w:t xml:space="preserve">S1 Marroquín (Sponsor), S2 UVG institución, S3 Admisiones, S5 PO Say, S6 SM Cordero</w:t>
            </w:r>
          </w:p>
        </w:tc>
      </w:tr>
      <w:tr>
        <w:tc>
          <w:tcPr>
            <w:shd w:val="clear" w:color="auto" w:fill="E8E8E8"/>
          </w:tcPr>
          <w:p>
            <w:pPr>
              <w:pStyle w:val="Compact"/>
              <w:jc w:val="left"/>
            </w:pPr>
            <w:r>
              <w:rPr>
                <w:rFonts w:ascii="Calibri" w:hAnsi="Calibri"/>
                <w:sz w:val="18"/>
              </w:rPr>
              <w:t xml:space="preserve">II — Alto Poder / Bajo Interés</w:t>
            </w:r>
          </w:p>
        </w:tc>
        <w:tc>
          <w:tcPr>
            <w:shd w:val="clear" w:color="auto" w:fill="E8E8E8"/>
          </w:tcPr>
          <w:p>
            <w:pPr>
              <w:pStyle w:val="Compact"/>
              <w:jc w:val="left"/>
            </w:pPr>
            <w:r>
              <w:rPr>
                <w:rFonts w:ascii="Calibri" w:hAnsi="Calibri"/>
                <w:sz w:val="18"/>
              </w:rPr>
              <w:t xml:space="preserve">Mantener satisfecho</w:t>
            </w:r>
          </w:p>
        </w:tc>
        <w:tc>
          <w:tcPr>
            <w:shd w:val="clear" w:color="auto" w:fill="E8E8E8"/>
          </w:tcPr>
          <w:p>
            <w:pPr>
              <w:pStyle w:val="Compact"/>
              <w:jc w:val="left"/>
            </w:pPr>
            <w:r>
              <w:rPr>
                <w:rFonts w:ascii="Calibri" w:hAnsi="Calibri"/>
                <w:sz w:val="18"/>
              </w:rPr>
              <w:t xml:space="preserve">S4 Área de TI UVG</w:t>
            </w:r>
          </w:p>
        </w:tc>
      </w:tr>
      <w:tr>
        <w:tc>
          <w:tcPr>
            <w:shd w:val="clear" w:color="auto" w:fill="FFFFFF"/>
          </w:tcPr>
          <w:p>
            <w:pPr>
              <w:pStyle w:val="Compact"/>
              <w:jc w:val="left"/>
            </w:pPr>
            <w:r>
              <w:rPr>
                <w:rFonts w:ascii="Calibri" w:hAnsi="Calibri"/>
                <w:sz w:val="18"/>
              </w:rPr>
              <w:t xml:space="preserve">III — Bajo Poder / Alto Interés</w:t>
            </w:r>
          </w:p>
        </w:tc>
        <w:tc>
          <w:tcPr>
            <w:shd w:val="clear" w:color="auto" w:fill="FFFFFF"/>
          </w:tcPr>
          <w:p>
            <w:pPr>
              <w:pStyle w:val="Compact"/>
              <w:jc w:val="left"/>
            </w:pPr>
            <w:r>
              <w:rPr>
                <w:rFonts w:ascii="Calibri" w:hAnsi="Calibri"/>
                <w:sz w:val="18"/>
              </w:rPr>
              <w:t xml:space="preserve">Mantener informado</w:t>
            </w:r>
          </w:p>
        </w:tc>
        <w:tc>
          <w:tcPr>
            <w:shd w:val="clear" w:color="auto" w:fill="FFFFFF"/>
          </w:tcPr>
          <w:p>
            <w:pPr>
              <w:pStyle w:val="Compact"/>
              <w:jc w:val="left"/>
            </w:pPr>
            <w:r>
              <w:rPr>
                <w:rFonts w:ascii="Calibri" w:hAnsi="Calibri"/>
                <w:sz w:val="18"/>
              </w:rPr>
              <w:t xml:space="preserve">S7 Developers, S8 Estudiantes diversificado, S9 Catedráticos carreras</w:t>
            </w:r>
          </w:p>
        </w:tc>
      </w:tr>
      <w:tr>
        <w:tc>
          <w:tcPr>
            <w:shd w:val="clear" w:color="auto" w:fill="E8E8E8"/>
          </w:tcPr>
          <w:p>
            <w:pPr>
              <w:pStyle w:val="Compact"/>
              <w:jc w:val="left"/>
            </w:pPr>
            <w:r>
              <w:rPr>
                <w:rFonts w:ascii="Calibri" w:hAnsi="Calibri"/>
                <w:sz w:val="18"/>
              </w:rPr>
              <w:t xml:space="preserve">IV — Bajo Poder / Bajo Interés</w:t>
            </w:r>
          </w:p>
        </w:tc>
        <w:tc>
          <w:tcPr>
            <w:shd w:val="clear" w:color="auto" w:fill="E8E8E8"/>
          </w:tcPr>
          <w:p>
            <w:pPr>
              <w:pStyle w:val="Compact"/>
              <w:jc w:val="left"/>
            </w:pPr>
            <w:r>
              <w:rPr>
                <w:rFonts w:ascii="Calibri" w:hAnsi="Calibri"/>
                <w:sz w:val="18"/>
              </w:rPr>
              <w:t xml:space="preserve">Monitorear</w:t>
            </w:r>
          </w:p>
        </w:tc>
        <w:tc>
          <w:tcPr>
            <w:shd w:val="clear" w:color="auto" w:fill="E8E8E8"/>
          </w:tcPr>
          <w:p>
            <w:pPr>
              <w:pStyle w:val="Compact"/>
              <w:jc w:val="left"/>
            </w:pPr>
            <w:r>
              <w:rPr>
                <w:rFonts w:ascii="Calibri" w:hAnsi="Calibri"/>
                <w:sz w:val="18"/>
              </w:rPr>
              <w:t xml:space="preserve">S10 Proveedor cloud</w:t>
            </w:r>
          </w:p>
        </w:tc>
      </w:tr>
    </w:tbl>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Definición del Proyecto: Sistema de Recomendación de Ca…</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Definición del Proyecto: Sistema de Recomendación de Ca…</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SITPS-DEF-2026-01</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2026-05-18T22:26:44Z</dcterms:created>
  <dcterms:modified xsi:type="dcterms:W3CDTF">2026-05-18T22:26:44Z</dcterms:modified>
</cp:coreProperties>
</file>

<file path=docProps/custom.xml><?xml version="1.0" encoding="utf-8"?>
<Properties xmlns="http://schemas.openxmlformats.org/officeDocument/2006/custom-properties" xmlns:vt="http://schemas.openxmlformats.org/officeDocument/2006/docPropsVTypes"/>
</file>