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SITPS-DEF-2026-02</w:t>
      </w:r>
    </w:p>
    <w:p>
      <w:pPr>
        <w:spacing w:before="0" w:after="240"/>
        <w:pBdr>
          <w:bottom w:val="single" w:sz="16" w:space="1" w:color="E97132"/>
        </w:pBdr>
      </w:pPr>
    </w:p>
    <w:p>
      <w:pPr>
        <w:spacing w:before="0" w:after="200"/>
        <w:jc w:val="center"/>
      </w:pPr>
      <w:r>
        <w:rPr>
          <w:rFonts w:ascii="Calibri" w:hAnsi="Calibri"/>
          <w:b/>
          <w:color w:val="0E2841"/>
          <w:sz w:val="44"/>
        </w:rPr>
        <w:t>Exposición — Guion, glosario y términos del proyecto</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Exposición del Proyecto</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SITPS-DEF-2026-02 — v1.0</w:t>
      </w:r>
    </w:p>
    <w:p>
      <w:r>
        <w:br w:type="page"/>
      </w:r>
    </w:p>
    <w:p>
      <w:pPr>
        <w:pStyle w:val="Heading1"/>
      </w:pPr>
      <w:bookmarkStart w:id="20" w:name="Xf1cc532eee54f42b5ad83713c5f5cabaa0cf1ea"/>
      <w:r>
        <w:t xml:space="preserve">Exposición — Guion, glosario y términos del proyecto</w:t>
      </w:r>
      <w:bookmarkEnd w:id="20"/>
    </w:p>
    <w:p>
      <w:pPr>
        <w:pStyle w:val="FirstParagraph"/>
      </w:pPr>
      <w:r>
        <w:t xml:space="preserve">Documento maestro de exposición para el Sistema de Recomendación de Carrera Universitaria UVG Campus Central 2026. Reúne en un solo lugar el speech por vista del dashboard, el glosario completo (inglés y español), las fórmulas, las cifras canónicas y todos los términos que pueden surgir en preguntas del jurado.</w:t>
      </w:r>
    </w:p>
    <w:p>
      <w:pPr>
        <w:pStyle w:val="BodyText"/>
      </w:pPr>
      <w:r>
        <w:t xml:space="preserve">Fuentes:</w:t>
      </w:r>
      <w:r>
        <w:t xml:space="preserve"> </w:t>
      </w:r>
      <w:r>
        <w:rPr>
          <w:rStyle w:val="VerbatimChar"/>
        </w:rPr>
        <w:t xml:space="preserve">entrega/</w:t>
      </w:r>
      <w:r>
        <w:t xml:space="preserve"> </w:t>
      </w:r>
      <w:r>
        <w:t xml:space="preserve">y</w:t>
      </w:r>
      <w:r>
        <w:t xml:space="preserve"> </w:t>
      </w:r>
      <w:r>
        <w:rPr>
          <w:rStyle w:val="VerbatimChar"/>
        </w:rPr>
        <w:t xml:space="preserve">UVG-Admon-TI-Costos-Unificado.xlsx</w:t>
      </w:r>
      <w:r>
        <w:t xml:space="preserve">.</w:t>
      </w:r>
    </w:p>
    <w:p>
      <w:pPr>
        <w:pStyle w:val="Heading2"/>
      </w:pPr>
      <w:bookmarkStart w:id="21" w:name="índice"/>
      <w:r>
        <w:t xml:space="preserve">Índice</w:t>
      </w:r>
      <w:bookmarkEnd w:id="21"/>
    </w:p>
    <w:p>
      <w:pPr>
        <w:numPr>
          <w:ilvl w:val="0"/>
          <w:numId w:val="1001"/>
        </w:numPr>
        <w:pStyle w:val="Compact"/>
      </w:pPr>
      <w:r>
        <w:t xml:space="preserve">Apertura del proyecto</w:t>
      </w:r>
    </w:p>
    <w:p>
      <w:pPr>
        <w:numPr>
          <w:ilvl w:val="0"/>
          <w:numId w:val="1001"/>
        </w:numPr>
        <w:pStyle w:val="Compact"/>
      </w:pPr>
      <w:r>
        <w:t xml:space="preserve">Speech por vista del dashboard (7 vistas)</w:t>
      </w:r>
    </w:p>
    <w:p>
      <w:pPr>
        <w:numPr>
          <w:ilvl w:val="0"/>
          <w:numId w:val="1001"/>
        </w:numPr>
        <w:pStyle w:val="Compact"/>
      </w:pPr>
      <w:r>
        <w:t xml:space="preserve">Glosario por familia metodológica (Scrum, Kanban, Scrumban, XP, PMI/PMBOK, Financiero)</w:t>
      </w:r>
    </w:p>
    <w:p>
      <w:pPr>
        <w:numPr>
          <w:ilvl w:val="0"/>
          <w:numId w:val="1001"/>
        </w:numPr>
        <w:pStyle w:val="Compact"/>
      </w:pPr>
      <w:r>
        <w:t xml:space="preserve">Tabla maestra de siglas y acrónimos (inglés / español)</w:t>
      </w:r>
    </w:p>
    <w:p>
      <w:pPr>
        <w:numPr>
          <w:ilvl w:val="0"/>
          <w:numId w:val="1001"/>
        </w:numPr>
        <w:pStyle w:val="Compact"/>
      </w:pPr>
      <w:r>
        <w:t xml:space="preserve">Cifras canónicas para defender en preguntas</w:t>
      </w:r>
    </w:p>
    <w:p>
      <w:pPr>
        <w:numPr>
          <w:ilvl w:val="0"/>
          <w:numId w:val="1001"/>
        </w:numPr>
        <w:pStyle w:val="Compact"/>
      </w:pPr>
      <w:r>
        <w:t xml:space="preserve">Fórmulas que debes poder escribir en pizarra</w:t>
      </w:r>
    </w:p>
    <w:p>
      <w:pPr>
        <w:numPr>
          <w:ilvl w:val="0"/>
          <w:numId w:val="1001"/>
        </w:numPr>
        <w:pStyle w:val="Compact"/>
      </w:pPr>
      <w:r>
        <w:t xml:space="preserve">Banco de preguntas anticipadas</w:t>
      </w:r>
    </w:p>
    <w:p>
      <w:pPr>
        <w:pStyle w:val="Heading2"/>
      </w:pPr>
      <w:bookmarkStart w:id="22" w:name="apertura-del-proyecto"/>
      <w:r>
        <w:t xml:space="preserve">Apertura del proyecto</w:t>
      </w:r>
      <w:bookmarkEnd w:id="22"/>
    </w:p>
    <w:p>
      <w:pPr>
        <w:pStyle w:val="Heading3"/>
      </w:pPr>
      <w:bookmarkStart w:id="23" w:name="pitch-en-una-frase"/>
      <w:r>
        <w:t xml:space="preserve">Pitch en una frase</w:t>
      </w:r>
      <w:bookmarkEnd w:id="23"/>
    </w:p>
    <w:p>
      <w:pPr>
        <w:pStyle w:val="FirstParagraph"/>
      </w:pPr>
      <w:r>
        <w:t xml:space="preserve">Plataforma web que evalúa habilidades, intereses y personalidad de estudiantes de diversificado para entregarles un ranking personalizado de carreras del pensum UVG 2026, soportada por un motor de recomendación basado en datos.</w:t>
      </w:r>
    </w:p>
    <w:p>
      <w:pPr>
        <w:pStyle w:val="Heading3"/>
      </w:pPr>
      <w:bookmarkStart w:id="24" w:name="datos-de-contexto"/>
      <w:r>
        <w:t xml:space="preserve">Datos de contexto</w:t>
      </w:r>
      <w:bookmarkEnd w:id="24"/>
    </w:p>
    <w:p>
      <w:pPr>
        <w:numPr>
          <w:ilvl w:val="0"/>
          <w:numId w:val="1002"/>
        </w:numPr>
        <w:pStyle w:val="Compact"/>
      </w:pPr>
      <w:r>
        <w:t xml:space="preserve">Cliente: Universidad del Valle de Guatemala — Campus Central</w:t>
      </w:r>
    </w:p>
    <w:p>
      <w:pPr>
        <w:numPr>
          <w:ilvl w:val="0"/>
          <w:numId w:val="1002"/>
        </w:numPr>
        <w:pStyle w:val="Compact"/>
      </w:pPr>
      <w:r>
        <w:t xml:space="preserve">Sponsor / Catedrático: Marroquín</w:t>
      </w:r>
    </w:p>
    <w:p>
      <w:pPr>
        <w:numPr>
          <w:ilvl w:val="0"/>
          <w:numId w:val="1002"/>
        </w:numPr>
        <w:pStyle w:val="Compact"/>
      </w:pPr>
      <w:r>
        <w:t xml:space="preserve">Equipo del proveedor: 6 personas para la metodología elegida (Scrumban + XP)</w:t>
      </w:r>
    </w:p>
    <w:p>
      <w:pPr>
        <w:numPr>
          <w:ilvl w:val="0"/>
          <w:numId w:val="1002"/>
        </w:numPr>
        <w:pStyle w:val="Compact"/>
      </w:pPr>
      <w:r>
        <w:t xml:space="preserve">Duración de ejecución: 1 enero 2027 a 22 abril 2027 (8 sprints, 80 días hábiles)</w:t>
      </w:r>
    </w:p>
    <w:p>
      <w:pPr>
        <w:numPr>
          <w:ilvl w:val="0"/>
          <w:numId w:val="1002"/>
        </w:numPr>
        <w:pStyle w:val="Compact"/>
      </w:pPr>
      <w:r>
        <w:t xml:space="preserve">Metodología elegida: Scrumban + XP</w:t>
      </w:r>
    </w:p>
    <w:p>
      <w:pPr>
        <w:numPr>
          <w:ilvl w:val="0"/>
          <w:numId w:val="1002"/>
        </w:numPr>
        <w:pStyle w:val="Compact"/>
      </w:pPr>
      <w:r>
        <w:t xml:space="preserve">Inversión: Q 528,871.80</w:t>
      </w:r>
    </w:p>
    <w:p>
      <w:pPr>
        <w:numPr>
          <w:ilvl w:val="0"/>
          <w:numId w:val="1002"/>
        </w:numPr>
        <w:pStyle w:val="Compact"/>
      </w:pPr>
      <w:r>
        <w:t xml:space="preserve">Precio cliente: Q 814,000</w:t>
      </w:r>
    </w:p>
    <w:p>
      <w:pPr>
        <w:numPr>
          <w:ilvl w:val="0"/>
          <w:numId w:val="1002"/>
        </w:numPr>
        <w:pStyle w:val="Compact"/>
      </w:pPr>
      <w:r>
        <w:t xml:space="preserve">ROI: 53.85% (sobre TMAR 35% → proyecto viable)</w:t>
      </w:r>
    </w:p>
    <w:p>
      <w:pPr>
        <w:pStyle w:val="Heading3"/>
      </w:pPr>
      <w:bookmarkStart w:id="25" w:name="stack-metodológico-de-base-a-cima"/>
      <w:r>
        <w:t xml:space="preserve">Stack metodológico (de base a cima)</w:t>
      </w:r>
      <w:bookmarkEnd w:id="25"/>
    </w:p>
    <w:p>
      <w:pPr>
        <w:numPr>
          <w:ilvl w:val="0"/>
          <w:numId w:val="1003"/>
        </w:numPr>
        <w:pStyle w:val="Compact"/>
      </w:pPr>
      <w:r>
        <w:t xml:space="preserve">PMI / PMBOK — gobierno, EVM, control de cambios, comunicaciones</w:t>
      </w:r>
    </w:p>
    <w:p>
      <w:pPr>
        <w:numPr>
          <w:ilvl w:val="0"/>
          <w:numId w:val="1003"/>
        </w:numPr>
        <w:pStyle w:val="Compact"/>
      </w:pPr>
      <w:r>
        <w:t xml:space="preserve">Water-Scrum-Fall — modelo macro contractual: planificación → ejecución ágil → cierre</w:t>
      </w:r>
    </w:p>
    <w:p>
      <w:pPr>
        <w:numPr>
          <w:ilvl w:val="0"/>
          <w:numId w:val="1003"/>
        </w:numPr>
        <w:pStyle w:val="Compact"/>
      </w:pPr>
      <w:r>
        <w:t xml:space="preserve">Scrum — cadencia: 8 sprints de 2 semanas, ceremonias, roles</w:t>
      </w:r>
    </w:p>
    <w:p>
      <w:pPr>
        <w:numPr>
          <w:ilvl w:val="0"/>
          <w:numId w:val="1003"/>
        </w:numPr>
        <w:pStyle w:val="Compact"/>
      </w:pPr>
      <w:r>
        <w:t xml:space="preserve">Kanban — visualización del flujo y límites WIP</w:t>
      </w:r>
    </w:p>
    <w:p>
      <w:pPr>
        <w:numPr>
          <w:ilvl w:val="0"/>
          <w:numId w:val="1003"/>
        </w:numPr>
        <w:pStyle w:val="Compact"/>
      </w:pPr>
      <w:r>
        <w:t xml:space="preserve">Scrumban — híbrido formal: BID 80% + ROM 20%</w:t>
      </w:r>
    </w:p>
    <w:p>
      <w:pPr>
        <w:numPr>
          <w:ilvl w:val="0"/>
          <w:numId w:val="1003"/>
        </w:numPr>
        <w:pStyle w:val="Compact"/>
      </w:pPr>
      <w:r>
        <w:t xml:space="preserve">XP — disciplina técnica: TDD, CI, Pair Programming, refactor</w:t>
      </w:r>
    </w:p>
    <w:p>
      <w:pPr>
        <w:pStyle w:val="Heading2"/>
      </w:pPr>
      <w:bookmarkStart w:id="26" w:name="speech-por-vista-del-dashboard"/>
      <w:r>
        <w:t xml:space="preserve">Speech por vista del dashboard</w:t>
      </w:r>
      <w:bookmarkEnd w:id="26"/>
    </w:p>
    <w:p>
      <w:pPr>
        <w:pStyle w:val="Heading3"/>
      </w:pPr>
      <w:bookmarkStart w:id="27" w:name="X21a94f3552d734a09175f09730e8547a0f1cf3c"/>
      <w:r>
        <w:t xml:space="preserve">Vista 1 — WBS (Estructura de Desglose del Trabajo)</w:t>
      </w:r>
      <w:bookmarkEnd w:id="27"/>
    </w:p>
    <w:p>
      <w:pPr>
        <w:pStyle w:val="FirstParagraph"/>
      </w:pPr>
      <w:r>
        <w:t xml:space="preserve">Propósito: mostrar la jerarquía del trabajo en tres niveles.</w:t>
      </w:r>
    </w:p>
    <w:p>
      <w:pPr>
        <w:pStyle w:val="BodyText"/>
      </w:pPr>
      <w:r>
        <w:t xml:space="preserve">Qué decir:</w:t>
      </w:r>
    </w:p>
    <w:p>
      <w:pPr>
        <w:numPr>
          <w:ilvl w:val="0"/>
          <w:numId w:val="1004"/>
        </w:numPr>
        <w:pStyle w:val="Compact"/>
      </w:pPr>
      <w:r>
        <w:t xml:space="preserve">WBS (Work Breakdown Structure) o EDT en español</w:t>
      </w:r>
    </w:p>
    <w:p>
      <w:pPr>
        <w:numPr>
          <w:ilvl w:val="0"/>
          <w:numId w:val="1004"/>
        </w:numPr>
        <w:pStyle w:val="Compact"/>
      </w:pPr>
      <w:r>
        <w:t xml:space="preserve">Nivel 1: producto (sistema completo)</w:t>
      </w:r>
    </w:p>
    <w:p>
      <w:pPr>
        <w:numPr>
          <w:ilvl w:val="0"/>
          <w:numId w:val="1004"/>
        </w:numPr>
        <w:pStyle w:val="Compact"/>
      </w:pPr>
      <w:r>
        <w:t xml:space="preserve">Nivel 2: 6 épicas EP01 a EP06</w:t>
      </w:r>
    </w:p>
    <w:p>
      <w:pPr>
        <w:numPr>
          <w:ilvl w:val="0"/>
          <w:numId w:val="1004"/>
        </w:numPr>
        <w:pStyle w:val="Compact"/>
      </w:pPr>
      <w:r>
        <w:t xml:space="preserve">Nivel 3: 32 historias de usuario, 121 story points en total</w:t>
      </w:r>
    </w:p>
    <w:p>
      <w:pPr>
        <w:numPr>
          <w:ilvl w:val="0"/>
          <w:numId w:val="1004"/>
        </w:numPr>
        <w:pStyle w:val="Compact"/>
      </w:pPr>
      <w:r>
        <w:t xml:space="preserve">Las HU se estiman con Fibonacci (máximo 8 SP por historia) y cumplen el criterio INVEST: Independent, Negotiable, Valuable, Estimable, Small, Testable</w:t>
      </w:r>
    </w:p>
    <w:p>
      <w:pPr>
        <w:numPr>
          <w:ilvl w:val="0"/>
          <w:numId w:val="1004"/>
        </w:numPr>
        <w:pStyle w:val="Compact"/>
      </w:pPr>
      <w:r>
        <w:t xml:space="preserve">Formato de historia:</w:t>
      </w:r>
      <w:r>
        <w:t xml:space="preserve"> </w:t>
      </w:r>
      <w:r>
        <w:t xml:space="preserve">“</w:t>
      </w:r>
      <w:r>
        <w:t xml:space="preserve">Como [rol] quiero [función] para [beneficio]</w:t>
      </w:r>
      <w:r>
        <w:t xml:space="preserve">”</w:t>
      </w:r>
    </w:p>
    <w:p>
      <w:pPr>
        <w:pStyle w:val="FirstParagraph"/>
      </w:pPr>
      <w:r>
        <w:t xml:space="preserve">Cifras a mencionar: 6 épicas, 32 HU, 121 SP.</w:t>
      </w:r>
    </w:p>
    <w:p>
      <w:pPr>
        <w:pStyle w:val="BodyText"/>
      </w:pPr>
      <w:r>
        <w:t xml:space="preserve">Épicas:</w:t>
      </w:r>
    </w:p>
    <w:p>
      <w:pPr>
        <w:numPr>
          <w:ilvl w:val="0"/>
          <w:numId w:val="1005"/>
        </w:numPr>
        <w:pStyle w:val="Compact"/>
      </w:pPr>
      <w:r>
        <w:t xml:space="preserve">EP01 Registro y perfiles (6 HU, 18 SP)</w:t>
      </w:r>
    </w:p>
    <w:p>
      <w:pPr>
        <w:numPr>
          <w:ilvl w:val="0"/>
          <w:numId w:val="1005"/>
        </w:numPr>
        <w:pStyle w:val="Compact"/>
      </w:pPr>
      <w:r>
        <w:t xml:space="preserve">EP02 Encuesta vocacional (6 HU, 20 SP)</w:t>
      </w:r>
    </w:p>
    <w:p>
      <w:pPr>
        <w:numPr>
          <w:ilvl w:val="0"/>
          <w:numId w:val="1005"/>
        </w:numPr>
        <w:pStyle w:val="Compact"/>
      </w:pPr>
      <w:r>
        <w:t xml:space="preserve">EP03 Carreras y pensum 2026 (7 HU, 19 SP)</w:t>
      </w:r>
    </w:p>
    <w:p>
      <w:pPr>
        <w:numPr>
          <w:ilvl w:val="0"/>
          <w:numId w:val="1005"/>
        </w:numPr>
        <w:pStyle w:val="Compact"/>
      </w:pPr>
      <w:r>
        <w:t xml:space="preserve">EP04 Motor de recomendación (3 HU, 16 SP)</w:t>
      </w:r>
    </w:p>
    <w:p>
      <w:pPr>
        <w:numPr>
          <w:ilvl w:val="0"/>
          <w:numId w:val="1005"/>
        </w:numPr>
        <w:pStyle w:val="Compact"/>
      </w:pPr>
      <w:r>
        <w:t xml:space="preserve">EP05 Análisis y clasificación de afinidad (4 HU, 26 SP)</w:t>
      </w:r>
    </w:p>
    <w:p>
      <w:pPr>
        <w:numPr>
          <w:ilvl w:val="0"/>
          <w:numId w:val="1005"/>
        </w:numPr>
        <w:pStyle w:val="Compact"/>
      </w:pPr>
      <w:r>
        <w:t xml:space="preserve">EP06 Panel de resultados (6 HU, 22 SP)</w:t>
      </w:r>
    </w:p>
    <w:p>
      <w:pPr>
        <w:pStyle w:val="Heading3"/>
      </w:pPr>
      <w:bookmarkStart w:id="28" w:name="vista-2-metodología"/>
      <w:r>
        <w:t xml:space="preserve">Vista 2 — Metodología</w:t>
      </w:r>
      <w:bookmarkEnd w:id="28"/>
    </w:p>
    <w:p>
      <w:pPr>
        <w:pStyle w:val="FirstParagraph"/>
      </w:pPr>
      <w:r>
        <w:t xml:space="preserve">Propósito: presentar el stack metodológico en capas y comparar las cuatro metodologías evaluadas.</w:t>
      </w:r>
    </w:p>
    <w:p>
      <w:pPr>
        <w:pStyle w:val="BodyText"/>
      </w:pPr>
      <w:r>
        <w:t xml:space="preserve">Qué decir:</w:t>
      </w:r>
    </w:p>
    <w:p>
      <w:pPr>
        <w:numPr>
          <w:ilvl w:val="0"/>
          <w:numId w:val="1006"/>
        </w:numPr>
        <w:pStyle w:val="Compact"/>
      </w:pPr>
      <w:r>
        <w:t xml:space="preserve">Cuatro metodologías evaluadas: Scrum, Kanban, Scrumban, Scrumban + XP</w:t>
      </w:r>
    </w:p>
    <w:p>
      <w:pPr>
        <w:numPr>
          <w:ilvl w:val="0"/>
          <w:numId w:val="1006"/>
        </w:numPr>
        <w:pStyle w:val="Compact"/>
      </w:pPr>
      <w:r>
        <w:t xml:space="preserve">Elegimos Scrumban + XP porque combina cadencia (Scrum), visibilidad y absorción de trabajo no planificado (Kanban) y disciplina técnica (XP)</w:t>
      </w:r>
    </w:p>
    <w:p>
      <w:pPr>
        <w:numPr>
          <w:ilvl w:val="0"/>
          <w:numId w:val="1006"/>
        </w:numPr>
        <w:pStyle w:val="Compact"/>
      </w:pPr>
      <w:r>
        <w:t xml:space="preserve">Tablero Kanban con columnas y límites WIP: Backlog → To Do (WIP 8) → In Progress (WIP 4) → Testing (WIP 4) → Code Review XP (WIP 2) → Review (WIP 2) → Done</w:t>
      </w:r>
    </w:p>
    <w:p>
      <w:pPr>
        <w:numPr>
          <w:ilvl w:val="0"/>
          <w:numId w:val="1006"/>
        </w:numPr>
        <w:pStyle w:val="Compact"/>
      </w:pPr>
      <w:r>
        <w:t xml:space="preserve">Comparativo: Scrum y Scrumban Q 820,000; Scrumban + XP Q 814,000; Kanban Q 1,577,000</w:t>
      </w:r>
    </w:p>
    <w:p>
      <w:pPr>
        <w:pStyle w:val="FirstParagraph"/>
      </w:pPr>
      <w:r>
        <w:t xml:space="preserve">Fórmulas PMI que aparecen: CPI = EV/AC, SPI = EV/PV, EAC = BAC/CPI, EMV = P × I, Reserva = Σ EMV.</w:t>
      </w:r>
    </w:p>
    <w:p>
      <w:pPr>
        <w:pStyle w:val="Heading3"/>
      </w:pPr>
      <w:bookmarkStart w:id="29" w:name="vista-3-plan-de-entrega-sprints"/>
      <w:r>
        <w:t xml:space="preserve">Vista 3 — Plan de entrega (Sprints)</w:t>
      </w:r>
      <w:bookmarkEnd w:id="29"/>
    </w:p>
    <w:p>
      <w:pPr>
        <w:pStyle w:val="FirstParagraph"/>
      </w:pPr>
      <w:r>
        <w:t xml:space="preserve">Propósito: calendario completo y Gantt micro.</w:t>
      </w:r>
    </w:p>
    <w:p>
      <w:pPr>
        <w:pStyle w:val="BodyText"/>
      </w:pPr>
      <w:r>
        <w:t xml:space="preserve">Qué decir:</w:t>
      </w:r>
    </w:p>
    <w:p>
      <w:pPr>
        <w:numPr>
          <w:ilvl w:val="0"/>
          <w:numId w:val="1007"/>
        </w:numPr>
        <w:pStyle w:val="Compact"/>
      </w:pPr>
      <w:r>
        <w:t xml:space="preserve">8 sprints, velocidad de 20 SP/sprint</w:t>
      </w:r>
    </w:p>
    <w:p>
      <w:pPr>
        <w:numPr>
          <w:ilvl w:val="0"/>
          <w:numId w:val="1007"/>
        </w:numPr>
        <w:pStyle w:val="Compact"/>
      </w:pPr>
      <w:r>
        <w:t xml:space="preserve">Sprint = 10 días hábiles = 14 días calendario (2 semanas; los 4 días extra son fines de semana, no se trabaja)</w:t>
      </w:r>
    </w:p>
    <w:p>
      <w:pPr>
        <w:numPr>
          <w:ilvl w:val="0"/>
          <w:numId w:val="1007"/>
        </w:numPr>
        <w:pStyle w:val="Compact"/>
      </w:pPr>
      <w:r>
        <w:t xml:space="preserve">Periodo total: 1 ene 2027 → 22 abr 2027</w:t>
      </w:r>
    </w:p>
    <w:p>
      <w:pPr>
        <w:pStyle w:val="FirstParagraph"/>
      </w:pPr>
      <w:r>
        <w:t xml:space="preserve">Sprints y hitos:</w:t>
      </w:r>
    </w:p>
    <w:p>
      <w:pPr>
        <w:numPr>
          <w:ilvl w:val="0"/>
          <w:numId w:val="1008"/>
        </w:numPr>
        <w:pStyle w:val="Compact"/>
      </w:pPr>
      <w:r>
        <w:t xml:space="preserve">S1: 1–14 ene 2027 (13 SP, EP01)</w:t>
      </w:r>
    </w:p>
    <w:p>
      <w:pPr>
        <w:numPr>
          <w:ilvl w:val="0"/>
          <w:numId w:val="1008"/>
        </w:numPr>
        <w:pStyle w:val="Compact"/>
      </w:pPr>
      <w:r>
        <w:t xml:space="preserve">S2: 15–28 ene (15 SP, EP01 cierre + EP02 inicio)</w:t>
      </w:r>
    </w:p>
    <w:p>
      <w:pPr>
        <w:numPr>
          <w:ilvl w:val="0"/>
          <w:numId w:val="1008"/>
        </w:numPr>
        <w:pStyle w:val="Compact"/>
      </w:pPr>
      <w:r>
        <w:t xml:space="preserve">S3: 29 ene–11 feb (16 SP, hito H4 validación de catálogo con Admisiones)</w:t>
      </w:r>
    </w:p>
    <w:p>
      <w:pPr>
        <w:numPr>
          <w:ilvl w:val="0"/>
          <w:numId w:val="1008"/>
        </w:numPr>
        <w:pStyle w:val="Compact"/>
      </w:pPr>
      <w:r>
        <w:t xml:space="preserve">S4: 12–25 feb (13 SP, hito H5 motor funcional)</w:t>
      </w:r>
    </w:p>
    <w:p>
      <w:pPr>
        <w:numPr>
          <w:ilvl w:val="0"/>
          <w:numId w:val="1008"/>
        </w:numPr>
        <w:pStyle w:val="Compact"/>
      </w:pPr>
      <w:r>
        <w:t xml:space="preserve">S5: 26 feb–11 mar (16 SP, EP04 completa)</w:t>
      </w:r>
    </w:p>
    <w:p>
      <w:pPr>
        <w:numPr>
          <w:ilvl w:val="0"/>
          <w:numId w:val="1008"/>
        </w:numPr>
        <w:pStyle w:val="Compact"/>
      </w:pPr>
      <w:r>
        <w:t xml:space="preserve">S6: 12–25 mar (13 SP, EP05 inicio)</w:t>
      </w:r>
    </w:p>
    <w:p>
      <w:pPr>
        <w:numPr>
          <w:ilvl w:val="0"/>
          <w:numId w:val="1008"/>
        </w:numPr>
        <w:pStyle w:val="Compact"/>
      </w:pPr>
      <w:r>
        <w:t xml:space="preserve">S7: 26 mar–8 abr (16 SP, hito H6 pruebas de usabilidad)</w:t>
      </w:r>
    </w:p>
    <w:p>
      <w:pPr>
        <w:numPr>
          <w:ilvl w:val="0"/>
          <w:numId w:val="1008"/>
        </w:numPr>
        <w:pStyle w:val="Compact"/>
      </w:pPr>
      <w:r>
        <w:t xml:space="preserve">S8: 9–22 abr (19 SP, holgura + MVP, hito H7 entrega)</w:t>
      </w:r>
    </w:p>
    <w:p>
      <w:pPr>
        <w:pStyle w:val="FirstParagraph"/>
      </w:pPr>
      <w:r>
        <w:t xml:space="preserve">Hitos macro:</w:t>
      </w:r>
    </w:p>
    <w:p>
      <w:pPr>
        <w:numPr>
          <w:ilvl w:val="0"/>
          <w:numId w:val="1009"/>
        </w:numPr>
        <w:pStyle w:val="Compact"/>
      </w:pPr>
      <w:r>
        <w:t xml:space="preserve">H1 inicio planificación: 10 mar 2026</w:t>
      </w:r>
    </w:p>
    <w:p>
      <w:pPr>
        <w:numPr>
          <w:ilvl w:val="0"/>
          <w:numId w:val="1009"/>
        </w:numPr>
        <w:pStyle w:val="Compact"/>
      </w:pPr>
      <w:r>
        <w:t xml:space="preserve">H2 entrega de documentos de planificación: 10 mar 2026</w:t>
      </w:r>
    </w:p>
    <w:p>
      <w:pPr>
        <w:numPr>
          <w:ilvl w:val="0"/>
          <w:numId w:val="1009"/>
        </w:numPr>
        <w:pStyle w:val="Compact"/>
      </w:pPr>
      <w:r>
        <w:t xml:space="preserve">H3 inicio ejecución: 1 ene 2027</w:t>
      </w:r>
    </w:p>
    <w:p>
      <w:pPr>
        <w:numPr>
          <w:ilvl w:val="0"/>
          <w:numId w:val="1009"/>
        </w:numPr>
        <w:pStyle w:val="Compact"/>
      </w:pPr>
      <w:r>
        <w:t xml:space="preserve">H4 catálogo validado: 11 feb 2027</w:t>
      </w:r>
    </w:p>
    <w:p>
      <w:pPr>
        <w:numPr>
          <w:ilvl w:val="0"/>
          <w:numId w:val="1009"/>
        </w:numPr>
        <w:pStyle w:val="Compact"/>
      </w:pPr>
      <w:r>
        <w:t xml:space="preserve">H5 motor de recomendación funcional: 25 feb 2027</w:t>
      </w:r>
    </w:p>
    <w:p>
      <w:pPr>
        <w:numPr>
          <w:ilvl w:val="0"/>
          <w:numId w:val="1009"/>
        </w:numPr>
        <w:pStyle w:val="Compact"/>
      </w:pPr>
      <w:r>
        <w:t xml:space="preserve">H6 pruebas de usabilidad: 8 abr 2027</w:t>
      </w:r>
    </w:p>
    <w:p>
      <w:pPr>
        <w:numPr>
          <w:ilvl w:val="0"/>
          <w:numId w:val="1009"/>
        </w:numPr>
        <w:pStyle w:val="Compact"/>
      </w:pPr>
      <w:r>
        <w:t xml:space="preserve">H7 entrega MVP: 22 abr 2027</w:t>
      </w:r>
    </w:p>
    <w:p>
      <w:pPr>
        <w:numPr>
          <w:ilvl w:val="0"/>
          <w:numId w:val="1009"/>
        </w:numPr>
        <w:pStyle w:val="Compact"/>
      </w:pPr>
      <w:r>
        <w:t xml:space="preserve">H8 firma del Acta de Cierre</w:t>
      </w:r>
    </w:p>
    <w:p>
      <w:pPr>
        <w:pStyle w:val="Heading3"/>
      </w:pPr>
      <w:bookmarkStart w:id="30" w:name="vista-4-costos"/>
      <w:r>
        <w:t xml:space="preserve">Vista 4 — Costos</w:t>
      </w:r>
      <w:bookmarkEnd w:id="30"/>
    </w:p>
    <w:p>
      <w:pPr>
        <w:pStyle w:val="FirstParagraph"/>
      </w:pPr>
      <w:r>
        <w:t xml:space="preserve">Propósito: desglose de costos de la metodología elegida, riesgos, esquema de pagos y flujo Sankey.</w:t>
      </w:r>
    </w:p>
    <w:p>
      <w:pPr>
        <w:pStyle w:val="BodyText"/>
      </w:pPr>
      <w:r>
        <w:t xml:space="preserve">Qué decir:</w:t>
      </w:r>
    </w:p>
    <w:p>
      <w:pPr>
        <w:numPr>
          <w:ilvl w:val="0"/>
          <w:numId w:val="1010"/>
        </w:numPr>
        <w:pStyle w:val="Compact"/>
      </w:pPr>
      <w:r>
        <w:t xml:space="preserve">Burn rate mensual cliente: Q 72,308 (6 personas)</w:t>
      </w:r>
    </w:p>
    <w:p>
      <w:pPr>
        <w:numPr>
          <w:ilvl w:val="0"/>
          <w:numId w:val="1010"/>
        </w:numPr>
        <w:pStyle w:val="Compact"/>
      </w:pPr>
      <w:r>
        <w:t xml:space="preserve">Costo por sprint: Q 36,154 (= burn rate × 10/20)</w:t>
      </w:r>
    </w:p>
    <w:p>
      <w:pPr>
        <w:numPr>
          <w:ilvl w:val="0"/>
          <w:numId w:val="1010"/>
        </w:numPr>
        <w:pStyle w:val="Compact"/>
      </w:pPr>
      <w:r>
        <w:t xml:space="preserve">Costo equipo con buffer 10%: Q 289,232 (8 sprints)</w:t>
      </w:r>
    </w:p>
    <w:p>
      <w:pPr>
        <w:numPr>
          <w:ilvl w:val="0"/>
          <w:numId w:val="1010"/>
        </w:numPr>
        <w:pStyle w:val="Compact"/>
      </w:pPr>
      <w:r>
        <w:t xml:space="preserve">Costos adicionales 6 meses: Q 105,870</w:t>
      </w:r>
    </w:p>
    <w:p>
      <w:pPr>
        <w:numPr>
          <w:ilvl w:val="0"/>
          <w:numId w:val="1010"/>
        </w:numPr>
        <w:pStyle w:val="Compact"/>
      </w:pPr>
      <w:r>
        <w:t xml:space="preserve">Reserva de contingencia: Q 133,769.80 (Σ EMV)</w:t>
      </w:r>
    </w:p>
    <w:p>
      <w:pPr>
        <w:numPr>
          <w:ilvl w:val="0"/>
          <w:numId w:val="1010"/>
        </w:numPr>
        <w:pStyle w:val="Compact"/>
      </w:pPr>
      <w:r>
        <w:t xml:space="preserve">Inversión total: Q 528,871.80</w:t>
      </w:r>
    </w:p>
    <w:p>
      <w:pPr>
        <w:numPr>
          <w:ilvl w:val="0"/>
          <w:numId w:val="1010"/>
        </w:numPr>
        <w:pStyle w:val="Compact"/>
      </w:pPr>
      <w:r>
        <w:t xml:space="preserve">Precio exacto: Q 813,648.92</w:t>
      </w:r>
    </w:p>
    <w:p>
      <w:pPr>
        <w:numPr>
          <w:ilvl w:val="0"/>
          <w:numId w:val="1010"/>
        </w:numPr>
        <w:pStyle w:val="Compact"/>
      </w:pPr>
      <w:r>
        <w:t xml:space="preserve">Precio redondeado a millar (CEILING): Q 814,000</w:t>
      </w:r>
    </w:p>
    <w:p>
      <w:pPr>
        <w:numPr>
          <w:ilvl w:val="0"/>
          <w:numId w:val="1010"/>
        </w:numPr>
        <w:pStyle w:val="Compact"/>
      </w:pPr>
      <w:r>
        <w:t xml:space="preserve">Beneficio neto: Q 285,128.20</w:t>
      </w:r>
    </w:p>
    <w:p>
      <w:pPr>
        <w:numPr>
          <w:ilvl w:val="0"/>
          <w:numId w:val="1010"/>
        </w:numPr>
        <w:pStyle w:val="Compact"/>
      </w:pPr>
      <w:r>
        <w:t xml:space="preserve">ROI: 53.85%</w:t>
      </w:r>
    </w:p>
    <w:p>
      <w:pPr>
        <w:pStyle w:val="FirstParagraph"/>
      </w:pPr>
      <w:r>
        <w:t xml:space="preserve">División BID/ROM en Scrumban: 80% planificado (16 SP) + 20% no planificado (4 SP) = 20 SP de velocidad.</w:t>
      </w:r>
    </w:p>
    <w:p>
      <w:pPr>
        <w:pStyle w:val="BodyText"/>
      </w:pPr>
      <w:r>
        <w:t xml:space="preserve">Esquema de pagos 30/40/30:</w:t>
      </w:r>
    </w:p>
    <w:p>
      <w:pPr>
        <w:numPr>
          <w:ilvl w:val="0"/>
          <w:numId w:val="1011"/>
        </w:numPr>
        <w:pStyle w:val="Compact"/>
      </w:pPr>
      <w:r>
        <w:t xml:space="preserve">Anticipo 30%: Q 244,200 al 1 ene 2027</w:t>
      </w:r>
    </w:p>
    <w:p>
      <w:pPr>
        <w:numPr>
          <w:ilvl w:val="0"/>
          <w:numId w:val="1011"/>
        </w:numPr>
        <w:pStyle w:val="Compact"/>
      </w:pPr>
      <w:r>
        <w:t xml:space="preserve">Avance 40%: Q 325,600 al 25 feb 2027</w:t>
      </w:r>
    </w:p>
    <w:p>
      <w:pPr>
        <w:numPr>
          <w:ilvl w:val="0"/>
          <w:numId w:val="1011"/>
        </w:numPr>
        <w:pStyle w:val="Compact"/>
      </w:pPr>
      <w:r>
        <w:t xml:space="preserve">Cierre 30%: Q 244,200 al 22 abr 2027</w:t>
      </w:r>
    </w:p>
    <w:p>
      <w:pPr>
        <w:pStyle w:val="Heading3"/>
      </w:pPr>
      <w:bookmarkStart w:id="31" w:name="vista-5-ejecutivo"/>
      <w:r>
        <w:t xml:space="preserve">Vista 5 — Ejecutivo</w:t>
      </w:r>
      <w:bookmarkEnd w:id="31"/>
    </w:p>
    <w:p>
      <w:pPr>
        <w:pStyle w:val="FirstParagraph"/>
      </w:pPr>
      <w:r>
        <w:t xml:space="preserve">Propósito: dashboard multi-stakeholder (cliente, sponsor, interno, PM).</w:t>
      </w:r>
    </w:p>
    <w:p>
      <w:pPr>
        <w:pStyle w:val="BodyText"/>
      </w:pPr>
      <w:r>
        <w:t xml:space="preserve">Qué decir:</w:t>
      </w:r>
    </w:p>
    <w:p>
      <w:pPr>
        <w:numPr>
          <w:ilvl w:val="0"/>
          <w:numId w:val="1012"/>
        </w:numPr>
        <w:pStyle w:val="Compact"/>
      </w:pPr>
      <w:r>
        <w:t xml:space="preserve">Inversión (precio cliente): Q 814,000</w:t>
      </w:r>
    </w:p>
    <w:p>
      <w:pPr>
        <w:numPr>
          <w:ilvl w:val="0"/>
          <w:numId w:val="1012"/>
        </w:numPr>
        <w:pStyle w:val="Compact"/>
      </w:pPr>
      <w:r>
        <w:t xml:space="preserve">ROI esperado: 53.85%; ROI adverso (con reserva consumida): 24.26%</w:t>
      </w:r>
    </w:p>
    <w:p>
      <w:pPr>
        <w:numPr>
          <w:ilvl w:val="0"/>
          <w:numId w:val="1012"/>
        </w:numPr>
        <w:pStyle w:val="Compact"/>
      </w:pPr>
      <w:r>
        <w:t xml:space="preserve">TMAR: 35% — el ROI supera la TMAR, por tanto el proyecto es financieramente viable</w:t>
      </w:r>
    </w:p>
    <w:p>
      <w:pPr>
        <w:numPr>
          <w:ilvl w:val="0"/>
          <w:numId w:val="1012"/>
        </w:numPr>
        <w:pStyle w:val="Compact"/>
      </w:pPr>
      <w:r>
        <w:t xml:space="preserve">Delta ROI vs TMAR en puntos porcentuales (pp): 18.85 pp</w:t>
      </w:r>
    </w:p>
    <w:p>
      <w:pPr>
        <w:numPr>
          <w:ilvl w:val="0"/>
          <w:numId w:val="1012"/>
        </w:numPr>
        <w:pStyle w:val="Compact"/>
      </w:pPr>
      <w:r>
        <w:t xml:space="preserve">Reserva de contingencia: Q 133,769.80</w:t>
      </w:r>
    </w:p>
    <w:p>
      <w:pPr>
        <w:numPr>
          <w:ilvl w:val="0"/>
          <w:numId w:val="1012"/>
        </w:numPr>
        <w:pStyle w:val="Compact"/>
      </w:pPr>
      <w:r>
        <w:t xml:space="preserve">Equipo: 6 personas (Coach, Tracker/Tester, 2 Seniors, 2 Juniors)</w:t>
      </w:r>
    </w:p>
    <w:p>
      <w:pPr>
        <w:pStyle w:val="Heading3"/>
      </w:pPr>
      <w:bookmarkStart w:id="32" w:name="vista-6-financiero"/>
      <w:r>
        <w:t xml:space="preserve">Vista 6 — Financiero</w:t>
      </w:r>
      <w:bookmarkEnd w:id="32"/>
    </w:p>
    <w:p>
      <w:pPr>
        <w:pStyle w:val="FirstParagraph"/>
      </w:pPr>
      <w:r>
        <w:t xml:space="preserve">Propósito: modelo financiero interactivo (sandbox). El expositor puede mover sliders de salarios, FTE, margen, buffer y TMAR y ver el impacto en ROI, payback y composición del precio.</w:t>
      </w:r>
    </w:p>
    <w:p>
      <w:pPr>
        <w:pStyle w:val="BodyText"/>
      </w:pPr>
      <w:r>
        <w:t xml:space="preserve">Qué decir:</w:t>
      </w:r>
    </w:p>
    <w:p>
      <w:pPr>
        <w:numPr>
          <w:ilvl w:val="0"/>
          <w:numId w:val="1013"/>
        </w:numPr>
        <w:pStyle w:val="Compact"/>
      </w:pPr>
      <w:r>
        <w:t xml:space="preserve">Sliders: salarios por rol, FTE, buffer (10%), margen (35%), pBID (80%), pROM (20%), inflación (5%), prima de riesgo (10%), retorno esperado (20%), flujo de caja mensual (Q 90,000)</w:t>
      </w:r>
    </w:p>
    <w:p>
      <w:pPr>
        <w:numPr>
          <w:ilvl w:val="0"/>
          <w:numId w:val="1013"/>
        </w:numPr>
        <w:pStyle w:val="Compact"/>
      </w:pPr>
      <w:r>
        <w:t xml:space="preserve">Gauges: burn rate, TMAR, ROI, ROI adverso</w:t>
      </w:r>
    </w:p>
    <w:p>
      <w:pPr>
        <w:numPr>
          <w:ilvl w:val="0"/>
          <w:numId w:val="1013"/>
        </w:numPr>
        <w:pStyle w:val="Compact"/>
      </w:pPr>
      <w:r>
        <w:t xml:space="preserve">Gráfico de payback: flujo de caja acumulado con línea de breakeven</w:t>
      </w:r>
    </w:p>
    <w:p>
      <w:pPr>
        <w:numPr>
          <w:ilvl w:val="0"/>
          <w:numId w:val="1013"/>
        </w:numPr>
        <w:pStyle w:val="Compact"/>
      </w:pPr>
      <w:r>
        <w:t xml:space="preserve">Gráfico de torta: composición del precio (costo equipo + adicionales + reserva + margen + redondeo)</w:t>
      </w:r>
    </w:p>
    <w:p>
      <w:pPr>
        <w:numPr>
          <w:ilvl w:val="0"/>
          <w:numId w:val="1013"/>
        </w:numPr>
        <w:pStyle w:val="Compact"/>
      </w:pPr>
      <w:r>
        <w:t xml:space="preserve">Constantes: TOTAL_SP = 121, SPRINT_DAYS = 10 hábiles, MONTH_DAYS = 20 hábiles, ADDITIONAL_COSTS_6M = Q 105,870, RESERVE_FROZEN = Q 133,769.80</w:t>
      </w:r>
    </w:p>
    <w:p>
      <w:pPr>
        <w:pStyle w:val="Heading3"/>
      </w:pPr>
      <w:bookmarkStart w:id="33" w:name="vista-7-riesgos"/>
      <w:r>
        <w:t xml:space="preserve">Vista 7 — Riesgos</w:t>
      </w:r>
      <w:bookmarkEnd w:id="33"/>
    </w:p>
    <w:p>
      <w:pPr>
        <w:pStyle w:val="FirstParagraph"/>
      </w:pPr>
      <w:r>
        <w:t xml:space="preserve">Propósito: catálogo R1 a R9 con mapa de calor y EMV.</w:t>
      </w:r>
    </w:p>
    <w:p>
      <w:pPr>
        <w:pStyle w:val="BodyText"/>
      </w:pPr>
      <w:r>
        <w:t xml:space="preserve">Qué decir:</w:t>
      </w:r>
    </w:p>
    <w:p>
      <w:pPr>
        <w:numPr>
          <w:ilvl w:val="0"/>
          <w:numId w:val="1014"/>
        </w:numPr>
        <w:pStyle w:val="Compact"/>
      </w:pPr>
      <w:r>
        <w:t xml:space="preserve">9 riesgos cuantificados con EMV total Q 133,769.80</w:t>
      </w:r>
    </w:p>
    <w:p>
      <w:pPr>
        <w:numPr>
          <w:ilvl w:val="0"/>
          <w:numId w:val="1014"/>
        </w:numPr>
        <w:pStyle w:val="Compact"/>
      </w:pPr>
      <w:r>
        <w:t xml:space="preserve">Probabilidades: Baja 0.20, Media 0.40, Alta 0.70</w:t>
      </w:r>
    </w:p>
    <w:p>
      <w:pPr>
        <w:numPr>
          <w:ilvl w:val="0"/>
          <w:numId w:val="1014"/>
        </w:numPr>
        <w:pStyle w:val="Compact"/>
      </w:pPr>
      <w:r>
        <w:t xml:space="preserve">Impactos en quetzales: Bajo (&lt;36,154), Medio (36,154–72,308), Alto (72,308–108,462), Crítico (≥108,462)</w:t>
      </w:r>
    </w:p>
    <w:p>
      <w:pPr>
        <w:numPr>
          <w:ilvl w:val="0"/>
          <w:numId w:val="1014"/>
        </w:numPr>
        <w:pStyle w:val="Compact"/>
      </w:pPr>
      <w:r>
        <w:t xml:space="preserve">Estrategias: Mitigar, Evitar, Transferir, Aceptar</w:t>
      </w:r>
    </w:p>
    <w:p>
      <w:pPr>
        <w:pStyle w:val="FirstParagraph"/>
      </w:pPr>
      <w:r>
        <w:t xml:space="preserve">Riesgos clave que pueden preguntar:</w:t>
      </w:r>
    </w:p>
    <w:p>
      <w:pPr>
        <w:numPr>
          <w:ilvl w:val="0"/>
          <w:numId w:val="1015"/>
        </w:numPr>
        <w:pStyle w:val="Compact"/>
      </w:pPr>
      <w:r>
        <w:t xml:space="preserve">R1 Cambios de requerimientos (p 0.40 × Q 72,308 = EMV Q 28,923.20) → Mitigar con DoR firme</w:t>
      </w:r>
    </w:p>
    <w:p>
      <w:pPr>
        <w:numPr>
          <w:ilvl w:val="0"/>
          <w:numId w:val="1015"/>
        </w:numPr>
        <w:pStyle w:val="Compact"/>
      </w:pPr>
      <w:r>
        <w:t xml:space="preserve">R7 Baja adopción de usuarios (mismo EMV que R1) → Pruebas de usabilidad en S7</w:t>
      </w:r>
    </w:p>
    <w:p>
      <w:pPr>
        <w:numPr>
          <w:ilvl w:val="0"/>
          <w:numId w:val="1015"/>
        </w:numPr>
        <w:pStyle w:val="Compact"/>
      </w:pPr>
      <w:r>
        <w:t xml:space="preserve">R8 Fuga de datos personales (impacto crítico Q 108,462) → Evitar con cifrado y revisión de seguridad por sprint</w:t>
      </w:r>
    </w:p>
    <w:p>
      <w:pPr>
        <w:numPr>
          <w:ilvl w:val="0"/>
          <w:numId w:val="1015"/>
        </w:numPr>
        <w:pStyle w:val="Compact"/>
      </w:pPr>
      <w:r>
        <w:t xml:space="preserve">R6 Falla del proveedor cloud → Transferir mediante SLA contractual</w:t>
      </w:r>
    </w:p>
    <w:p>
      <w:pPr>
        <w:numPr>
          <w:ilvl w:val="0"/>
          <w:numId w:val="1015"/>
        </w:numPr>
        <w:pStyle w:val="Compact"/>
      </w:pPr>
      <w:r>
        <w:t xml:space="preserve">R9 Cambios al pensum UVG 2026 → Aceptar, mitigado por catálogo actualizable sin rediseñar el motor</w:t>
      </w:r>
    </w:p>
    <w:p>
      <w:pPr>
        <w:pStyle w:val="Heading2"/>
      </w:pPr>
      <w:bookmarkStart w:id="34" w:name="familia-scrum"/>
      <w:r>
        <w:t xml:space="preserve">Familia Scrum</w:t>
      </w:r>
      <w:bookmarkEnd w:id="34"/>
    </w:p>
    <w:p>
      <w:pPr>
        <w:pStyle w:val="Heading3"/>
      </w:pPr>
      <w:bookmarkStart w:id="35" w:name="roles-3"/>
      <w:r>
        <w:t xml:space="preserve">Roles (3)</w:t>
      </w:r>
      <w:bookmarkEnd w:id="35"/>
    </w:p>
    <w:p>
      <w:pPr>
        <w:numPr>
          <w:ilvl w:val="0"/>
          <w:numId w:val="1016"/>
        </w:numPr>
        <w:pStyle w:val="Compact"/>
      </w:pPr>
      <w:r>
        <w:t xml:space="preserve">Product Owner (PO) — Josué Say. Define y prioriza el backlog, representa al cliente, acepta el incremento en la Sprint Review, controla cambios. FTE 0.7 interno / 1.0 facturado.</w:t>
      </w:r>
    </w:p>
    <w:p>
      <w:pPr>
        <w:numPr>
          <w:ilvl w:val="0"/>
          <w:numId w:val="1016"/>
        </w:numPr>
        <w:pStyle w:val="Compact"/>
      </w:pPr>
      <w:r>
        <w:t xml:space="preserve">Scrum Master (SM) — Mathew Cordero. Facilita las ceremonias, elimina impedimentos, protege al equipo del scope creep, gestiona comunicación interna.</w:t>
      </w:r>
    </w:p>
    <w:p>
      <w:pPr>
        <w:numPr>
          <w:ilvl w:val="0"/>
          <w:numId w:val="1016"/>
        </w:numPr>
        <w:pStyle w:val="Compact"/>
      </w:pPr>
      <w:r>
        <w:t xml:space="preserve">Developers — Gustavo Cruz Bardales (líder técnico), Javier Chen González (seguridad), Pedro Guzmán Mayén. Estiman en SP, ejecutan, cumplen el DoD.</w:t>
      </w:r>
    </w:p>
    <w:p>
      <w:pPr>
        <w:pStyle w:val="Heading3"/>
      </w:pPr>
      <w:bookmarkStart w:id="36" w:name="ceremonias-5-eventos"/>
      <w:r>
        <w:t xml:space="preserve">Ceremonias (5 eventos)</w:t>
      </w:r>
      <w:bookmarkEnd w:id="36"/>
    </w:p>
    <w:p>
      <w:pPr>
        <w:numPr>
          <w:ilvl w:val="0"/>
          <w:numId w:val="1017"/>
        </w:numPr>
        <w:pStyle w:val="Compact"/>
      </w:pPr>
      <w:r>
        <w:t xml:space="preserve">Sprint Planning: 4 horas, primer día. PO presenta prioridades; el equipo estima velocidad (20 SP).</w:t>
      </w:r>
    </w:p>
    <w:p>
      <w:pPr>
        <w:numPr>
          <w:ilvl w:val="0"/>
          <w:numId w:val="1017"/>
        </w:numPr>
        <w:pStyle w:val="Compact"/>
      </w:pPr>
      <w:r>
        <w:t xml:space="preserve">Daily Scrum: 15 minutos diarios. Tres preguntas: ¿qué hice ayer?, ¿qué haré hoy?, ¿bloqueos?</w:t>
      </w:r>
    </w:p>
    <w:p>
      <w:pPr>
        <w:numPr>
          <w:ilvl w:val="0"/>
          <w:numId w:val="1017"/>
        </w:numPr>
        <w:pStyle w:val="Compact"/>
      </w:pPr>
      <w:r>
        <w:t xml:space="preserve">Sprint Review: 2 horas, último día. Demo del incremento al PO y a stakeholders.</w:t>
      </w:r>
    </w:p>
    <w:p>
      <w:pPr>
        <w:numPr>
          <w:ilvl w:val="0"/>
          <w:numId w:val="1017"/>
        </w:numPr>
        <w:pStyle w:val="Compact"/>
      </w:pPr>
      <w:r>
        <w:t xml:space="preserve">Retrospectiva: 1.5 horas. Qué funcionó, qué no, qué se cambia.</w:t>
      </w:r>
    </w:p>
    <w:p>
      <w:pPr>
        <w:numPr>
          <w:ilvl w:val="0"/>
          <w:numId w:val="1017"/>
        </w:numPr>
        <w:pStyle w:val="Compact"/>
      </w:pPr>
      <w:r>
        <w:t xml:space="preserve">El propio Sprint: contenedor de 10 días hábiles (2 semanas).</w:t>
      </w:r>
    </w:p>
    <w:p>
      <w:pPr>
        <w:pStyle w:val="Heading3"/>
      </w:pPr>
      <w:bookmarkStart w:id="37" w:name="artefactos-3"/>
      <w:r>
        <w:t xml:space="preserve">Artefactos (3)</w:t>
      </w:r>
      <w:bookmarkEnd w:id="37"/>
    </w:p>
    <w:p>
      <w:pPr>
        <w:numPr>
          <w:ilvl w:val="0"/>
          <w:numId w:val="1018"/>
        </w:numPr>
        <w:pStyle w:val="Compact"/>
      </w:pPr>
      <w:r>
        <w:t xml:space="preserve">Product Backlog — priorizado por el PO; 32 HU / 121 SP.</w:t>
      </w:r>
    </w:p>
    <w:p>
      <w:pPr>
        <w:numPr>
          <w:ilvl w:val="0"/>
          <w:numId w:val="1018"/>
        </w:numPr>
        <w:pStyle w:val="Compact"/>
      </w:pPr>
      <w:r>
        <w:t xml:space="preserve">Sprint Backlog — selección del sprint: 16 SP BID + 4 SP ROM reservados.</w:t>
      </w:r>
    </w:p>
    <w:p>
      <w:pPr>
        <w:numPr>
          <w:ilvl w:val="0"/>
          <w:numId w:val="1018"/>
        </w:numPr>
        <w:pStyle w:val="Compact"/>
      </w:pPr>
      <w:r>
        <w:t xml:space="preserve">Incremento — funcionalidad potencialmente entregable al cierre del sprint.</w:t>
      </w:r>
    </w:p>
    <w:p>
      <w:pPr>
        <w:pStyle w:val="Heading3"/>
      </w:pPr>
      <w:bookmarkStart w:id="38" w:name="dor-definition-of-ready-5-criterios"/>
      <w:r>
        <w:t xml:space="preserve">DoR — Definition of Ready (5 criterios)</w:t>
      </w:r>
      <w:bookmarkEnd w:id="38"/>
    </w:p>
    <w:p>
      <w:pPr>
        <w:numPr>
          <w:ilvl w:val="0"/>
          <w:numId w:val="1019"/>
        </w:numPr>
        <w:pStyle w:val="Compact"/>
      </w:pPr>
      <w:r>
        <w:t xml:space="preserve">Formato Como/Quiero/Para</w:t>
      </w:r>
    </w:p>
    <w:p>
      <w:pPr>
        <w:numPr>
          <w:ilvl w:val="0"/>
          <w:numId w:val="1019"/>
        </w:numPr>
        <w:pStyle w:val="Compact"/>
      </w:pPr>
      <w:r>
        <w:t xml:space="preserve">Criterios de aceptación verificables</w:t>
      </w:r>
    </w:p>
    <w:p>
      <w:pPr>
        <w:numPr>
          <w:ilvl w:val="0"/>
          <w:numId w:val="1019"/>
        </w:numPr>
        <w:pStyle w:val="Compact"/>
      </w:pPr>
      <w:r>
        <w:t xml:space="preserve">SP estimados con Fibonacci, máximo 8 SP</w:t>
      </w:r>
    </w:p>
    <w:p>
      <w:pPr>
        <w:numPr>
          <w:ilvl w:val="0"/>
          <w:numId w:val="1019"/>
        </w:numPr>
        <w:pStyle w:val="Compact"/>
      </w:pPr>
      <w:r>
        <w:t xml:space="preserve">Sin dependencias bloqueantes sin resolver</w:t>
      </w:r>
    </w:p>
    <w:p>
      <w:pPr>
        <w:numPr>
          <w:ilvl w:val="0"/>
          <w:numId w:val="1019"/>
        </w:numPr>
        <w:pStyle w:val="Compact"/>
      </w:pPr>
      <w:r>
        <w:t xml:space="preserve">Aprobada y priorizada por el PO</w:t>
      </w:r>
    </w:p>
    <w:p>
      <w:pPr>
        <w:pStyle w:val="Heading3"/>
      </w:pPr>
      <w:bookmarkStart w:id="39" w:name="Xf10c71aaf7f03c5f39dabc0412fad6ecb37ec1c"/>
      <w:r>
        <w:t xml:space="preserve">DoD — Definition of Done (Scrum base, 7 criterios)</w:t>
      </w:r>
      <w:bookmarkEnd w:id="39"/>
    </w:p>
    <w:p>
      <w:pPr>
        <w:numPr>
          <w:ilvl w:val="0"/>
          <w:numId w:val="1020"/>
        </w:numPr>
        <w:pStyle w:val="Compact"/>
      </w:pPr>
      <w:r>
        <w:t xml:space="preserve">Código desarrollado y validado contra criterios de aceptación</w:t>
      </w:r>
    </w:p>
    <w:p>
      <w:pPr>
        <w:numPr>
          <w:ilvl w:val="0"/>
          <w:numId w:val="1020"/>
        </w:numPr>
        <w:pStyle w:val="Compact"/>
      </w:pPr>
      <w:r>
        <w:t xml:space="preserve">Persistencia en base de datos en la nube</w:t>
      </w:r>
    </w:p>
    <w:p>
      <w:pPr>
        <w:numPr>
          <w:ilvl w:val="0"/>
          <w:numId w:val="1020"/>
        </w:numPr>
        <w:pStyle w:val="Compact"/>
      </w:pPr>
      <w:r>
        <w:t xml:space="preserve">Manejo de errores implementado</w:t>
      </w:r>
    </w:p>
    <w:p>
      <w:pPr>
        <w:numPr>
          <w:ilvl w:val="0"/>
          <w:numId w:val="1020"/>
        </w:numPr>
        <w:pStyle w:val="Compact"/>
      </w:pPr>
      <w:r>
        <w:t xml:space="preserve">Responsive en navegadores</w:t>
      </w:r>
    </w:p>
    <w:p>
      <w:pPr>
        <w:numPr>
          <w:ilvl w:val="0"/>
          <w:numId w:val="1020"/>
        </w:numPr>
        <w:pStyle w:val="Compact"/>
      </w:pPr>
      <w:r>
        <w:t xml:space="preserve">UX clara</w:t>
      </w:r>
    </w:p>
    <w:p>
      <w:pPr>
        <w:numPr>
          <w:ilvl w:val="0"/>
          <w:numId w:val="1020"/>
        </w:numPr>
        <w:pStyle w:val="Compact"/>
      </w:pPr>
      <w:r>
        <w:t xml:space="preserve">Sin tiempos de carga excesivos</w:t>
      </w:r>
    </w:p>
    <w:p>
      <w:pPr>
        <w:numPr>
          <w:ilvl w:val="0"/>
          <w:numId w:val="1020"/>
        </w:numPr>
        <w:pStyle w:val="Compact"/>
      </w:pPr>
      <w:r>
        <w:t xml:space="preserve">Tests funcionales e integración pasando</w:t>
      </w:r>
    </w:p>
    <w:p>
      <w:pPr>
        <w:pStyle w:val="Heading3"/>
      </w:pPr>
      <w:bookmarkStart w:id="40" w:name="product-goal"/>
      <w:r>
        <w:t xml:space="preserve">Product Goal</w:t>
      </w:r>
      <w:bookmarkEnd w:id="40"/>
    </w:p>
    <w:p>
      <w:pPr>
        <w:pStyle w:val="FirstParagraph"/>
      </w:pPr>
      <w:r>
        <w:t xml:space="preserve">Implementar una plataforma web basada en análisis de datos que evalúe integralmente las habilidades, intereses y personalidad de los estudiantes, generando un ranking personalizado de carreras alineadas al pensum 2026 del Campus Central de la UVG.</w:t>
      </w:r>
    </w:p>
    <w:p>
      <w:pPr>
        <w:pStyle w:val="Heading3"/>
      </w:pPr>
      <w:bookmarkStart w:id="41" w:name="mvp"/>
      <w:r>
        <w:t xml:space="preserve">MVP</w:t>
      </w:r>
      <w:bookmarkEnd w:id="41"/>
    </w:p>
    <w:p>
      <w:pPr>
        <w:pStyle w:val="FirstParagraph"/>
      </w:pPr>
      <w:r>
        <w:t xml:space="preserve">Épicas core: EP01, EP02, EP03, EP04. Épicas parciales en MVP: EP05, EP06. Entrega: 22 abr 2027 (H7).</w:t>
      </w:r>
    </w:p>
    <w:p>
      <w:pPr>
        <w:pStyle w:val="Heading3"/>
      </w:pPr>
      <w:bookmarkStart w:id="42" w:name="métricas-scrum"/>
      <w:r>
        <w:t xml:space="preserve">Métricas Scrum</w:t>
      </w:r>
      <w:bookmarkEnd w:id="42"/>
    </w:p>
    <w:p>
      <w:pPr>
        <w:numPr>
          <w:ilvl w:val="0"/>
          <w:numId w:val="1021"/>
        </w:numPr>
        <w:pStyle w:val="Compact"/>
      </w:pPr>
      <w:r>
        <w:t xml:space="preserve">Velocidad: 20 SP/sprint (meta)</w:t>
      </w:r>
    </w:p>
    <w:p>
      <w:pPr>
        <w:numPr>
          <w:ilvl w:val="0"/>
          <w:numId w:val="1021"/>
        </w:numPr>
        <w:pStyle w:val="Compact"/>
      </w:pPr>
      <w:r>
        <w:t xml:space="preserve">Alerta de velocidad: &lt;16 SP en 2 sprints consecutivos</w:t>
      </w:r>
    </w:p>
    <w:p>
      <w:pPr>
        <w:numPr>
          <w:ilvl w:val="0"/>
          <w:numId w:val="1021"/>
        </w:numPr>
        <w:pStyle w:val="Compact"/>
      </w:pPr>
      <w:r>
        <w:t xml:space="preserve">Burndown chart: diario, línea ideal vs real</w:t>
      </w:r>
    </w:p>
    <w:p>
      <w:pPr>
        <w:numPr>
          <w:ilvl w:val="0"/>
          <w:numId w:val="1021"/>
        </w:numPr>
        <w:pStyle w:val="Compact"/>
      </w:pPr>
      <w:r>
        <w:t xml:space="preserve">Sprint Goal: compromiso del equipo por sprint</w:t>
      </w:r>
    </w:p>
    <w:p>
      <w:pPr>
        <w:pStyle w:val="Heading2"/>
      </w:pPr>
      <w:bookmarkStart w:id="43" w:name="familia-kanban"/>
      <w:r>
        <w:t xml:space="preserve">Familia Kanban</w:t>
      </w:r>
      <w:bookmarkEnd w:id="43"/>
    </w:p>
    <w:p>
      <w:pPr>
        <w:pStyle w:val="Heading3"/>
      </w:pPr>
      <w:bookmarkStart w:id="44" w:name="principios"/>
      <w:r>
        <w:t xml:space="preserve">6 principios</w:t>
      </w:r>
      <w:bookmarkEnd w:id="44"/>
    </w:p>
    <w:p>
      <w:pPr>
        <w:numPr>
          <w:ilvl w:val="0"/>
          <w:numId w:val="1022"/>
        </w:numPr>
        <w:pStyle w:val="Compact"/>
      </w:pPr>
      <w:r>
        <w:t xml:space="preserve">Visualizar el flujo (tablero visual)</w:t>
      </w:r>
    </w:p>
    <w:p>
      <w:pPr>
        <w:numPr>
          <w:ilvl w:val="0"/>
          <w:numId w:val="1022"/>
        </w:numPr>
        <w:pStyle w:val="Compact"/>
      </w:pPr>
      <w:r>
        <w:t xml:space="preserve">Limitar el WIP</w:t>
      </w:r>
    </w:p>
    <w:p>
      <w:pPr>
        <w:numPr>
          <w:ilvl w:val="0"/>
          <w:numId w:val="1022"/>
        </w:numPr>
        <w:pStyle w:val="Compact"/>
      </w:pPr>
      <w:r>
        <w:t xml:space="preserve">Gestionar el flujo</w:t>
      </w:r>
    </w:p>
    <w:p>
      <w:pPr>
        <w:numPr>
          <w:ilvl w:val="0"/>
          <w:numId w:val="1022"/>
        </w:numPr>
        <w:pStyle w:val="Compact"/>
      </w:pPr>
      <w:r>
        <w:t xml:space="preserve">Hacer políticas explícitas</w:t>
      </w:r>
    </w:p>
    <w:p>
      <w:pPr>
        <w:numPr>
          <w:ilvl w:val="0"/>
          <w:numId w:val="1022"/>
        </w:numPr>
        <w:pStyle w:val="Compact"/>
      </w:pPr>
      <w:r>
        <w:t xml:space="preserve">Implementar ciclos de retroalimentación</w:t>
      </w:r>
    </w:p>
    <w:p>
      <w:pPr>
        <w:numPr>
          <w:ilvl w:val="0"/>
          <w:numId w:val="1022"/>
        </w:numPr>
        <w:pStyle w:val="Compact"/>
      </w:pPr>
      <w:r>
        <w:t xml:space="preserve">Mejorar colaborativamente y evolucionar</w:t>
      </w:r>
    </w:p>
    <w:p>
      <w:pPr>
        <w:pStyle w:val="Heading3"/>
      </w:pPr>
      <w:bookmarkStart w:id="45" w:name="tablero-y-límites-wip"/>
      <w:r>
        <w:t xml:space="preserve">Tablero y límites WIP</w:t>
      </w:r>
      <w:bookmarkEnd w:id="45"/>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Columna</w:t>
            </w:r>
          </w:p>
        </w:tc>
        <w:tc>
          <w:tcPr>
            <w:tcBorders>
              <w:bottom w:val="single"/>
            </w:tcBorders>
            <w:vAlign w:val="bottom"/>
            <w:shd w:val="clear" w:color="auto" w:fill="0E2841"/>
          </w:tcPr>
          <w:p>
            <w:pPr>
              <w:pStyle w:val="Compact"/>
              <w:jc w:val="left"/>
            </w:pPr>
            <w:r>
              <w:rPr>
                <w:rFonts w:ascii="Calibri" w:hAnsi="Calibri"/>
                <w:b/>
                <w:color w:val="FFFFFF"/>
                <w:sz w:val="18"/>
              </w:rPr>
              <w:t xml:space="preserve">WIP</w:t>
            </w:r>
          </w:p>
        </w:tc>
      </w:tr>
      <w:tr>
        <w:tc>
          <w:tcPr>
            <w:shd w:val="clear" w:color="auto" w:fill="FFFFFF"/>
          </w:tcPr>
          <w:p>
            <w:pPr>
              <w:pStyle w:val="Compact"/>
              <w:jc w:val="left"/>
            </w:pPr>
            <w:r>
              <w:rPr>
                <w:rFonts w:ascii="Calibri" w:hAnsi="Calibri"/>
                <w:sz w:val="18"/>
              </w:rPr>
              <w:t xml:space="preserve">Backlog</w:t>
            </w:r>
          </w:p>
        </w:tc>
        <w:tc>
          <w:tcPr>
            <w:shd w:val="clear" w:color="auto" w:fill="FFFFFF"/>
          </w:tcPr>
          <w:p>
            <w:pPr>
              <w:pStyle w:val="Compact"/>
              <w:jc w:val="left"/>
            </w:pPr>
            <w:r>
              <w:rPr>
                <w:rFonts w:ascii="Calibri" w:hAnsi="Calibri"/>
                <w:sz w:val="18"/>
              </w:rPr>
              <w:t xml:space="preserve">sin límite</w:t>
            </w:r>
          </w:p>
        </w:tc>
      </w:tr>
      <w:tr>
        <w:tc>
          <w:tcPr>
            <w:shd w:val="clear" w:color="auto" w:fill="E8E8E8"/>
          </w:tcPr>
          <w:p>
            <w:pPr>
              <w:pStyle w:val="Compact"/>
              <w:jc w:val="left"/>
            </w:pPr>
            <w:r>
              <w:rPr>
                <w:rFonts w:ascii="Calibri" w:hAnsi="Calibri"/>
                <w:sz w:val="18"/>
              </w:rPr>
              <w:t xml:space="preserve">To Do</w:t>
            </w:r>
          </w:p>
        </w:tc>
        <w:tc>
          <w:tcPr>
            <w:shd w:val="clear" w:color="auto" w:fill="E8E8E8"/>
          </w:tcPr>
          <w:p>
            <w:pPr>
              <w:pStyle w:val="Compact"/>
              <w:jc w:val="left"/>
            </w:pPr>
            <w:r>
              <w:rPr>
                <w:rFonts w:ascii="Calibri" w:hAnsi="Calibri"/>
                <w:sz w:val="18"/>
              </w:rPr>
              <w:t xml:space="preserve">8 (2 × ejecutores)</w:t>
            </w:r>
          </w:p>
        </w:tc>
      </w:tr>
      <w:tr>
        <w:tc>
          <w:tcPr>
            <w:shd w:val="clear" w:color="auto" w:fill="FFFFFF"/>
          </w:tcPr>
          <w:p>
            <w:pPr>
              <w:pStyle w:val="Compact"/>
              <w:jc w:val="left"/>
            </w:pPr>
            <w:r>
              <w:rPr>
                <w:rFonts w:ascii="Calibri" w:hAnsi="Calibri"/>
                <w:sz w:val="18"/>
              </w:rPr>
              <w:t xml:space="preserve">In Progress</w:t>
            </w:r>
          </w:p>
        </w:tc>
        <w:tc>
          <w:tcPr>
            <w:shd w:val="clear" w:color="auto" w:fill="FFFFFF"/>
          </w:tcPr>
          <w:p>
            <w:pPr>
              <w:pStyle w:val="Compact"/>
              <w:jc w:val="left"/>
            </w:pPr>
            <w:r>
              <w:rPr>
                <w:rFonts w:ascii="Calibri" w:hAnsi="Calibri"/>
                <w:sz w:val="18"/>
              </w:rPr>
              <w:t xml:space="preserve">4 (1 por ejecutor)</w:t>
            </w:r>
          </w:p>
        </w:tc>
      </w:tr>
      <w:tr>
        <w:tc>
          <w:tcPr>
            <w:shd w:val="clear" w:color="auto" w:fill="E8E8E8"/>
          </w:tcPr>
          <w:p>
            <w:pPr>
              <w:pStyle w:val="Compact"/>
              <w:jc w:val="left"/>
            </w:pPr>
            <w:r>
              <w:rPr>
                <w:rFonts w:ascii="Calibri" w:hAnsi="Calibri"/>
                <w:sz w:val="18"/>
              </w:rPr>
              <w:t xml:space="preserve">Testing</w:t>
            </w:r>
          </w:p>
        </w:tc>
        <w:tc>
          <w:tcPr>
            <w:shd w:val="clear" w:color="auto" w:fill="E8E8E8"/>
          </w:tcPr>
          <w:p>
            <w:pPr>
              <w:pStyle w:val="Compact"/>
              <w:jc w:val="left"/>
            </w:pPr>
            <w:r>
              <w:rPr>
                <w:rFonts w:ascii="Calibri" w:hAnsi="Calibri"/>
                <w:sz w:val="18"/>
              </w:rPr>
              <w:t xml:space="preserve">4</w:t>
            </w:r>
          </w:p>
        </w:tc>
      </w:tr>
      <w:tr>
        <w:tc>
          <w:tcPr>
            <w:shd w:val="clear" w:color="auto" w:fill="FFFFFF"/>
          </w:tcPr>
          <w:p>
            <w:pPr>
              <w:pStyle w:val="Compact"/>
              <w:jc w:val="left"/>
            </w:pPr>
            <w:r>
              <w:rPr>
                <w:rFonts w:ascii="Calibri" w:hAnsi="Calibri"/>
                <w:sz w:val="18"/>
              </w:rPr>
              <w:t xml:space="preserve">Code Review (XP, opcional)</w:t>
            </w:r>
          </w:p>
        </w:tc>
        <w:tc>
          <w:tcPr>
            <w:shd w:val="clear" w:color="auto" w:fill="FFFFFF"/>
          </w:tcPr>
          <w:p>
            <w:pPr>
              <w:pStyle w:val="Compact"/>
              <w:jc w:val="left"/>
            </w:pPr>
            <w:r>
              <w:rPr>
                <w:rFonts w:ascii="Calibri" w:hAnsi="Calibri"/>
                <w:sz w:val="18"/>
              </w:rPr>
              <w:t xml:space="preserve">2</w:t>
            </w:r>
          </w:p>
        </w:tc>
      </w:tr>
      <w:tr>
        <w:tc>
          <w:tcPr>
            <w:shd w:val="clear" w:color="auto" w:fill="E8E8E8"/>
          </w:tcPr>
          <w:p>
            <w:pPr>
              <w:pStyle w:val="Compact"/>
              <w:jc w:val="left"/>
            </w:pPr>
            <w:r>
              <w:rPr>
                <w:rFonts w:ascii="Calibri" w:hAnsi="Calibri"/>
                <w:sz w:val="18"/>
              </w:rPr>
              <w:t xml:space="preserve">Review</w:t>
            </w:r>
          </w:p>
        </w:tc>
        <w:tc>
          <w:tcPr>
            <w:shd w:val="clear" w:color="auto" w:fill="E8E8E8"/>
          </w:tcPr>
          <w:p>
            <w:pPr>
              <w:pStyle w:val="Compact"/>
              <w:jc w:val="left"/>
            </w:pPr>
            <w:r>
              <w:rPr>
                <w:rFonts w:ascii="Calibri" w:hAnsi="Calibri"/>
                <w:sz w:val="18"/>
              </w:rPr>
              <w:t xml:space="preserve">2</w:t>
            </w:r>
          </w:p>
        </w:tc>
      </w:tr>
      <w:tr>
        <w:tc>
          <w:tcPr>
            <w:shd w:val="clear" w:color="auto" w:fill="FFFFFF"/>
          </w:tcPr>
          <w:p>
            <w:pPr>
              <w:pStyle w:val="Compact"/>
              <w:jc w:val="left"/>
            </w:pPr>
            <w:r>
              <w:rPr>
                <w:rFonts w:ascii="Calibri" w:hAnsi="Calibri"/>
                <w:sz w:val="18"/>
              </w:rPr>
              <w:t xml:space="preserve">Done</w:t>
            </w:r>
          </w:p>
        </w:tc>
        <w:tc>
          <w:tcPr>
            <w:shd w:val="clear" w:color="auto" w:fill="FFFFFF"/>
          </w:tcPr>
          <w:p>
            <w:pPr>
              <w:pStyle w:val="Compact"/>
              <w:jc w:val="left"/>
            </w:pPr>
            <w:r>
              <w:rPr>
                <w:rFonts w:ascii="Calibri" w:hAnsi="Calibri"/>
                <w:sz w:val="18"/>
              </w:rPr>
              <w:t xml:space="preserve">sin límite</w:t>
            </w:r>
          </w:p>
        </w:tc>
      </w:tr>
    </w:tbl>
    <w:p>
      <w:pPr>
        <w:pStyle w:val="Heading3"/>
      </w:pPr>
      <w:bookmarkStart w:id="46" w:name="métricas-de-flujo"/>
      <w:r>
        <w:t xml:space="preserve">Métricas de flujo</w:t>
      </w:r>
      <w:bookmarkEnd w:id="46"/>
    </w:p>
    <w:p>
      <w:pPr>
        <w:numPr>
          <w:ilvl w:val="0"/>
          <w:numId w:val="1023"/>
        </w:numPr>
        <w:pStyle w:val="Compact"/>
      </w:pPr>
      <w:r>
        <w:t xml:space="preserve">Cycle Time: tiempo desde que la tarea entra a In Progress hasta Done. Sin Code Review XP = 5.13 días; con Code Review = 6.13 días; SLA máximo 10 días.</w:t>
      </w:r>
    </w:p>
    <w:p>
      <w:pPr>
        <w:numPr>
          <w:ilvl w:val="0"/>
          <w:numId w:val="1023"/>
        </w:numPr>
        <w:pStyle w:val="Compact"/>
      </w:pPr>
      <w:r>
        <w:t xml:space="preserve">Lead Time: tiempo total desde Backlog hasta Done. Fórmula (Ley de Little): Lead Time = WIP / Throughput = 4 / 0.78 = 5.13 días.</w:t>
      </w:r>
    </w:p>
    <w:p>
      <w:pPr>
        <w:numPr>
          <w:ilvl w:val="0"/>
          <w:numId w:val="1023"/>
        </w:numPr>
        <w:pStyle w:val="Compact"/>
      </w:pPr>
      <w:r>
        <w:t xml:space="preserve">Throughput: 0.78 tareas/día = 3.9 tareas/semana = 15.6 tareas/mes.</w:t>
      </w:r>
    </w:p>
    <w:p>
      <w:pPr>
        <w:numPr>
          <w:ilvl w:val="0"/>
          <w:numId w:val="1023"/>
        </w:numPr>
        <w:pStyle w:val="Compact"/>
      </w:pPr>
      <w:r>
        <w:t xml:space="preserve">CFD (Cumulative Flow Diagram): diagrama acumulativo de flujo por columna a lo largo del tiempo.</w:t>
      </w:r>
    </w:p>
    <w:p>
      <w:pPr>
        <w:numPr>
          <w:ilvl w:val="0"/>
          <w:numId w:val="1023"/>
        </w:numPr>
        <w:pStyle w:val="Compact"/>
      </w:pPr>
      <w:r>
        <w:t xml:space="preserve">Ejecutores activos: 4.</w:t>
      </w:r>
    </w:p>
    <w:p>
      <w:pPr>
        <w:pStyle w:val="Heading3"/>
      </w:pPr>
      <w:bookmarkStart w:id="47" w:name="por-qué-kanban-no-fue-la-elegida"/>
      <w:r>
        <w:t xml:space="preserve">Por qué Kanban no fue la elegida</w:t>
      </w:r>
      <w:bookmarkEnd w:id="47"/>
    </w:p>
    <w:p>
      <w:pPr>
        <w:pStyle w:val="FirstParagraph"/>
      </w:pPr>
      <w:r>
        <w:t xml:space="preserve">Costaría Q 1,577,000 (~6.5 meses más que Scrumban+XP, ~11 vs ~4 meses). Kanban es preferible para soporte/operaciones de carga variable, no para construir un MVP desde cero con fecha fija.</w:t>
      </w:r>
    </w:p>
    <w:p>
      <w:pPr>
        <w:pStyle w:val="Heading2"/>
      </w:pPr>
      <w:bookmarkStart w:id="48" w:name="familia-scrumban"/>
      <w:r>
        <w:t xml:space="preserve">Familia Scrumban</w:t>
      </w:r>
      <w:bookmarkEnd w:id="48"/>
    </w:p>
    <w:p>
      <w:pPr>
        <w:pStyle w:val="Heading3"/>
      </w:pPr>
      <w:bookmarkStart w:id="49" w:name="definición"/>
      <w:r>
        <w:t xml:space="preserve">Definición</w:t>
      </w:r>
      <w:bookmarkEnd w:id="49"/>
    </w:p>
    <w:p>
      <w:pPr>
        <w:pStyle w:val="FirstParagraph"/>
      </w:pPr>
      <w:r>
        <w:t xml:space="preserve">Híbrido genuino Scrum + Kanban. Scrum aporta cadencia y ceremonias; Kanban aporta límites WIP y métricas de flujo. No es</w:t>
      </w:r>
      <w:r>
        <w:t xml:space="preserve"> </w:t>
      </w:r>
      <w:r>
        <w:t xml:space="preserve">“</w:t>
      </w:r>
      <w:r>
        <w:t xml:space="preserve">Scrum con tablero agregado</w:t>
      </w:r>
      <w:r>
        <w:t xml:space="preserve">”</w:t>
      </w:r>
      <w:r>
        <w:t xml:space="preserve">.</w:t>
      </w:r>
    </w:p>
    <w:p>
      <w:pPr>
        <w:pStyle w:val="Heading3"/>
      </w:pPr>
      <w:bookmarkStart w:id="50" w:name="bid-y-rom-división-8020"/>
      <w:r>
        <w:t xml:space="preserve">BID y ROM (división 80/20)</w:t>
      </w:r>
      <w:bookmarkEnd w:id="50"/>
    </w:p>
    <w:p>
      <w:pPr>
        <w:numPr>
          <w:ilvl w:val="0"/>
          <w:numId w:val="1024"/>
        </w:numPr>
        <w:pStyle w:val="Compact"/>
      </w:pPr>
      <w:r>
        <w:t xml:space="preserve">BID (Build In Development) = trabajo planificado, 80% = 16 SP del sprint, proviene del Product Backlog, comprometido en el Planning.</w:t>
      </w:r>
    </w:p>
    <w:p>
      <w:pPr>
        <w:numPr>
          <w:ilvl w:val="0"/>
          <w:numId w:val="1024"/>
        </w:numPr>
        <w:pStyle w:val="Compact"/>
      </w:pPr>
      <w:r>
        <w:t xml:space="preserve">ROM (Run of Maintenance) = trabajo no planificado, 20% = 4 SP del sprint, requiere aprobación explícita del PO para entrar.</w:t>
      </w:r>
    </w:p>
    <w:p>
      <w:pPr>
        <w:pStyle w:val="FirstParagraph"/>
      </w:pPr>
      <w:r>
        <w:t xml:space="preserve">Por qué 80/20 (no 70/30): sistema desde cero (sin deuda heredada), cliente institucional estable, sin producto en producción que requiera soporte continuo.</w:t>
      </w:r>
    </w:p>
    <w:p>
      <w:pPr>
        <w:pStyle w:val="BodyText"/>
      </w:pPr>
      <w:r>
        <w:t xml:space="preserve">Entra por ROM: defectos, ajustes técnicos, clarificaciones que requieren trabajo. NO entra por ROM: nuevas épicas/historias (eso es CR formal).</w:t>
      </w:r>
    </w:p>
    <w:p>
      <w:pPr>
        <w:pStyle w:val="Heading3"/>
      </w:pPr>
      <w:bookmarkStart w:id="51" w:name="ceremonias-scrumban-extensiones"/>
      <w:r>
        <w:t xml:space="preserve">Ceremonias Scrumban (extensiones)</w:t>
      </w:r>
      <w:bookmarkEnd w:id="51"/>
    </w:p>
    <w:p>
      <w:pPr>
        <w:numPr>
          <w:ilvl w:val="0"/>
          <w:numId w:val="1025"/>
        </w:numPr>
        <w:pStyle w:val="Compact"/>
      </w:pPr>
      <w:r>
        <w:t xml:space="preserve">Sprint Planning Scrumban: declara capacidad ROM reservada (4 SP) visible en tablero.</w:t>
      </w:r>
    </w:p>
    <w:p>
      <w:pPr>
        <w:numPr>
          <w:ilvl w:val="0"/>
          <w:numId w:val="1025"/>
        </w:numPr>
        <w:pStyle w:val="Compact"/>
      </w:pPr>
      <w:r>
        <w:t xml:space="preserve">Daily Scrumban: 3 preguntas Scrum + revisión del tablero Kanban (WIP, cuellos, throughput).</w:t>
      </w:r>
    </w:p>
    <w:p>
      <w:pPr>
        <w:numPr>
          <w:ilvl w:val="0"/>
          <w:numId w:val="1025"/>
        </w:numPr>
        <w:pStyle w:val="Compact"/>
      </w:pPr>
      <w:r>
        <w:t xml:space="preserve">Sprint Review Scrumban: reporta ratio BID/ROM real vs 80/20 planificado.</w:t>
      </w:r>
    </w:p>
    <w:p>
      <w:pPr>
        <w:numPr>
          <w:ilvl w:val="0"/>
          <w:numId w:val="1025"/>
        </w:numPr>
        <w:pStyle w:val="Compact"/>
      </w:pPr>
      <w:r>
        <w:t xml:space="preserve">Retrospectiva Scrumban: revisa métricas de flujo (throughput, cycle time, cuellos).</w:t>
      </w:r>
    </w:p>
    <w:p>
      <w:pPr>
        <w:pStyle w:val="Heading3"/>
      </w:pPr>
      <w:bookmarkStart w:id="52" w:name="dod-scrumban-8-criterios"/>
      <w:r>
        <w:t xml:space="preserve">DoD Scrumban (8 criterios)</w:t>
      </w:r>
      <w:bookmarkEnd w:id="52"/>
    </w:p>
    <w:p>
      <w:pPr>
        <w:numPr>
          <w:ilvl w:val="0"/>
          <w:numId w:val="1026"/>
        </w:numPr>
        <w:pStyle w:val="Compact"/>
      </w:pPr>
      <w:r>
        <w:t xml:space="preserve">Criterios 1–7: iguales a Scrum base.</w:t>
      </w:r>
    </w:p>
    <w:p>
      <w:pPr>
        <w:numPr>
          <w:ilvl w:val="0"/>
          <w:numId w:val="1026"/>
        </w:numPr>
        <w:pStyle w:val="Compact"/>
      </w:pPr>
      <w:r>
        <w:t xml:space="preserve">Criterio 8 (flujo): la tarea completó Testing y Review sin observaciones pendientes; si hay observaciones regresa a In Progress.</w:t>
      </w:r>
    </w:p>
    <w:p>
      <w:pPr>
        <w:pStyle w:val="Heading3"/>
      </w:pPr>
      <w:bookmarkStart w:id="53" w:name="sla-scrumban"/>
      <w:r>
        <w:t xml:space="preserve">SLA Scrumban</w:t>
      </w:r>
      <w:bookmarkEnd w:id="53"/>
    </w:p>
    <w:p>
      <w:pPr>
        <w:numPr>
          <w:ilvl w:val="0"/>
          <w:numId w:val="1027"/>
        </w:numPr>
        <w:pStyle w:val="Compact"/>
      </w:pPr>
      <w:r>
        <w:t xml:space="preserve">Vigencia: 8 sprints (1 ene – 22 abr 2027)</w:t>
      </w:r>
    </w:p>
    <w:p>
      <w:pPr>
        <w:numPr>
          <w:ilvl w:val="0"/>
          <w:numId w:val="1027"/>
        </w:numPr>
        <w:pStyle w:val="Compact"/>
      </w:pPr>
      <w:r>
        <w:t xml:space="preserve">Lead Time: ≤8 días hábiles</w:t>
      </w:r>
    </w:p>
    <w:p>
      <w:pPr>
        <w:numPr>
          <w:ilvl w:val="0"/>
          <w:numId w:val="1027"/>
        </w:numPr>
        <w:pStyle w:val="Compact"/>
      </w:pPr>
      <w:r>
        <w:t xml:space="preserve">Cycle Time: ≤10 días</w:t>
      </w:r>
    </w:p>
    <w:p>
      <w:pPr>
        <w:numPr>
          <w:ilvl w:val="0"/>
          <w:numId w:val="1027"/>
        </w:numPr>
        <w:pStyle w:val="Compact"/>
      </w:pPr>
      <w:r>
        <w:t xml:space="preserve">WIP In Progress: ≤4</w:t>
      </w:r>
    </w:p>
    <w:p>
      <w:pPr>
        <w:numPr>
          <w:ilvl w:val="0"/>
          <w:numId w:val="1027"/>
        </w:numPr>
        <w:pStyle w:val="Compact"/>
      </w:pPr>
      <w:r>
        <w:t xml:space="preserve">Throughput: 3–4 tareas/semana</w:t>
      </w:r>
    </w:p>
    <w:p>
      <w:pPr>
        <w:numPr>
          <w:ilvl w:val="0"/>
          <w:numId w:val="1027"/>
        </w:numPr>
        <w:pStyle w:val="Compact"/>
      </w:pPr>
      <w:r>
        <w:t xml:space="preserve">Disponibilidad equipo: ≥80% mensual</w:t>
      </w:r>
    </w:p>
    <w:p>
      <w:pPr>
        <w:numPr>
          <w:ilvl w:val="0"/>
          <w:numId w:val="1027"/>
        </w:numPr>
        <w:pStyle w:val="Compact"/>
      </w:pPr>
      <w:r>
        <w:t xml:space="preserve">ROM incluido: 20% capacidad (~4 SP)</w:t>
      </w:r>
    </w:p>
    <w:p>
      <w:pPr>
        <w:numPr>
          <w:ilvl w:val="0"/>
          <w:numId w:val="1027"/>
        </w:numPr>
        <w:pStyle w:val="Compact"/>
      </w:pPr>
      <w:r>
        <w:t xml:space="preserve">Pago: por sprint, primeros 5 días hábiles post-cierre</w:t>
      </w:r>
    </w:p>
    <w:p>
      <w:pPr>
        <w:numPr>
          <w:ilvl w:val="0"/>
          <w:numId w:val="1027"/>
        </w:numPr>
        <w:pStyle w:val="Compact"/>
      </w:pPr>
      <w:r>
        <w:t xml:space="preserve">Cargo extra ROM: Q 3,000 por solicitud fuera del umbral</w:t>
      </w:r>
    </w:p>
    <w:p>
      <w:pPr>
        <w:numPr>
          <w:ilvl w:val="0"/>
          <w:numId w:val="1027"/>
        </w:numPr>
        <w:pStyle w:val="Compact"/>
      </w:pPr>
      <w:r>
        <w:t xml:space="preserve">Penalización: 5% por sprint con retraso en MVP</w:t>
      </w:r>
    </w:p>
    <w:p>
      <w:pPr>
        <w:pStyle w:val="Heading2"/>
      </w:pPr>
      <w:bookmarkStart w:id="54" w:name="familia-xp-extreme-programming"/>
      <w:r>
        <w:t xml:space="preserve">Familia XP (Extreme Programming)</w:t>
      </w:r>
      <w:bookmarkEnd w:id="54"/>
    </w:p>
    <w:p>
      <w:pPr>
        <w:pStyle w:val="Heading3"/>
      </w:pPr>
      <w:bookmarkStart w:id="55" w:name="prácticas"/>
      <w:r>
        <w:t xml:space="preserve">8 prácticas</w:t>
      </w:r>
      <w:bookmarkEnd w:id="55"/>
    </w:p>
    <w:p>
      <w:pPr>
        <w:numPr>
          <w:ilvl w:val="0"/>
          <w:numId w:val="1028"/>
        </w:numPr>
        <w:pStyle w:val="Compact"/>
      </w:pPr>
      <w:r>
        <w:t xml:space="preserve">Pair Programming — driver (escribe) + navigator (revisa), roles rotan. Obligatorio en EP04-US01, EP05-US01 y módulos de seguridad de EP01.</w:t>
      </w:r>
    </w:p>
    <w:p>
      <w:pPr>
        <w:numPr>
          <w:ilvl w:val="0"/>
          <w:numId w:val="1028"/>
        </w:numPr>
        <w:pStyle w:val="Compact"/>
      </w:pPr>
      <w:r>
        <w:t xml:space="preserve">TDD (Test-Driven Development) — ciclo Red → Green → Refactor. Obligatorio en EP02, EP04, EP05.</w:t>
      </w:r>
    </w:p>
    <w:p>
      <w:pPr>
        <w:numPr>
          <w:ilvl w:val="0"/>
          <w:numId w:val="1028"/>
        </w:numPr>
        <w:pStyle w:val="Compact"/>
      </w:pPr>
      <w:r>
        <w:t xml:space="preserve">Refactoring continuo — mejora interna del código sin cambiar comportamiento. Integrado en el DoD (XP-3).</w:t>
      </w:r>
    </w:p>
    <w:p>
      <w:pPr>
        <w:numPr>
          <w:ilvl w:val="0"/>
          <w:numId w:val="1028"/>
        </w:numPr>
        <w:pStyle w:val="Compact"/>
      </w:pPr>
      <w:r>
        <w:t xml:space="preserve">CI (Continuous Integration) — pipeline desde S1: compilación + pruebas unitarias + cobertura. Mitiga R2.</w:t>
      </w:r>
    </w:p>
    <w:p>
      <w:pPr>
        <w:numPr>
          <w:ilvl w:val="0"/>
          <w:numId w:val="1028"/>
        </w:numPr>
        <w:pStyle w:val="Compact"/>
      </w:pPr>
      <w:r>
        <w:t xml:space="preserve">Small Releases — cada sprint es una release incremental.</w:t>
      </w:r>
    </w:p>
    <w:p>
      <w:pPr>
        <w:numPr>
          <w:ilvl w:val="0"/>
          <w:numId w:val="1028"/>
        </w:numPr>
        <w:pStyle w:val="Compact"/>
      </w:pPr>
      <w:r>
        <w:t xml:space="preserve">Simple Design — principio YAGNI (You Aren’t Gonna Need It).</w:t>
      </w:r>
    </w:p>
    <w:p>
      <w:pPr>
        <w:numPr>
          <w:ilvl w:val="0"/>
          <w:numId w:val="1028"/>
        </w:numPr>
        <w:pStyle w:val="Compact"/>
      </w:pPr>
      <w:r>
        <w:t xml:space="preserve">Collective Ownership — cualquier developer puede modificar cualquier código; requiere estándares.</w:t>
      </w:r>
    </w:p>
    <w:p>
      <w:pPr>
        <w:numPr>
          <w:ilvl w:val="0"/>
          <w:numId w:val="1028"/>
        </w:numPr>
        <w:pStyle w:val="Compact"/>
      </w:pPr>
      <w:r>
        <w:t xml:space="preserve">Sustainable Pace — sin horas extra sistemáticas.</w:t>
      </w:r>
    </w:p>
    <w:p>
      <w:pPr>
        <w:pStyle w:val="Heading3"/>
      </w:pPr>
      <w:bookmarkStart w:id="56" w:name="valores"/>
      <w:r>
        <w:t xml:space="preserve">5 valores</w:t>
      </w:r>
      <w:bookmarkEnd w:id="56"/>
    </w:p>
    <w:p>
      <w:pPr>
        <w:pStyle w:val="FirstParagraph"/>
      </w:pPr>
      <w:r>
        <w:t xml:space="preserve">Comunicación, Simplicidad, Retroalimentación, Coraje, Respeto.</w:t>
      </w:r>
    </w:p>
    <w:p>
      <w:pPr>
        <w:pStyle w:val="Heading3"/>
      </w:pPr>
      <w:bookmarkStart w:id="57" w:name="roles-xp-mapeo-a-scrum"/>
      <w:r>
        <w:t xml:space="preserve">Roles XP (mapeo a Scrum)</w:t>
      </w:r>
      <w:bookmarkEnd w:id="57"/>
    </w:p>
    <w:p>
      <w:pPr>
        <w:numPr>
          <w:ilvl w:val="0"/>
          <w:numId w:val="1029"/>
        </w:numPr>
        <w:pStyle w:val="Compact"/>
      </w:pPr>
      <w:r>
        <w:t xml:space="preserve">Cliente = PO</w:t>
      </w:r>
    </w:p>
    <w:p>
      <w:pPr>
        <w:numPr>
          <w:ilvl w:val="0"/>
          <w:numId w:val="1029"/>
        </w:numPr>
        <w:pStyle w:val="Compact"/>
      </w:pPr>
      <w:r>
        <w:t xml:space="preserve">Coach = SM (Mathew Cordero)</w:t>
      </w:r>
    </w:p>
    <w:p>
      <w:pPr>
        <w:numPr>
          <w:ilvl w:val="0"/>
          <w:numId w:val="1029"/>
        </w:numPr>
        <w:pStyle w:val="Compact"/>
      </w:pPr>
      <w:r>
        <w:t xml:space="preserve">Tracker = SM (mismo) responsable de velocidad y métricas</w:t>
      </w:r>
    </w:p>
    <w:p>
      <w:pPr>
        <w:numPr>
          <w:ilvl w:val="0"/>
          <w:numId w:val="1029"/>
        </w:numPr>
        <w:pStyle w:val="Compact"/>
      </w:pPr>
      <w:r>
        <w:t xml:space="preserve">Programadores = Developers</w:t>
      </w:r>
    </w:p>
    <w:p>
      <w:pPr>
        <w:numPr>
          <w:ilvl w:val="0"/>
          <w:numId w:val="1029"/>
        </w:numPr>
        <w:pStyle w:val="Compact"/>
      </w:pPr>
      <w:r>
        <w:t xml:space="preserve">Tester = integrado en los Developers vía TDD</w:t>
      </w:r>
    </w:p>
    <w:p>
      <w:pPr>
        <w:pStyle w:val="Heading3"/>
      </w:pPr>
      <w:bookmarkStart w:id="58" w:name="Xc26d7a8b361e6a8002bf5a9037a0f3179884f56"/>
      <w:r>
        <w:t xml:space="preserve">DoD extendido XP (10 criterios = 7 Scrum + 3 XP)</w:t>
      </w:r>
      <w:bookmarkEnd w:id="58"/>
    </w:p>
    <w:p>
      <w:pPr>
        <w:numPr>
          <w:ilvl w:val="0"/>
          <w:numId w:val="1030"/>
        </w:numPr>
        <w:pStyle w:val="Compact"/>
      </w:pPr>
      <w:r>
        <w:t xml:space="preserve">XP-1: TDD green (pruebas unitarias pasando)</w:t>
      </w:r>
    </w:p>
    <w:p>
      <w:pPr>
        <w:numPr>
          <w:ilvl w:val="0"/>
          <w:numId w:val="1030"/>
        </w:numPr>
        <w:pStyle w:val="Compact"/>
      </w:pPr>
      <w:r>
        <w:t xml:space="preserve">XP-2: CI green (pipeline en verde)</w:t>
      </w:r>
    </w:p>
    <w:p>
      <w:pPr>
        <w:numPr>
          <w:ilvl w:val="0"/>
          <w:numId w:val="1030"/>
        </w:numPr>
        <w:pStyle w:val="Compact"/>
      </w:pPr>
      <w:r>
        <w:t xml:space="preserve">XP-3: Sin deuda técnica deliberada</w:t>
      </w:r>
    </w:p>
    <w:p>
      <w:pPr>
        <w:pStyle w:val="Heading3"/>
      </w:pPr>
      <w:bookmarkStart w:id="59" w:name="historias-técnicas-ht-7"/>
      <w:r>
        <w:t xml:space="preserve">Historias técnicas (HT) — 7</w:t>
      </w:r>
      <w:bookmarkEnd w:id="59"/>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ID</w:t>
            </w:r>
          </w:p>
        </w:tc>
        <w:tc>
          <w:tcPr>
            <w:tcBorders>
              <w:bottom w:val="single"/>
            </w:tcBorders>
            <w:vAlign w:val="bottom"/>
            <w:shd w:val="clear" w:color="auto" w:fill="0E2841"/>
          </w:tcPr>
          <w:p>
            <w:pPr>
              <w:pStyle w:val="Compact"/>
              <w:jc w:val="left"/>
            </w:pPr>
            <w:r>
              <w:rPr>
                <w:rFonts w:ascii="Calibri" w:hAnsi="Calibri"/>
                <w:b/>
                <w:color w:val="FFFFFF"/>
                <w:sz w:val="18"/>
              </w:rPr>
              <w:t xml:space="preserve">Sprint</w:t>
            </w:r>
          </w:p>
        </w:tc>
        <w:tc>
          <w:tcPr>
            <w:tcBorders>
              <w:bottom w:val="single"/>
            </w:tcBorders>
            <w:vAlign w:val="bottom"/>
            <w:shd w:val="clear" w:color="auto" w:fill="0E2841"/>
          </w:tcPr>
          <w:p>
            <w:pPr>
              <w:pStyle w:val="Compact"/>
              <w:jc w:val="left"/>
            </w:pPr>
            <w:r>
              <w:rPr>
                <w:rFonts w:ascii="Calibri" w:hAnsi="Calibri"/>
                <w:b/>
                <w:color w:val="FFFFFF"/>
                <w:sz w:val="18"/>
              </w:rPr>
              <w:t xml:space="preserve">Contenido</w:t>
            </w:r>
          </w:p>
        </w:tc>
      </w:tr>
      <w:tr>
        <w:tc>
          <w:tcPr>
            <w:shd w:val="clear" w:color="auto" w:fill="FFFFFF"/>
          </w:tcPr>
          <w:p>
            <w:pPr>
              <w:pStyle w:val="Compact"/>
              <w:jc w:val="left"/>
            </w:pPr>
            <w:r>
              <w:rPr>
                <w:rFonts w:ascii="Calibri" w:hAnsi="Calibri"/>
                <w:sz w:val="18"/>
              </w:rPr>
              <w:t xml:space="preserve">HT-01</w:t>
            </w:r>
          </w:p>
        </w:tc>
        <w:tc>
          <w:tcPr>
            <w:shd w:val="clear" w:color="auto" w:fill="FFFFFF"/>
          </w:tcPr>
          <w:p>
            <w:pPr>
              <w:pStyle w:val="Compact"/>
              <w:jc w:val="left"/>
            </w:pPr>
            <w:r>
              <w:rPr>
                <w:rFonts w:ascii="Calibri" w:hAnsi="Calibri"/>
                <w:sz w:val="18"/>
              </w:rPr>
              <w:t xml:space="preserve">S1</w:t>
            </w:r>
          </w:p>
        </w:tc>
        <w:tc>
          <w:tcPr>
            <w:shd w:val="clear" w:color="auto" w:fill="FFFFFF"/>
          </w:tcPr>
          <w:p>
            <w:pPr>
              <w:pStyle w:val="Compact"/>
              <w:jc w:val="left"/>
            </w:pPr>
            <w:r>
              <w:rPr>
                <w:rFonts w:ascii="Calibri" w:hAnsi="Calibri"/>
                <w:sz w:val="18"/>
              </w:rPr>
              <w:t xml:space="preserve">Configuración pipeline CI</w:t>
            </w:r>
          </w:p>
        </w:tc>
      </w:tr>
      <w:tr>
        <w:tc>
          <w:tcPr>
            <w:shd w:val="clear" w:color="auto" w:fill="E8E8E8"/>
          </w:tcPr>
          <w:p>
            <w:pPr>
              <w:pStyle w:val="Compact"/>
              <w:jc w:val="left"/>
            </w:pPr>
            <w:r>
              <w:rPr>
                <w:rFonts w:ascii="Calibri" w:hAnsi="Calibri"/>
                <w:sz w:val="18"/>
              </w:rPr>
              <w:t xml:space="preserve">HT-02</w:t>
            </w:r>
          </w:p>
        </w:tc>
        <w:tc>
          <w:tcPr>
            <w:shd w:val="clear" w:color="auto" w:fill="E8E8E8"/>
          </w:tcPr>
          <w:p>
            <w:pPr>
              <w:pStyle w:val="Compact"/>
              <w:jc w:val="left"/>
            </w:pPr>
            <w:r>
              <w:rPr>
                <w:rFonts w:ascii="Calibri" w:hAnsi="Calibri"/>
                <w:sz w:val="18"/>
              </w:rPr>
              <w:t xml:space="preserve">S1</w:t>
            </w:r>
          </w:p>
        </w:tc>
        <w:tc>
          <w:tcPr>
            <w:shd w:val="clear" w:color="auto" w:fill="E8E8E8"/>
          </w:tcPr>
          <w:p>
            <w:pPr>
              <w:pStyle w:val="Compact"/>
              <w:jc w:val="left"/>
            </w:pPr>
            <w:r>
              <w:rPr>
                <w:rFonts w:ascii="Calibri" w:hAnsi="Calibri"/>
                <w:sz w:val="18"/>
              </w:rPr>
              <w:t xml:space="preserve">Definición estándares de codificación</w:t>
            </w:r>
          </w:p>
        </w:tc>
      </w:tr>
      <w:tr>
        <w:tc>
          <w:tcPr>
            <w:shd w:val="clear" w:color="auto" w:fill="FFFFFF"/>
          </w:tcPr>
          <w:p>
            <w:pPr>
              <w:pStyle w:val="Compact"/>
              <w:jc w:val="left"/>
            </w:pPr>
            <w:r>
              <w:rPr>
                <w:rFonts w:ascii="Calibri" w:hAnsi="Calibri"/>
                <w:sz w:val="18"/>
              </w:rPr>
              <w:t xml:space="preserve">HT-03</w:t>
            </w:r>
          </w:p>
        </w:tc>
        <w:tc>
          <w:tcPr>
            <w:shd w:val="clear" w:color="auto" w:fill="FFFFFF"/>
          </w:tcPr>
          <w:p>
            <w:pPr>
              <w:pStyle w:val="Compact"/>
              <w:jc w:val="left"/>
            </w:pPr>
            <w:r>
              <w:rPr>
                <w:rFonts w:ascii="Calibri" w:hAnsi="Calibri"/>
                <w:sz w:val="18"/>
              </w:rPr>
              <w:t xml:space="preserve">S2</w:t>
            </w:r>
          </w:p>
        </w:tc>
        <w:tc>
          <w:tcPr>
            <w:shd w:val="clear" w:color="auto" w:fill="FFFFFF"/>
          </w:tcPr>
          <w:p>
            <w:pPr>
              <w:pStyle w:val="Compact"/>
              <w:jc w:val="left"/>
            </w:pPr>
            <w:r>
              <w:rPr>
                <w:rFonts w:ascii="Calibri" w:hAnsi="Calibri"/>
                <w:sz w:val="18"/>
              </w:rPr>
              <w:t xml:space="preserve">Suite de pruebas unitarias EP02</w:t>
            </w:r>
          </w:p>
        </w:tc>
      </w:tr>
      <w:tr>
        <w:tc>
          <w:tcPr>
            <w:shd w:val="clear" w:color="auto" w:fill="E8E8E8"/>
          </w:tcPr>
          <w:p>
            <w:pPr>
              <w:pStyle w:val="Compact"/>
              <w:jc w:val="left"/>
            </w:pPr>
            <w:r>
              <w:rPr>
                <w:rFonts w:ascii="Calibri" w:hAnsi="Calibri"/>
                <w:sz w:val="18"/>
              </w:rPr>
              <w:t xml:space="preserve">HT-04</w:t>
            </w:r>
          </w:p>
        </w:tc>
        <w:tc>
          <w:tcPr>
            <w:shd w:val="clear" w:color="auto" w:fill="E8E8E8"/>
          </w:tcPr>
          <w:p>
            <w:pPr>
              <w:pStyle w:val="Compact"/>
              <w:jc w:val="left"/>
            </w:pPr>
            <w:r>
              <w:rPr>
                <w:rFonts w:ascii="Calibri" w:hAnsi="Calibri"/>
                <w:sz w:val="18"/>
              </w:rPr>
              <w:t xml:space="preserve">S3</w:t>
            </w:r>
          </w:p>
        </w:tc>
        <w:tc>
          <w:tcPr>
            <w:shd w:val="clear" w:color="auto" w:fill="E8E8E8"/>
          </w:tcPr>
          <w:p>
            <w:pPr>
              <w:pStyle w:val="Compact"/>
              <w:jc w:val="left"/>
            </w:pPr>
            <w:r>
              <w:rPr>
                <w:rFonts w:ascii="Calibri" w:hAnsi="Calibri"/>
                <w:sz w:val="18"/>
              </w:rPr>
              <w:t xml:space="preserve">Refactorización módulo autenticación EP01</w:t>
            </w:r>
          </w:p>
        </w:tc>
      </w:tr>
      <w:tr>
        <w:tc>
          <w:tcPr>
            <w:shd w:val="clear" w:color="auto" w:fill="FFFFFF"/>
          </w:tcPr>
          <w:p>
            <w:pPr>
              <w:pStyle w:val="Compact"/>
              <w:jc w:val="left"/>
            </w:pPr>
            <w:r>
              <w:rPr>
                <w:rFonts w:ascii="Calibri" w:hAnsi="Calibri"/>
                <w:sz w:val="18"/>
              </w:rPr>
              <w:t xml:space="preserve">HT-05</w:t>
            </w:r>
          </w:p>
        </w:tc>
        <w:tc>
          <w:tcPr>
            <w:shd w:val="clear" w:color="auto" w:fill="FFFFFF"/>
          </w:tcPr>
          <w:p>
            <w:pPr>
              <w:pStyle w:val="Compact"/>
              <w:jc w:val="left"/>
            </w:pPr>
            <w:r>
              <w:rPr>
                <w:rFonts w:ascii="Calibri" w:hAnsi="Calibri"/>
                <w:sz w:val="18"/>
              </w:rPr>
              <w:t xml:space="preserve">S5</w:t>
            </w:r>
          </w:p>
        </w:tc>
        <w:tc>
          <w:tcPr>
            <w:shd w:val="clear" w:color="auto" w:fill="FFFFFF"/>
          </w:tcPr>
          <w:p>
            <w:pPr>
              <w:pStyle w:val="Compact"/>
              <w:jc w:val="left"/>
            </w:pPr>
            <w:r>
              <w:rPr>
                <w:rFonts w:ascii="Calibri" w:hAnsi="Calibri"/>
                <w:sz w:val="18"/>
              </w:rPr>
              <w:t xml:space="preserve">Pruebas unitarias EP04 motor de recomendación</w:t>
            </w:r>
          </w:p>
        </w:tc>
      </w:tr>
      <w:tr>
        <w:tc>
          <w:tcPr>
            <w:shd w:val="clear" w:color="auto" w:fill="E8E8E8"/>
          </w:tcPr>
          <w:p>
            <w:pPr>
              <w:pStyle w:val="Compact"/>
              <w:jc w:val="left"/>
            </w:pPr>
            <w:r>
              <w:rPr>
                <w:rFonts w:ascii="Calibri" w:hAnsi="Calibri"/>
                <w:sz w:val="18"/>
              </w:rPr>
              <w:t xml:space="preserve">HT-06</w:t>
            </w:r>
          </w:p>
        </w:tc>
        <w:tc>
          <w:tcPr>
            <w:shd w:val="clear" w:color="auto" w:fill="E8E8E8"/>
          </w:tcPr>
          <w:p>
            <w:pPr>
              <w:pStyle w:val="Compact"/>
              <w:jc w:val="left"/>
            </w:pPr>
            <w:r>
              <w:rPr>
                <w:rFonts w:ascii="Calibri" w:hAnsi="Calibri"/>
                <w:sz w:val="18"/>
              </w:rPr>
              <w:t xml:space="preserve">S6</w:t>
            </w:r>
          </w:p>
        </w:tc>
        <w:tc>
          <w:tcPr>
            <w:shd w:val="clear" w:color="auto" w:fill="E8E8E8"/>
          </w:tcPr>
          <w:p>
            <w:pPr>
              <w:pStyle w:val="Compact"/>
              <w:jc w:val="left"/>
            </w:pPr>
            <w:r>
              <w:rPr>
                <w:rFonts w:ascii="Calibri" w:hAnsi="Calibri"/>
                <w:sz w:val="18"/>
              </w:rPr>
              <w:t xml:space="preserve">Refactorización EP04 post-implementación</w:t>
            </w:r>
          </w:p>
        </w:tc>
      </w:tr>
      <w:tr>
        <w:tc>
          <w:tcPr>
            <w:shd w:val="clear" w:color="auto" w:fill="FFFFFF"/>
          </w:tcPr>
          <w:p>
            <w:pPr>
              <w:pStyle w:val="Compact"/>
              <w:jc w:val="left"/>
            </w:pPr>
            <w:r>
              <w:rPr>
                <w:rFonts w:ascii="Calibri" w:hAnsi="Calibri"/>
                <w:sz w:val="18"/>
              </w:rPr>
              <w:t xml:space="preserve">HT-07</w:t>
            </w:r>
          </w:p>
        </w:tc>
        <w:tc>
          <w:tcPr>
            <w:shd w:val="clear" w:color="auto" w:fill="FFFFFF"/>
          </w:tcPr>
          <w:p>
            <w:pPr>
              <w:pStyle w:val="Compact"/>
              <w:jc w:val="left"/>
            </w:pPr>
            <w:r>
              <w:rPr>
                <w:rFonts w:ascii="Calibri" w:hAnsi="Calibri"/>
                <w:sz w:val="18"/>
              </w:rPr>
              <w:t xml:space="preserve">S4/S8</w:t>
            </w:r>
          </w:p>
        </w:tc>
        <w:tc>
          <w:tcPr>
            <w:shd w:val="clear" w:color="auto" w:fill="FFFFFF"/>
          </w:tcPr>
          <w:p>
            <w:pPr>
              <w:pStyle w:val="Compact"/>
              <w:jc w:val="left"/>
            </w:pPr>
            <w:r>
              <w:rPr>
                <w:rFonts w:ascii="Calibri" w:hAnsi="Calibri"/>
                <w:sz w:val="18"/>
              </w:rPr>
              <w:t xml:space="preserve">Revisión de seguridad / hardening</w:t>
            </w:r>
          </w:p>
        </w:tc>
      </w:tr>
    </w:tbl>
    <w:p>
      <w:pPr>
        <w:pStyle w:val="BodyText"/>
      </w:pPr>
      <w:r>
        <w:t xml:space="preserve">Regla: ~20% de capacidad del sprint a historias técnicas.</w:t>
      </w:r>
    </w:p>
    <w:p>
      <w:pPr>
        <w:pStyle w:val="Heading3"/>
      </w:pPr>
      <w:bookmarkStart w:id="60" w:name="métricas-de-calidad-xp"/>
      <w:r>
        <w:t xml:space="preserve">Métricas de calidad XP</w:t>
      </w:r>
      <w:bookmarkEnd w:id="60"/>
    </w:p>
    <w:p>
      <w:pPr>
        <w:numPr>
          <w:ilvl w:val="0"/>
          <w:numId w:val="1031"/>
        </w:numPr>
        <w:pStyle w:val="Compact"/>
      </w:pPr>
      <w:r>
        <w:t xml:space="preserve">Cobertura: ≥70% EP01–EP06</w:t>
      </w:r>
    </w:p>
    <w:p>
      <w:pPr>
        <w:numPr>
          <w:ilvl w:val="0"/>
          <w:numId w:val="1031"/>
        </w:numPr>
        <w:pStyle w:val="Compact"/>
      </w:pPr>
      <w:r>
        <w:t xml:space="preserve">Defectos P1: 0 en MVP</w:t>
      </w:r>
    </w:p>
    <w:p>
      <w:pPr>
        <w:numPr>
          <w:ilvl w:val="0"/>
          <w:numId w:val="1031"/>
        </w:numPr>
        <w:pStyle w:val="Compact"/>
      </w:pPr>
      <w:r>
        <w:t xml:space="preserve">HU aprobadas sin retrabajo: ≥90%</w:t>
      </w:r>
    </w:p>
    <w:p>
      <w:pPr>
        <w:numPr>
          <w:ilvl w:val="0"/>
          <w:numId w:val="1031"/>
        </w:numPr>
        <w:pStyle w:val="Compact"/>
      </w:pPr>
      <w:r>
        <w:t xml:space="preserve">Completación pruebas de usabilidad: ≥70%</w:t>
      </w:r>
    </w:p>
    <w:p>
      <w:pPr>
        <w:numPr>
          <w:ilvl w:val="0"/>
          <w:numId w:val="1031"/>
        </w:numPr>
        <w:pStyle w:val="Compact"/>
      </w:pPr>
      <w:r>
        <w:t xml:space="preserve">100% de HU pasando Code Review</w:t>
      </w:r>
    </w:p>
    <w:p>
      <w:pPr>
        <w:pStyle w:val="Heading3"/>
      </w:pPr>
      <w:bookmarkStart w:id="61" w:name="anti-patrones-xp-a-evitar"/>
      <w:r>
        <w:t xml:space="preserve">4 anti-patrones XP a evitar</w:t>
      </w:r>
      <w:bookmarkEnd w:id="61"/>
    </w:p>
    <w:p>
      <w:pPr>
        <w:numPr>
          <w:ilvl w:val="0"/>
          <w:numId w:val="1032"/>
        </w:numPr>
        <w:pStyle w:val="Compact"/>
      </w:pPr>
      <w:r>
        <w:t xml:space="preserve">TDD sin cobertura significativa (solo caso feliz)</w:t>
      </w:r>
    </w:p>
    <w:p>
      <w:pPr>
        <w:numPr>
          <w:ilvl w:val="0"/>
          <w:numId w:val="1032"/>
        </w:numPr>
        <w:pStyle w:val="Compact"/>
      </w:pPr>
      <w:r>
        <w:t xml:space="preserve">Pair Programming como supervisión (navigator permanente)</w:t>
      </w:r>
    </w:p>
    <w:p>
      <w:pPr>
        <w:numPr>
          <w:ilvl w:val="0"/>
          <w:numId w:val="1032"/>
        </w:numPr>
        <w:pStyle w:val="Compact"/>
      </w:pPr>
      <w:r>
        <w:t xml:space="preserve">Refactor como tarea aparte (</w:t>
      </w:r>
      <w:r>
        <w:t xml:space="preserve">“</w:t>
      </w:r>
      <w:r>
        <w:t xml:space="preserve">sprint de limpieza</w:t>
      </w:r>
      <w:r>
        <w:t xml:space="preserve">”</w:t>
      </w:r>
      <w:r>
        <w:t xml:space="preserve">)</w:t>
      </w:r>
    </w:p>
    <w:p>
      <w:pPr>
        <w:numPr>
          <w:ilvl w:val="0"/>
          <w:numId w:val="1032"/>
        </w:numPr>
        <w:pStyle w:val="Compact"/>
      </w:pPr>
      <w:r>
        <w:t xml:space="preserve">Adoptar Scrum sin prácticas XP (el más común según el docente)</w:t>
      </w:r>
    </w:p>
    <w:p>
      <w:pPr>
        <w:pStyle w:val="Heading3"/>
      </w:pPr>
      <w:bookmarkStart w:id="62" w:name="frase-clave"/>
      <w:r>
        <w:t xml:space="preserve">Frase clave</w:t>
      </w:r>
      <w:bookmarkEnd w:id="62"/>
    </w:p>
    <w:p>
      <w:pPr>
        <w:pStyle w:val="FirstParagraph"/>
      </w:pPr>
      <w:r>
        <w:t xml:space="preserve">“</w:t>
      </w:r>
      <w:r>
        <w:t xml:space="preserve">Scrum gestiona el proceso, XP gestiona la técnica.</w:t>
      </w:r>
      <w:r>
        <w:t xml:space="preserve">”</w:t>
      </w:r>
    </w:p>
    <w:p>
      <w:pPr>
        <w:pStyle w:val="Heading2"/>
      </w:pPr>
      <w:bookmarkStart w:id="63" w:name="familia-pmi-pmbok"/>
      <w:r>
        <w:t xml:space="preserve">Familia PMI / PMBOK</w:t>
      </w:r>
      <w:bookmarkEnd w:id="63"/>
    </w:p>
    <w:p>
      <w:pPr>
        <w:pStyle w:val="Heading3"/>
      </w:pPr>
      <w:bookmarkStart w:id="64" w:name="áreas-de-conocimiento"/>
      <w:r>
        <w:t xml:space="preserve">10 áreas de conocimiento</w:t>
      </w:r>
      <w:bookmarkEnd w:id="64"/>
    </w:p>
    <w:p>
      <w:pPr>
        <w:numPr>
          <w:ilvl w:val="0"/>
          <w:numId w:val="1033"/>
        </w:numPr>
        <w:pStyle w:val="Compact"/>
      </w:pPr>
      <w:r>
        <w:t xml:space="preserve">Integración (Project Charter, control integrado de cambios)</w:t>
      </w:r>
    </w:p>
    <w:p>
      <w:pPr>
        <w:numPr>
          <w:ilvl w:val="0"/>
          <w:numId w:val="1033"/>
        </w:numPr>
        <w:pStyle w:val="Compact"/>
      </w:pPr>
      <w:r>
        <w:t xml:space="preserve">Alcance (WBS/EDT, scope statement, in/out of scope)</w:t>
      </w:r>
    </w:p>
    <w:p>
      <w:pPr>
        <w:numPr>
          <w:ilvl w:val="0"/>
          <w:numId w:val="1033"/>
        </w:numPr>
        <w:pStyle w:val="Compact"/>
      </w:pPr>
      <w:r>
        <w:t xml:space="preserve">Cronograma (Gantt, hitos, ruta crítica, SPI)</w:t>
      </w:r>
    </w:p>
    <w:p>
      <w:pPr>
        <w:numPr>
          <w:ilvl w:val="0"/>
          <w:numId w:val="1033"/>
        </w:numPr>
        <w:pStyle w:val="Compact"/>
      </w:pPr>
      <w:r>
        <w:t xml:space="preserve">Costos (BAC, CPI, EAC, burn rate)</w:t>
      </w:r>
    </w:p>
    <w:p>
      <w:pPr>
        <w:numPr>
          <w:ilvl w:val="0"/>
          <w:numId w:val="1033"/>
        </w:numPr>
        <w:pStyle w:val="Compact"/>
      </w:pPr>
      <w:r>
        <w:t xml:space="preserve">Calidad (DoR, DoD, QA vs QC)</w:t>
      </w:r>
    </w:p>
    <w:p>
      <w:pPr>
        <w:numPr>
          <w:ilvl w:val="0"/>
          <w:numId w:val="1033"/>
        </w:numPr>
        <w:pStyle w:val="Compact"/>
      </w:pPr>
      <w:r>
        <w:t xml:space="preserve">Recursos (equipo, FTE, RACI)</w:t>
      </w:r>
    </w:p>
    <w:p>
      <w:pPr>
        <w:numPr>
          <w:ilvl w:val="0"/>
          <w:numId w:val="1033"/>
        </w:numPr>
        <w:pStyle w:val="Compact"/>
      </w:pPr>
      <w:r>
        <w:t xml:space="preserve">Comunicaciones (plan C1–C8)</w:t>
      </w:r>
    </w:p>
    <w:p>
      <w:pPr>
        <w:numPr>
          <w:ilvl w:val="0"/>
          <w:numId w:val="1033"/>
        </w:numPr>
        <w:pStyle w:val="Compact"/>
      </w:pPr>
      <w:r>
        <w:t xml:space="preserve">Riesgos (R1–R9, EMV, reserva)</w:t>
      </w:r>
    </w:p>
    <w:p>
      <w:pPr>
        <w:numPr>
          <w:ilvl w:val="0"/>
          <w:numId w:val="1033"/>
        </w:numPr>
        <w:pStyle w:val="Compact"/>
      </w:pPr>
      <w:r>
        <w:t xml:space="preserve">Adquisiciones (SLA cloud, SOW, contrato precio fijo)</w:t>
      </w:r>
    </w:p>
    <w:p>
      <w:pPr>
        <w:numPr>
          <w:ilvl w:val="0"/>
          <w:numId w:val="1033"/>
        </w:numPr>
        <w:pStyle w:val="Compact"/>
      </w:pPr>
      <w:r>
        <w:t xml:space="preserve">Stakeholders (Matriz Poder-Interés)</w:t>
      </w:r>
    </w:p>
    <w:p>
      <w:pPr>
        <w:pStyle w:val="Heading3"/>
      </w:pPr>
      <w:bookmarkStart w:id="65" w:name="evm-earned-value-management"/>
      <w:r>
        <w:t xml:space="preserve">EVM — Earned Value Management</w:t>
      </w:r>
      <w:bookmarkEnd w:id="65"/>
    </w:p>
    <w:p>
      <w:pPr>
        <w:pStyle w:val="FirstParagraph"/>
      </w:pPr>
      <w:r>
        <w:t xml:space="preserve">Variables:</w:t>
      </w:r>
    </w:p>
    <w:p>
      <w:pPr>
        <w:numPr>
          <w:ilvl w:val="0"/>
          <w:numId w:val="1034"/>
        </w:numPr>
        <w:pStyle w:val="Compact"/>
      </w:pPr>
      <w:r>
        <w:t xml:space="preserve">BAC (Budget at Completion) — presupuesto total = Q 814,000</w:t>
      </w:r>
    </w:p>
    <w:p>
      <w:pPr>
        <w:numPr>
          <w:ilvl w:val="0"/>
          <w:numId w:val="1034"/>
        </w:numPr>
        <w:pStyle w:val="Compact"/>
      </w:pPr>
      <w:r>
        <w:t xml:space="preserve">PV (Planned Value) — valor planificado acumulado a la fecha</w:t>
      </w:r>
    </w:p>
    <w:p>
      <w:pPr>
        <w:numPr>
          <w:ilvl w:val="0"/>
          <w:numId w:val="1034"/>
        </w:numPr>
        <w:pStyle w:val="Compact"/>
      </w:pPr>
      <w:r>
        <w:t xml:space="preserve">EV (Earned Value) — valor ganado (SP completados / 121 × BAC)</w:t>
      </w:r>
    </w:p>
    <w:p>
      <w:pPr>
        <w:numPr>
          <w:ilvl w:val="0"/>
          <w:numId w:val="1034"/>
        </w:numPr>
        <w:pStyle w:val="Compact"/>
      </w:pPr>
      <w:r>
        <w:t xml:space="preserve">AC (Actual Cost) — costo real acumulado</w:t>
      </w:r>
    </w:p>
    <w:p>
      <w:pPr>
        <w:pStyle w:val="FirstParagraph"/>
      </w:pPr>
      <w:r>
        <w:t xml:space="preserve">Índices:</w:t>
      </w:r>
    </w:p>
    <w:p>
      <w:pPr>
        <w:numPr>
          <w:ilvl w:val="0"/>
          <w:numId w:val="1035"/>
        </w:numPr>
        <w:pStyle w:val="Compact"/>
      </w:pPr>
      <w:r>
        <w:t xml:space="preserve">CV = EV − AC (varianza de costo; positivo = bajo presupuesto)</w:t>
      </w:r>
    </w:p>
    <w:p>
      <w:pPr>
        <w:numPr>
          <w:ilvl w:val="0"/>
          <w:numId w:val="1035"/>
        </w:numPr>
        <w:pStyle w:val="Compact"/>
      </w:pPr>
      <w:r>
        <w:t xml:space="preserve">SV = EV − PV (varianza de cronograma; positivo = adelantado)</w:t>
      </w:r>
    </w:p>
    <w:p>
      <w:pPr>
        <w:numPr>
          <w:ilvl w:val="0"/>
          <w:numId w:val="1035"/>
        </w:numPr>
        <w:pStyle w:val="Compact"/>
      </w:pPr>
      <w:r>
        <w:t xml:space="preserve">CPI = EV / AC (&gt;1 = bajo presupuesto)</w:t>
      </w:r>
    </w:p>
    <w:p>
      <w:pPr>
        <w:numPr>
          <w:ilvl w:val="0"/>
          <w:numId w:val="1035"/>
        </w:numPr>
        <w:pStyle w:val="Compact"/>
      </w:pPr>
      <w:r>
        <w:t xml:space="preserve">SPI = EV / PV (&gt;1 = adelantado)</w:t>
      </w:r>
    </w:p>
    <w:p>
      <w:pPr>
        <w:pStyle w:val="FirstParagraph"/>
      </w:pPr>
      <w:r>
        <w:t xml:space="preserve">Proyección:</w:t>
      </w:r>
    </w:p>
    <w:p>
      <w:pPr>
        <w:numPr>
          <w:ilvl w:val="0"/>
          <w:numId w:val="1036"/>
        </w:numPr>
        <w:pStyle w:val="Compact"/>
      </w:pPr>
      <w:r>
        <w:t xml:space="preserve">EAC = BAC / CPI</w:t>
      </w:r>
    </w:p>
    <w:p>
      <w:pPr>
        <w:numPr>
          <w:ilvl w:val="0"/>
          <w:numId w:val="1036"/>
        </w:numPr>
        <w:pStyle w:val="Compact"/>
      </w:pPr>
      <w:r>
        <w:t xml:space="preserve">ETC = EAC − AC</w:t>
      </w:r>
    </w:p>
    <w:p>
      <w:pPr>
        <w:numPr>
          <w:ilvl w:val="0"/>
          <w:numId w:val="1036"/>
        </w:numPr>
        <w:pStyle w:val="Compact"/>
      </w:pPr>
      <w:r>
        <w:t xml:space="preserve">VAC = BAC − EAC</w:t>
      </w:r>
    </w:p>
    <w:p>
      <w:pPr>
        <w:pStyle w:val="FirstParagraph"/>
      </w:pPr>
      <w:r>
        <w:t xml:space="preserve">Alerta: CPI o SPI &lt; 0.90 en 2 sprints consecutivos → escalamiento al Sponsor por canal C1.</w:t>
      </w:r>
    </w:p>
    <w:p>
      <w:pPr>
        <w:pStyle w:val="BodyText"/>
      </w:pPr>
      <w:r>
        <w:t xml:space="preserve">PV planificado por sprint (BAC = Q 814,000):</w:t>
      </w:r>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Sprint</w:t>
            </w:r>
          </w:p>
        </w:tc>
        <w:tc>
          <w:tcPr>
            <w:tcBorders>
              <w:bottom w:val="single"/>
            </w:tcBorders>
            <w:vAlign w:val="bottom"/>
            <w:shd w:val="clear" w:color="auto" w:fill="0E2841"/>
          </w:tcPr>
          <w:p>
            <w:pPr>
              <w:pStyle w:val="Compact"/>
              <w:jc w:val="right"/>
            </w:pPr>
            <w:r>
              <w:rPr>
                <w:rFonts w:ascii="Calibri" w:hAnsi="Calibri"/>
                <w:b/>
                <w:color w:val="FFFFFF"/>
                <w:sz w:val="18"/>
              </w:rPr>
              <w:t xml:space="preserve">PV acumulado</w:t>
            </w:r>
          </w:p>
        </w:tc>
      </w:tr>
      <w:tr>
        <w:tc>
          <w:tcPr>
            <w:shd w:val="clear" w:color="auto" w:fill="FFFFFF"/>
          </w:tcPr>
          <w:p>
            <w:pPr>
              <w:pStyle w:val="Compact"/>
              <w:jc w:val="left"/>
            </w:pPr>
            <w:r>
              <w:rPr>
                <w:rFonts w:ascii="Calibri" w:hAnsi="Calibri"/>
                <w:sz w:val="18"/>
              </w:rPr>
              <w:t xml:space="preserve">S1</w:t>
            </w:r>
          </w:p>
        </w:tc>
        <w:tc>
          <w:tcPr>
            <w:shd w:val="clear" w:color="auto" w:fill="FFFFFF"/>
          </w:tcPr>
          <w:p>
            <w:pPr>
              <w:pStyle w:val="Compact"/>
              <w:jc w:val="right"/>
            </w:pPr>
            <w:r>
              <w:rPr>
                <w:rFonts w:ascii="Calibri" w:hAnsi="Calibri"/>
                <w:sz w:val="18"/>
              </w:rPr>
              <w:t xml:space="preserve">Q 87,500</w:t>
            </w:r>
          </w:p>
        </w:tc>
      </w:tr>
      <w:tr>
        <w:tc>
          <w:tcPr>
            <w:shd w:val="clear" w:color="auto" w:fill="E8E8E8"/>
          </w:tcPr>
          <w:p>
            <w:pPr>
              <w:pStyle w:val="Compact"/>
              <w:jc w:val="left"/>
            </w:pPr>
            <w:r>
              <w:rPr>
                <w:rFonts w:ascii="Calibri" w:hAnsi="Calibri"/>
                <w:sz w:val="18"/>
              </w:rPr>
              <w:t xml:space="preserve">S2</w:t>
            </w:r>
          </w:p>
        </w:tc>
        <w:tc>
          <w:tcPr>
            <w:shd w:val="clear" w:color="auto" w:fill="E8E8E8"/>
          </w:tcPr>
          <w:p>
            <w:pPr>
              <w:pStyle w:val="Compact"/>
              <w:jc w:val="right"/>
            </w:pPr>
            <w:r>
              <w:rPr>
                <w:rFonts w:ascii="Calibri" w:hAnsi="Calibri"/>
                <w:sz w:val="18"/>
              </w:rPr>
              <w:t xml:space="preserve">Q 187,220</w:t>
            </w:r>
          </w:p>
        </w:tc>
      </w:tr>
      <w:tr>
        <w:tc>
          <w:tcPr>
            <w:shd w:val="clear" w:color="auto" w:fill="FFFFFF"/>
          </w:tcPr>
          <w:p>
            <w:pPr>
              <w:pStyle w:val="Compact"/>
              <w:jc w:val="left"/>
            </w:pPr>
            <w:r>
              <w:rPr>
                <w:rFonts w:ascii="Calibri" w:hAnsi="Calibri"/>
                <w:sz w:val="18"/>
              </w:rPr>
              <w:t xml:space="preserve">S3</w:t>
            </w:r>
          </w:p>
        </w:tc>
        <w:tc>
          <w:tcPr>
            <w:shd w:val="clear" w:color="auto" w:fill="FFFFFF"/>
          </w:tcPr>
          <w:p>
            <w:pPr>
              <w:pStyle w:val="Compact"/>
              <w:jc w:val="right"/>
            </w:pPr>
            <w:r>
              <w:rPr>
                <w:rFonts w:ascii="Calibri" w:hAnsi="Calibri"/>
                <w:sz w:val="18"/>
              </w:rPr>
              <w:t xml:space="preserve">Q 295,080</w:t>
            </w:r>
          </w:p>
        </w:tc>
      </w:tr>
      <w:tr>
        <w:tc>
          <w:tcPr>
            <w:shd w:val="clear" w:color="auto" w:fill="E8E8E8"/>
          </w:tcPr>
          <w:p>
            <w:pPr>
              <w:pStyle w:val="Compact"/>
              <w:jc w:val="left"/>
            </w:pPr>
            <w:r>
              <w:rPr>
                <w:rFonts w:ascii="Calibri" w:hAnsi="Calibri"/>
                <w:sz w:val="18"/>
              </w:rPr>
              <w:t xml:space="preserve">S4</w:t>
            </w:r>
          </w:p>
        </w:tc>
        <w:tc>
          <w:tcPr>
            <w:shd w:val="clear" w:color="auto" w:fill="E8E8E8"/>
          </w:tcPr>
          <w:p>
            <w:pPr>
              <w:pStyle w:val="Compact"/>
              <w:jc w:val="right"/>
            </w:pPr>
            <w:r>
              <w:rPr>
                <w:rFonts w:ascii="Calibri" w:hAnsi="Calibri"/>
                <w:sz w:val="18"/>
              </w:rPr>
              <w:t xml:space="preserve">Q 402,940</w:t>
            </w:r>
          </w:p>
        </w:tc>
      </w:tr>
      <w:tr>
        <w:tc>
          <w:tcPr>
            <w:shd w:val="clear" w:color="auto" w:fill="FFFFFF"/>
          </w:tcPr>
          <w:p>
            <w:pPr>
              <w:pStyle w:val="Compact"/>
              <w:jc w:val="left"/>
            </w:pPr>
            <w:r>
              <w:rPr>
                <w:rFonts w:ascii="Calibri" w:hAnsi="Calibri"/>
                <w:sz w:val="18"/>
              </w:rPr>
              <w:t xml:space="preserve">S5</w:t>
            </w:r>
          </w:p>
        </w:tc>
        <w:tc>
          <w:tcPr>
            <w:shd w:val="clear" w:color="auto" w:fill="FFFFFF"/>
          </w:tcPr>
          <w:p>
            <w:pPr>
              <w:pStyle w:val="Compact"/>
              <w:jc w:val="right"/>
            </w:pPr>
            <w:r>
              <w:rPr>
                <w:rFonts w:ascii="Calibri" w:hAnsi="Calibri"/>
                <w:sz w:val="18"/>
              </w:rPr>
              <w:t xml:space="preserve">Q 510,800</w:t>
            </w:r>
          </w:p>
        </w:tc>
      </w:tr>
      <w:tr>
        <w:tc>
          <w:tcPr>
            <w:shd w:val="clear" w:color="auto" w:fill="E8E8E8"/>
          </w:tcPr>
          <w:p>
            <w:pPr>
              <w:pStyle w:val="Compact"/>
              <w:jc w:val="left"/>
            </w:pPr>
            <w:r>
              <w:rPr>
                <w:rFonts w:ascii="Calibri" w:hAnsi="Calibri"/>
                <w:sz w:val="18"/>
              </w:rPr>
              <w:t xml:space="preserve">S6</w:t>
            </w:r>
          </w:p>
        </w:tc>
        <w:tc>
          <w:tcPr>
            <w:shd w:val="clear" w:color="auto" w:fill="E8E8E8"/>
          </w:tcPr>
          <w:p>
            <w:pPr>
              <w:pStyle w:val="Compact"/>
              <w:jc w:val="right"/>
            </w:pPr>
            <w:r>
              <w:rPr>
                <w:rFonts w:ascii="Calibri" w:hAnsi="Calibri"/>
                <w:sz w:val="18"/>
              </w:rPr>
              <w:t xml:space="preserve">Q 618,660</w:t>
            </w:r>
          </w:p>
        </w:tc>
      </w:tr>
      <w:tr>
        <w:tc>
          <w:tcPr>
            <w:shd w:val="clear" w:color="auto" w:fill="FFFFFF"/>
          </w:tcPr>
          <w:p>
            <w:pPr>
              <w:pStyle w:val="Compact"/>
              <w:jc w:val="left"/>
            </w:pPr>
            <w:r>
              <w:rPr>
                <w:rFonts w:ascii="Calibri" w:hAnsi="Calibri"/>
                <w:sz w:val="18"/>
              </w:rPr>
              <w:t xml:space="preserve">S7</w:t>
            </w:r>
          </w:p>
        </w:tc>
        <w:tc>
          <w:tcPr>
            <w:shd w:val="clear" w:color="auto" w:fill="FFFFFF"/>
          </w:tcPr>
          <w:p>
            <w:pPr>
              <w:pStyle w:val="Compact"/>
              <w:jc w:val="right"/>
            </w:pPr>
            <w:r>
              <w:rPr>
                <w:rFonts w:ascii="Calibri" w:hAnsi="Calibri"/>
                <w:sz w:val="18"/>
              </w:rPr>
              <w:t xml:space="preserve">Q 718,360</w:t>
            </w:r>
          </w:p>
        </w:tc>
      </w:tr>
      <w:tr>
        <w:tc>
          <w:tcPr>
            <w:shd w:val="clear" w:color="auto" w:fill="E8E8E8"/>
          </w:tcPr>
          <w:p>
            <w:pPr>
              <w:pStyle w:val="Compact"/>
              <w:jc w:val="left"/>
            </w:pPr>
            <w:r>
              <w:rPr>
                <w:rFonts w:ascii="Calibri" w:hAnsi="Calibri"/>
                <w:sz w:val="18"/>
              </w:rPr>
              <w:t xml:space="preserve">S8</w:t>
            </w:r>
          </w:p>
        </w:tc>
        <w:tc>
          <w:tcPr>
            <w:shd w:val="clear" w:color="auto" w:fill="E8E8E8"/>
          </w:tcPr>
          <w:p>
            <w:pPr>
              <w:pStyle w:val="Compact"/>
              <w:jc w:val="right"/>
            </w:pPr>
            <w:r>
              <w:rPr>
                <w:rFonts w:ascii="Calibri" w:hAnsi="Calibri"/>
                <w:sz w:val="18"/>
              </w:rPr>
              <w:t xml:space="preserve">Q 814,000</w:t>
            </w:r>
          </w:p>
        </w:tc>
      </w:tr>
    </w:tbl>
    <w:p>
      <w:pPr>
        <w:pStyle w:val="Heading3"/>
      </w:pPr>
      <w:bookmarkStart w:id="66" w:name="water-scrum-fall"/>
      <w:r>
        <w:t xml:space="preserve">Water-Scrum-Fall</w:t>
      </w:r>
      <w:bookmarkEnd w:id="66"/>
    </w:p>
    <w:p>
      <w:pPr>
        <w:pStyle w:val="FirstParagraph"/>
      </w:pPr>
      <w:r>
        <w:t xml:space="preserve">Modelo macro de tres fases:</w:t>
      </w:r>
    </w:p>
    <w:p>
      <w:pPr>
        <w:numPr>
          <w:ilvl w:val="0"/>
          <w:numId w:val="1037"/>
        </w:numPr>
        <w:pStyle w:val="Compact"/>
      </w:pPr>
      <w:r>
        <w:t xml:space="preserve">Planificación PMI (10 mar 2026 – 31 dic 2026): 10 documentos PMI (Charter, WBS, plan de riesgos, comunicaciones, adquisiciones, stakeholders, Gantt, calidad, control de cambios, EVM).</w:t>
      </w:r>
    </w:p>
    <w:p>
      <w:pPr>
        <w:numPr>
          <w:ilvl w:val="0"/>
          <w:numId w:val="1037"/>
        </w:numPr>
        <w:pStyle w:val="Compact"/>
      </w:pPr>
      <w:r>
        <w:t xml:space="preserve">Ejecución ágil (1 ene – 22 abr 2027): 8 sprints Scrumban + XP.</w:t>
      </w:r>
    </w:p>
    <w:p>
      <w:pPr>
        <w:numPr>
          <w:ilvl w:val="0"/>
          <w:numId w:val="1037"/>
        </w:numPr>
        <w:pStyle w:val="Compact"/>
      </w:pPr>
      <w:r>
        <w:t xml:space="preserve">Cierre PMI (abr–may 2027): reporte EVM final, lecciones aprendidas, Acta de Cierre.</w:t>
      </w:r>
    </w:p>
    <w:p>
      <w:pPr>
        <w:pStyle w:val="Heading3"/>
      </w:pPr>
      <w:bookmarkStart w:id="67" w:name="stakeholders-matriz-poder-interés"/>
      <w:r>
        <w:t xml:space="preserve">Stakeholders (Matriz Poder-Interés)</w:t>
      </w:r>
      <w:bookmarkEnd w:id="67"/>
    </w:p>
    <w:p>
      <w:pPr>
        <w:pStyle w:val="FirstParagraph"/>
      </w:pPr>
      <w:r>
        <w:t xml:space="preserve">10 stakeholders: Sponsor Marroquín, UVG institución, Admisiones, TI UVG, PO Say, SM Cordero, Developers, Estudiantes, Catedráticos, Proveedor cloud.</w:t>
      </w:r>
    </w:p>
    <w:p>
      <w:pPr>
        <w:pStyle w:val="BodyText"/>
      </w:pPr>
      <w:r>
        <w:t xml:space="preserve">Niveles de compromiso: Desconoce → Resistente → Neutral → Partidario → Líder.</w:t>
      </w:r>
    </w:p>
    <w:p>
      <w:pPr>
        <w:pStyle w:val="Heading3"/>
      </w:pPr>
      <w:bookmarkStart w:id="68" w:name="plan-de-comunicaciones-c1c8"/>
      <w:r>
        <w:t xml:space="preserve">Plan de Comunicaciones (C1–C8)</w:t>
      </w:r>
      <w:bookmarkEnd w:id="68"/>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ID</w:t>
            </w:r>
          </w:p>
        </w:tc>
        <w:tc>
          <w:tcPr>
            <w:tcBorders>
              <w:bottom w:val="single"/>
            </w:tcBorders>
            <w:vAlign w:val="bottom"/>
            <w:shd w:val="clear" w:color="auto" w:fill="0E2841"/>
          </w:tcPr>
          <w:p>
            <w:pPr>
              <w:pStyle w:val="Compact"/>
              <w:jc w:val="left"/>
            </w:pPr>
            <w:r>
              <w:rPr>
                <w:rFonts w:ascii="Calibri" w:hAnsi="Calibri"/>
                <w:b/>
                <w:color w:val="FFFFFF"/>
                <w:sz w:val="18"/>
              </w:rPr>
              <w:t xml:space="preserve">Audiencia</w:t>
            </w:r>
          </w:p>
        </w:tc>
        <w:tc>
          <w:tcPr>
            <w:tcBorders>
              <w:bottom w:val="single"/>
            </w:tcBorders>
            <w:vAlign w:val="bottom"/>
            <w:shd w:val="clear" w:color="auto" w:fill="0E2841"/>
          </w:tcPr>
          <w:p>
            <w:pPr>
              <w:pStyle w:val="Compact"/>
              <w:jc w:val="left"/>
            </w:pPr>
            <w:r>
              <w:rPr>
                <w:rFonts w:ascii="Calibri" w:hAnsi="Calibri"/>
                <w:b/>
                <w:color w:val="FFFFFF"/>
                <w:sz w:val="18"/>
              </w:rPr>
              <w:t xml:space="preserve">Frecuencia</w:t>
            </w:r>
          </w:p>
        </w:tc>
        <w:tc>
          <w:tcPr>
            <w:tcBorders>
              <w:bottom w:val="single"/>
            </w:tcBorders>
            <w:vAlign w:val="bottom"/>
            <w:shd w:val="clear" w:color="auto" w:fill="0E2841"/>
          </w:tcPr>
          <w:p>
            <w:pPr>
              <w:pStyle w:val="Compact"/>
              <w:jc w:val="left"/>
            </w:pPr>
            <w:r>
              <w:rPr>
                <w:rFonts w:ascii="Calibri" w:hAnsi="Calibri"/>
                <w:b/>
                <w:color w:val="FFFFFF"/>
                <w:sz w:val="18"/>
              </w:rPr>
              <w:t xml:space="preserve">Responsable</w:t>
            </w:r>
          </w:p>
        </w:tc>
      </w:tr>
      <w:tr>
        <w:tc>
          <w:tcPr>
            <w:shd w:val="clear" w:color="auto" w:fill="FFFFFF"/>
          </w:tcPr>
          <w:p>
            <w:pPr>
              <w:pStyle w:val="Compact"/>
              <w:jc w:val="left"/>
            </w:pPr>
            <w:r>
              <w:rPr>
                <w:rFonts w:ascii="Calibri" w:hAnsi="Calibri"/>
                <w:sz w:val="18"/>
              </w:rPr>
              <w:t xml:space="preserve">C1</w:t>
            </w:r>
          </w:p>
        </w:tc>
        <w:tc>
          <w:tcPr>
            <w:shd w:val="clear" w:color="auto" w:fill="FFFFFF"/>
          </w:tcPr>
          <w:p>
            <w:pPr>
              <w:pStyle w:val="Compact"/>
              <w:jc w:val="left"/>
            </w:pPr>
            <w:r>
              <w:rPr>
                <w:rFonts w:ascii="Calibri" w:hAnsi="Calibri"/>
                <w:sz w:val="18"/>
              </w:rPr>
              <w:t xml:space="preserve">Sponsor Marroquín</w:t>
            </w:r>
          </w:p>
        </w:tc>
        <w:tc>
          <w:tcPr>
            <w:shd w:val="clear" w:color="auto" w:fill="FFFFFF"/>
          </w:tcPr>
          <w:p>
            <w:pPr>
              <w:pStyle w:val="Compact"/>
              <w:jc w:val="left"/>
            </w:pPr>
            <w:r>
              <w:rPr>
                <w:rFonts w:ascii="Calibri" w:hAnsi="Calibri"/>
                <w:sz w:val="18"/>
              </w:rPr>
              <w:t xml:space="preserve">quincenal (cierre de sprint)</w:t>
            </w:r>
          </w:p>
        </w:tc>
        <w:tc>
          <w:tcPr>
            <w:shd w:val="clear" w:color="auto" w:fill="FFFFFF"/>
          </w:tcPr>
          <w:p>
            <w:pPr>
              <w:pStyle w:val="Compact"/>
              <w:jc w:val="left"/>
            </w:pPr>
            <w:r>
              <w:rPr>
                <w:rFonts w:ascii="Calibri" w:hAnsi="Calibri"/>
                <w:sz w:val="18"/>
              </w:rPr>
              <w:t xml:space="preserve">PO</w:t>
            </w:r>
          </w:p>
        </w:tc>
      </w:tr>
      <w:tr>
        <w:tc>
          <w:tcPr>
            <w:shd w:val="clear" w:color="auto" w:fill="E8E8E8"/>
          </w:tcPr>
          <w:p>
            <w:pPr>
              <w:pStyle w:val="Compact"/>
              <w:jc w:val="left"/>
            </w:pPr>
            <w:r>
              <w:rPr>
                <w:rFonts w:ascii="Calibri" w:hAnsi="Calibri"/>
                <w:sz w:val="18"/>
              </w:rPr>
              <w:t xml:space="preserve">C2</w:t>
            </w:r>
          </w:p>
        </w:tc>
        <w:tc>
          <w:tcPr>
            <w:shd w:val="clear" w:color="auto" w:fill="E8E8E8"/>
          </w:tcPr>
          <w:p>
            <w:pPr>
              <w:pStyle w:val="Compact"/>
              <w:jc w:val="left"/>
            </w:pPr>
            <w:r>
              <w:rPr>
                <w:rFonts w:ascii="Calibri" w:hAnsi="Calibri"/>
                <w:sz w:val="18"/>
              </w:rPr>
              <w:t xml:space="preserve">Admisiones</w:t>
            </w:r>
          </w:p>
        </w:tc>
        <w:tc>
          <w:tcPr>
            <w:shd w:val="clear" w:color="auto" w:fill="E8E8E8"/>
          </w:tcPr>
          <w:p>
            <w:pPr>
              <w:pStyle w:val="Compact"/>
              <w:jc w:val="left"/>
            </w:pPr>
            <w:r>
              <w:rPr>
                <w:rFonts w:ascii="Calibri" w:hAnsi="Calibri"/>
                <w:sz w:val="18"/>
              </w:rPr>
              <w:t xml:space="preserve">por hito (H4, H5, H7)</w:t>
            </w:r>
          </w:p>
        </w:tc>
        <w:tc>
          <w:tcPr>
            <w:shd w:val="clear" w:color="auto" w:fill="E8E8E8"/>
          </w:tcPr>
          <w:p>
            <w:pPr>
              <w:pStyle w:val="Compact"/>
              <w:jc w:val="left"/>
            </w:pPr>
            <w:r>
              <w:rPr>
                <w:rFonts w:ascii="Calibri" w:hAnsi="Calibri"/>
                <w:sz w:val="18"/>
              </w:rPr>
              <w:t xml:space="preserve">PO</w:t>
            </w:r>
          </w:p>
        </w:tc>
      </w:tr>
      <w:tr>
        <w:tc>
          <w:tcPr>
            <w:shd w:val="clear" w:color="auto" w:fill="FFFFFF"/>
          </w:tcPr>
          <w:p>
            <w:pPr>
              <w:pStyle w:val="Compact"/>
              <w:jc w:val="left"/>
            </w:pPr>
            <w:r>
              <w:rPr>
                <w:rFonts w:ascii="Calibri" w:hAnsi="Calibri"/>
                <w:sz w:val="18"/>
              </w:rPr>
              <w:t xml:space="preserve">C3</w:t>
            </w:r>
          </w:p>
        </w:tc>
        <w:tc>
          <w:tcPr>
            <w:shd w:val="clear" w:color="auto" w:fill="FFFFFF"/>
          </w:tcPr>
          <w:p>
            <w:pPr>
              <w:pStyle w:val="Compact"/>
              <w:jc w:val="left"/>
            </w:pPr>
            <w:r>
              <w:rPr>
                <w:rFonts w:ascii="Calibri" w:hAnsi="Calibri"/>
                <w:sz w:val="18"/>
              </w:rPr>
              <w:t xml:space="preserve">Developers</w:t>
            </w:r>
          </w:p>
        </w:tc>
        <w:tc>
          <w:tcPr>
            <w:shd w:val="clear" w:color="auto" w:fill="FFFFFF"/>
          </w:tcPr>
          <w:p>
            <w:pPr>
              <w:pStyle w:val="Compact"/>
              <w:jc w:val="left"/>
            </w:pPr>
            <w:r>
              <w:rPr>
                <w:rFonts w:ascii="Calibri" w:hAnsi="Calibri"/>
                <w:sz w:val="18"/>
              </w:rPr>
              <w:t xml:space="preserve">diario (Daily)</w:t>
            </w:r>
          </w:p>
        </w:tc>
        <w:tc>
          <w:tcPr>
            <w:shd w:val="clear" w:color="auto" w:fill="FFFFFF"/>
          </w:tcPr>
          <w:p>
            <w:pPr>
              <w:pStyle w:val="Compact"/>
              <w:jc w:val="left"/>
            </w:pPr>
            <w:r>
              <w:rPr>
                <w:rFonts w:ascii="Calibri" w:hAnsi="Calibri"/>
                <w:sz w:val="18"/>
              </w:rPr>
              <w:t xml:space="preserve">SM</w:t>
            </w:r>
          </w:p>
        </w:tc>
      </w:tr>
      <w:tr>
        <w:tc>
          <w:tcPr>
            <w:shd w:val="clear" w:color="auto" w:fill="E8E8E8"/>
          </w:tcPr>
          <w:p>
            <w:pPr>
              <w:pStyle w:val="Compact"/>
              <w:jc w:val="left"/>
            </w:pPr>
            <w:r>
              <w:rPr>
                <w:rFonts w:ascii="Calibri" w:hAnsi="Calibri"/>
                <w:sz w:val="18"/>
              </w:rPr>
              <w:t xml:space="preserve">C4</w:t>
            </w:r>
          </w:p>
        </w:tc>
        <w:tc>
          <w:tcPr>
            <w:shd w:val="clear" w:color="auto" w:fill="E8E8E8"/>
          </w:tcPr>
          <w:p>
            <w:pPr>
              <w:pStyle w:val="Compact"/>
              <w:jc w:val="left"/>
            </w:pPr>
            <w:r>
              <w:rPr>
                <w:rFonts w:ascii="Calibri" w:hAnsi="Calibri"/>
                <w:sz w:val="18"/>
              </w:rPr>
              <w:t xml:space="preserve">TI UVG</w:t>
            </w:r>
          </w:p>
        </w:tc>
        <w:tc>
          <w:tcPr>
            <w:shd w:val="clear" w:color="auto" w:fill="E8E8E8"/>
          </w:tcPr>
          <w:p>
            <w:pPr>
              <w:pStyle w:val="Compact"/>
              <w:jc w:val="left"/>
            </w:pPr>
            <w:r>
              <w:rPr>
                <w:rFonts w:ascii="Calibri" w:hAnsi="Calibri"/>
                <w:sz w:val="18"/>
              </w:rPr>
              <w:t xml:space="preserve">por hito técnico (H3, H5, H7)</w:t>
            </w:r>
          </w:p>
        </w:tc>
        <w:tc>
          <w:tcPr>
            <w:shd w:val="clear" w:color="auto" w:fill="E8E8E8"/>
          </w:tcPr>
          <w:p>
            <w:pPr>
              <w:pStyle w:val="Compact"/>
              <w:jc w:val="left"/>
            </w:pPr>
            <w:r>
              <w:rPr>
                <w:rFonts w:ascii="Calibri" w:hAnsi="Calibri"/>
                <w:sz w:val="18"/>
              </w:rPr>
              <w:t xml:space="preserve">Dev Cruz</w:t>
            </w:r>
          </w:p>
        </w:tc>
      </w:tr>
      <w:tr>
        <w:tc>
          <w:tcPr>
            <w:shd w:val="clear" w:color="auto" w:fill="FFFFFF"/>
          </w:tcPr>
          <w:p>
            <w:pPr>
              <w:pStyle w:val="Compact"/>
              <w:jc w:val="left"/>
            </w:pPr>
            <w:r>
              <w:rPr>
                <w:rFonts w:ascii="Calibri" w:hAnsi="Calibri"/>
                <w:sz w:val="18"/>
              </w:rPr>
              <w:t xml:space="preserve">C5</w:t>
            </w:r>
          </w:p>
        </w:tc>
        <w:tc>
          <w:tcPr>
            <w:shd w:val="clear" w:color="auto" w:fill="FFFFFF"/>
          </w:tcPr>
          <w:p>
            <w:pPr>
              <w:pStyle w:val="Compact"/>
              <w:jc w:val="left"/>
            </w:pPr>
            <w:r>
              <w:rPr>
                <w:rFonts w:ascii="Calibri" w:hAnsi="Calibri"/>
                <w:sz w:val="18"/>
              </w:rPr>
              <w:t xml:space="preserve">Estudiantes</w:t>
            </w:r>
          </w:p>
        </w:tc>
        <w:tc>
          <w:tcPr>
            <w:shd w:val="clear" w:color="auto" w:fill="FFFFFF"/>
          </w:tcPr>
          <w:p>
            <w:pPr>
              <w:pStyle w:val="Compact"/>
              <w:jc w:val="left"/>
            </w:pPr>
            <w:r>
              <w:rPr>
                <w:rFonts w:ascii="Calibri" w:hAnsi="Calibri"/>
                <w:sz w:val="18"/>
              </w:rPr>
              <w:t xml:space="preserve">S7 (H6)</w:t>
            </w:r>
          </w:p>
        </w:tc>
        <w:tc>
          <w:tcPr>
            <w:shd w:val="clear" w:color="auto" w:fill="FFFFFF"/>
          </w:tcPr>
          <w:p>
            <w:pPr>
              <w:pStyle w:val="Compact"/>
              <w:jc w:val="left"/>
            </w:pPr>
            <w:r>
              <w:rPr>
                <w:rFonts w:ascii="Calibri" w:hAnsi="Calibri"/>
                <w:sz w:val="18"/>
              </w:rPr>
              <w:t xml:space="preserve">PO</w:t>
            </w:r>
          </w:p>
        </w:tc>
      </w:tr>
      <w:tr>
        <w:tc>
          <w:tcPr>
            <w:shd w:val="clear" w:color="auto" w:fill="E8E8E8"/>
          </w:tcPr>
          <w:p>
            <w:pPr>
              <w:pStyle w:val="Compact"/>
              <w:jc w:val="left"/>
            </w:pPr>
            <w:r>
              <w:rPr>
                <w:rFonts w:ascii="Calibri" w:hAnsi="Calibri"/>
                <w:sz w:val="18"/>
              </w:rPr>
              <w:t xml:space="preserve">C6</w:t>
            </w:r>
          </w:p>
        </w:tc>
        <w:tc>
          <w:tcPr>
            <w:shd w:val="clear" w:color="auto" w:fill="E8E8E8"/>
          </w:tcPr>
          <w:p>
            <w:pPr>
              <w:pStyle w:val="Compact"/>
              <w:jc w:val="left"/>
            </w:pPr>
            <w:r>
              <w:rPr>
                <w:rFonts w:ascii="Calibri" w:hAnsi="Calibri"/>
                <w:sz w:val="18"/>
              </w:rPr>
              <w:t xml:space="preserve">Catedráticos</w:t>
            </w:r>
          </w:p>
        </w:tc>
        <w:tc>
          <w:tcPr>
            <w:shd w:val="clear" w:color="auto" w:fill="E8E8E8"/>
          </w:tcPr>
          <w:p>
            <w:pPr>
              <w:pStyle w:val="Compact"/>
              <w:jc w:val="left"/>
            </w:pPr>
            <w:r>
              <w:rPr>
                <w:rFonts w:ascii="Calibri" w:hAnsi="Calibri"/>
                <w:sz w:val="18"/>
              </w:rPr>
              <w:t xml:space="preserve">una vez (S2–S3)</w:t>
            </w:r>
          </w:p>
        </w:tc>
        <w:tc>
          <w:tcPr>
            <w:shd w:val="clear" w:color="auto" w:fill="E8E8E8"/>
          </w:tcPr>
          <w:p>
            <w:pPr>
              <w:pStyle w:val="Compact"/>
              <w:jc w:val="left"/>
            </w:pPr>
            <w:r>
              <w:rPr>
                <w:rFonts w:ascii="Calibri" w:hAnsi="Calibri"/>
                <w:sz w:val="18"/>
              </w:rPr>
              <w:t xml:space="preserve">PO</w:t>
            </w:r>
          </w:p>
        </w:tc>
      </w:tr>
      <w:tr>
        <w:tc>
          <w:tcPr>
            <w:shd w:val="clear" w:color="auto" w:fill="FFFFFF"/>
          </w:tcPr>
          <w:p>
            <w:pPr>
              <w:pStyle w:val="Compact"/>
              <w:jc w:val="left"/>
            </w:pPr>
            <w:r>
              <w:rPr>
                <w:rFonts w:ascii="Calibri" w:hAnsi="Calibri"/>
                <w:sz w:val="18"/>
              </w:rPr>
              <w:t xml:space="preserve">C7</w:t>
            </w:r>
          </w:p>
        </w:tc>
        <w:tc>
          <w:tcPr>
            <w:shd w:val="clear" w:color="auto" w:fill="FFFFFF"/>
          </w:tcPr>
          <w:p>
            <w:pPr>
              <w:pStyle w:val="Compact"/>
              <w:jc w:val="left"/>
            </w:pPr>
            <w:r>
              <w:rPr>
                <w:rFonts w:ascii="Calibri" w:hAnsi="Calibri"/>
                <w:sz w:val="18"/>
              </w:rPr>
              <w:t xml:space="preserve">Proveedor cloud</w:t>
            </w:r>
          </w:p>
        </w:tc>
        <w:tc>
          <w:tcPr>
            <w:shd w:val="clear" w:color="auto" w:fill="FFFFFF"/>
          </w:tcPr>
          <w:p>
            <w:pPr>
              <w:pStyle w:val="Compact"/>
              <w:jc w:val="left"/>
            </w:pPr>
            <w:r>
              <w:rPr>
                <w:rFonts w:ascii="Calibri" w:hAnsi="Calibri"/>
                <w:sz w:val="18"/>
              </w:rPr>
              <w:t xml:space="preserve">ante incidencia</w:t>
            </w:r>
          </w:p>
        </w:tc>
        <w:tc>
          <w:tcPr>
            <w:shd w:val="clear" w:color="auto" w:fill="FFFFFF"/>
          </w:tcPr>
          <w:p>
            <w:pPr>
              <w:pStyle w:val="Compact"/>
              <w:jc w:val="left"/>
            </w:pPr>
            <w:r>
              <w:rPr>
                <w:rFonts w:ascii="Calibri" w:hAnsi="Calibri"/>
                <w:sz w:val="18"/>
              </w:rPr>
              <w:t xml:space="preserve">Dev Chen</w:t>
            </w:r>
          </w:p>
        </w:tc>
      </w:tr>
      <w:tr>
        <w:tc>
          <w:tcPr>
            <w:shd w:val="clear" w:color="auto" w:fill="E8E8E8"/>
          </w:tcPr>
          <w:p>
            <w:pPr>
              <w:pStyle w:val="Compact"/>
              <w:jc w:val="left"/>
            </w:pPr>
            <w:r>
              <w:rPr>
                <w:rFonts w:ascii="Calibri" w:hAnsi="Calibri"/>
                <w:sz w:val="18"/>
              </w:rPr>
              <w:t xml:space="preserve">C8</w:t>
            </w:r>
          </w:p>
        </w:tc>
        <w:tc>
          <w:tcPr>
            <w:shd w:val="clear" w:color="auto" w:fill="E8E8E8"/>
          </w:tcPr>
          <w:p>
            <w:pPr>
              <w:pStyle w:val="Compact"/>
              <w:jc w:val="left"/>
            </w:pPr>
            <w:r>
              <w:rPr>
                <w:rFonts w:ascii="Calibri" w:hAnsi="Calibri"/>
                <w:sz w:val="18"/>
              </w:rPr>
              <w:t xml:space="preserve">Cuadrante I</w:t>
            </w:r>
          </w:p>
        </w:tc>
        <w:tc>
          <w:tcPr>
            <w:shd w:val="clear" w:color="auto" w:fill="E8E8E8"/>
          </w:tcPr>
          <w:p>
            <w:pPr>
              <w:pStyle w:val="Compact"/>
              <w:jc w:val="left"/>
            </w:pPr>
            <w:r>
              <w:rPr>
                <w:rFonts w:ascii="Calibri" w:hAnsi="Calibri"/>
                <w:sz w:val="18"/>
              </w:rPr>
              <w:t xml:space="preserve">cierre (H8)</w:t>
            </w:r>
          </w:p>
        </w:tc>
        <w:tc>
          <w:tcPr>
            <w:shd w:val="clear" w:color="auto" w:fill="E8E8E8"/>
          </w:tcPr>
          <w:p>
            <w:pPr>
              <w:pStyle w:val="Compact"/>
              <w:jc w:val="left"/>
            </w:pPr>
            <w:r>
              <w:rPr>
                <w:rFonts w:ascii="Calibri" w:hAnsi="Calibri"/>
                <w:sz w:val="18"/>
              </w:rPr>
              <w:t xml:space="preserve">PO</w:t>
            </w:r>
          </w:p>
        </w:tc>
      </w:tr>
    </w:tbl>
    <w:p>
      <w:pPr>
        <w:pStyle w:val="Heading3"/>
      </w:pPr>
      <w:bookmarkStart w:id="69" w:name="control-integrado-de-cambios"/>
      <w:r>
        <w:t xml:space="preserve">Control Integrado de Cambios</w:t>
      </w:r>
      <w:bookmarkEnd w:id="69"/>
    </w:p>
    <w:p>
      <w:pPr>
        <w:pStyle w:val="FirstParagraph"/>
      </w:pPr>
      <w:r>
        <w:t xml:space="preserve">Proceso CR (Change Request) en 5 pasos:</w:t>
      </w:r>
    </w:p>
    <w:p>
      <w:pPr>
        <w:numPr>
          <w:ilvl w:val="0"/>
          <w:numId w:val="1038"/>
        </w:numPr>
        <w:pStyle w:val="Compact"/>
      </w:pPr>
      <w:r>
        <w:t xml:space="preserve">Solicitud formal</w:t>
      </w:r>
    </w:p>
    <w:p>
      <w:pPr>
        <w:numPr>
          <w:ilvl w:val="0"/>
          <w:numId w:val="1038"/>
        </w:numPr>
        <w:pStyle w:val="Compact"/>
      </w:pPr>
      <w:r>
        <w:t xml:space="preserve">Evaluación de impacto (5 días hábiles)</w:t>
      </w:r>
    </w:p>
    <w:p>
      <w:pPr>
        <w:numPr>
          <w:ilvl w:val="0"/>
          <w:numId w:val="1038"/>
        </w:numPr>
        <w:pStyle w:val="Compact"/>
      </w:pPr>
      <w:r>
        <w:t xml:space="preserve">Decisión del CCB (3–5 días hábiles)</w:t>
      </w:r>
    </w:p>
    <w:p>
      <w:pPr>
        <w:numPr>
          <w:ilvl w:val="0"/>
          <w:numId w:val="1038"/>
        </w:numPr>
        <w:pStyle w:val="Compact"/>
      </w:pPr>
      <w:r>
        <w:t xml:space="preserve">Implementación o archivo</w:t>
      </w:r>
    </w:p>
    <w:p>
      <w:pPr>
        <w:numPr>
          <w:ilvl w:val="0"/>
          <w:numId w:val="1038"/>
        </w:numPr>
        <w:pStyle w:val="Compact"/>
      </w:pPr>
      <w:r>
        <w:t xml:space="preserve">Comunicación al solicitante</w:t>
      </w:r>
    </w:p>
    <w:p>
      <w:pPr>
        <w:pStyle w:val="FirstParagraph"/>
      </w:pPr>
      <w:r>
        <w:t xml:space="preserve">CCB Básico (PO + SM): cambios ≤5 SP, sin afectar hitos macro.</w:t>
      </w:r>
      <w:r>
        <w:t xml:space="preserve"> </w:t>
      </w:r>
      <w:r>
        <w:t xml:space="preserve">CCB Ampliado (PO + SM + Sponsor): &gt;5 SP, afectan H4–H8 o presupuesto.</w:t>
      </w:r>
    </w:p>
    <w:p>
      <w:pPr>
        <w:pStyle w:val="Heading3"/>
      </w:pPr>
      <w:bookmarkStart w:id="70" w:name="raci"/>
      <w:r>
        <w:t xml:space="preserve">RACI</w:t>
      </w:r>
      <w:bookmarkEnd w:id="70"/>
    </w:p>
    <w:p>
      <w:pPr>
        <w:pStyle w:val="FirstParagraph"/>
      </w:pPr>
      <w:r>
        <w:t xml:space="preserve">R = Responsible, A = Accountable, C = Consulted, I = Informed.</w:t>
      </w:r>
    </w:p>
    <w:p>
      <w:pPr>
        <w:pStyle w:val="Heading3"/>
      </w:pPr>
      <w:bookmarkStart w:id="71" w:name="riesgos-pmi-estrategias-de-respuesta"/>
      <w:r>
        <w:t xml:space="preserve">Riesgos PMI — estrategias de respuesta</w:t>
      </w:r>
      <w:bookmarkEnd w:id="71"/>
    </w:p>
    <w:p>
      <w:pPr>
        <w:numPr>
          <w:ilvl w:val="0"/>
          <w:numId w:val="1039"/>
        </w:numPr>
        <w:pStyle w:val="Compact"/>
      </w:pPr>
      <w:r>
        <w:t xml:space="preserve">Evitar — eliminar la causa (R8 datos personales)</w:t>
      </w:r>
    </w:p>
    <w:p>
      <w:pPr>
        <w:numPr>
          <w:ilvl w:val="0"/>
          <w:numId w:val="1039"/>
        </w:numPr>
        <w:pStyle w:val="Compact"/>
      </w:pPr>
      <w:r>
        <w:t xml:space="preserve">Mitigar — reducir probabilidad o impacto (R1, R2, R3, R4, R5, R7)</w:t>
      </w:r>
    </w:p>
    <w:p>
      <w:pPr>
        <w:numPr>
          <w:ilvl w:val="0"/>
          <w:numId w:val="1039"/>
        </w:numPr>
        <w:pStyle w:val="Compact"/>
      </w:pPr>
      <w:r>
        <w:t xml:space="preserve">Transferir — pasar a un tercero vía contrato/seguro/SLA (R6 cloud)</w:t>
      </w:r>
    </w:p>
    <w:p>
      <w:pPr>
        <w:numPr>
          <w:ilvl w:val="0"/>
          <w:numId w:val="1039"/>
        </w:numPr>
        <w:pStyle w:val="Compact"/>
      </w:pPr>
      <w:r>
        <w:t xml:space="preserve">Aceptar — reconocer sin acción proactiva, respaldado por la reserva (R9)</w:t>
      </w:r>
    </w:p>
    <w:p>
      <w:pPr>
        <w:pStyle w:val="FirstParagraph"/>
      </w:pPr>
      <w:r>
        <w:t xml:space="preserve">Reglas de activación de la reserva:</w:t>
      </w:r>
    </w:p>
    <w:p>
      <w:pPr>
        <w:numPr>
          <w:ilvl w:val="0"/>
          <w:numId w:val="1040"/>
        </w:numPr>
        <w:pStyle w:val="Compact"/>
      </w:pPr>
      <w:r>
        <w:t xml:space="preserve">Riesgo materializa &gt;10% del tiempo del sprint</w:t>
      </w:r>
    </w:p>
    <w:p>
      <w:pPr>
        <w:numPr>
          <w:ilvl w:val="0"/>
          <w:numId w:val="1040"/>
        </w:numPr>
        <w:pStyle w:val="Compact"/>
      </w:pPr>
      <w:r>
        <w:t xml:space="preserve">CPI &lt;0.90 sostenido</w:t>
      </w:r>
    </w:p>
    <w:p>
      <w:pPr>
        <w:numPr>
          <w:ilvl w:val="0"/>
          <w:numId w:val="1040"/>
        </w:numPr>
        <w:pStyle w:val="Compact"/>
      </w:pPr>
      <w:r>
        <w:t xml:space="preserve">Uso mayor: requiere aprobación del Sponsor</w:t>
      </w:r>
    </w:p>
    <w:p>
      <w:pPr>
        <w:pStyle w:val="Heading3"/>
      </w:pPr>
      <w:bookmarkStart w:id="72" w:name="acta-de-cierre"/>
      <w:r>
        <w:t xml:space="preserve">Acta de Cierre</w:t>
      </w:r>
      <w:bookmarkEnd w:id="72"/>
    </w:p>
    <w:p>
      <w:pPr>
        <w:pStyle w:val="FirstParagraph"/>
      </w:pPr>
      <w:r>
        <w:t xml:space="preserve">Principio:</w:t>
      </w:r>
      <w:r>
        <w:t xml:space="preserve"> </w:t>
      </w:r>
      <w:r>
        <w:t xml:space="preserve">“</w:t>
      </w:r>
      <w:r>
        <w:t xml:space="preserve">Sin acta firmada, el proyecto no está cerrado.</w:t>
      </w:r>
      <w:r>
        <w:t xml:space="preserve">”</w:t>
      </w:r>
      <w:r>
        <w:t xml:space="preserve"> </w:t>
      </w:r>
      <w:r>
        <w:t xml:space="preserve">La entrega técnica (H7) y el cierre formal (H8) son eventos distintos.</w:t>
      </w:r>
    </w:p>
    <w:p>
      <w:pPr>
        <w:pStyle w:val="Heading3"/>
      </w:pPr>
      <w:bookmarkStart w:id="73" w:name="por-qué-safe-no-aplica"/>
      <w:r>
        <w:t xml:space="preserve">Por qué SAFe no aplica</w:t>
      </w:r>
      <w:bookmarkEnd w:id="73"/>
    </w:p>
    <w:p>
      <w:pPr>
        <w:pStyle w:val="FirstParagraph"/>
      </w:pPr>
      <w:r>
        <w:t xml:space="preserve">SAFe (Scaled Agile Framework) está pensado para varios equipos (mínimo 3 ART, Agile Release Trains). Este proyecto tiene un solo equipo de 5–6 personas. Aplicar SAFe sería sobredimensionamiento metodológico.</w:t>
      </w:r>
    </w:p>
    <w:p>
      <w:pPr>
        <w:pStyle w:val="Heading2"/>
      </w:pPr>
      <w:bookmarkStart w:id="74" w:name="familia-financiera"/>
      <w:r>
        <w:t xml:space="preserve">Familia Financiera</w:t>
      </w:r>
      <w:bookmarkEnd w:id="74"/>
    </w:p>
    <w:p>
      <w:pPr>
        <w:pStyle w:val="Heading3"/>
      </w:pPr>
      <w:bookmarkStart w:id="75" w:name="conceptos-clave-inglés-y-español"/>
      <w:r>
        <w:t xml:space="preserve">Conceptos clave (inglés y español)</w:t>
      </w:r>
      <w:bookmarkEnd w:id="75"/>
    </w:p>
    <w:p>
      <w:pPr>
        <w:numPr>
          <w:ilvl w:val="0"/>
          <w:numId w:val="1041"/>
        </w:numPr>
        <w:pStyle w:val="Compact"/>
      </w:pPr>
      <w:r>
        <w:t xml:space="preserve">ROI (Return on Investment) — Retorno sobre la inversión. Mide rentabilidad: ROI = (beneficio neto / inversión) × 100. Nuestro ROI: 53.85%.</w:t>
      </w:r>
    </w:p>
    <w:p>
      <w:pPr>
        <w:numPr>
          <w:ilvl w:val="0"/>
          <w:numId w:val="1041"/>
        </w:numPr>
        <w:pStyle w:val="Compact"/>
      </w:pPr>
      <w:r>
        <w:t xml:space="preserve">TMAR (Tasa Mínima Aceptable de Retorno) — en inglés MARR (Minimum Acceptable Rate of Return). Umbral por debajo del cual no se invierte. TMAR = inflación + prima de riesgo + retorno esperado = 5% + 10% + 20% = 35%.</w:t>
      </w:r>
    </w:p>
    <w:p>
      <w:pPr>
        <w:numPr>
          <w:ilvl w:val="0"/>
          <w:numId w:val="1041"/>
        </w:numPr>
        <w:pStyle w:val="Compact"/>
      </w:pPr>
      <w:r>
        <w:t xml:space="preserve">ROA (Return on Assets) — Retorno sobre activos: beneficio neto / activos totales. Es un indicador a nivel empresa, no por proyecto. Activos de la empresa: Q 500,000.</w:t>
      </w:r>
    </w:p>
    <w:p>
      <w:pPr>
        <w:numPr>
          <w:ilvl w:val="0"/>
          <w:numId w:val="1041"/>
        </w:numPr>
        <w:pStyle w:val="Compact"/>
      </w:pPr>
      <w:r>
        <w:t xml:space="preserve">NPV / VPN (Net Present Value / Valor Presente Neto) — valor actual de flujos futuros descontados a una tasa (típicamente la TMAR). No se usa explícitamente en el modelo, pero es el equivalente continuo del análisis ROI vs TMAR.</w:t>
      </w:r>
    </w:p>
    <w:p>
      <w:pPr>
        <w:numPr>
          <w:ilvl w:val="0"/>
          <w:numId w:val="1041"/>
        </w:numPr>
        <w:pStyle w:val="Compact"/>
      </w:pPr>
      <w:r>
        <w:t xml:space="preserve">IRR / TIR (Internal Rate of Return / Tasa Interna de Retorno) — tasa de descuento que hace NPV = 0. No se calcula explícitamente.</w:t>
      </w:r>
    </w:p>
    <w:p>
      <w:pPr>
        <w:numPr>
          <w:ilvl w:val="0"/>
          <w:numId w:val="1041"/>
        </w:numPr>
        <w:pStyle w:val="Compact"/>
      </w:pPr>
      <w:r>
        <w:t xml:space="preserve">Burn rate — costo mensual del equipo. Cliente: Q 72,308; interno: Q 67,808; diario: Q 3,615.40.</w:t>
      </w:r>
    </w:p>
    <w:p>
      <w:pPr>
        <w:numPr>
          <w:ilvl w:val="0"/>
          <w:numId w:val="1041"/>
        </w:numPr>
        <w:pStyle w:val="Compact"/>
      </w:pPr>
      <w:r>
        <w:t xml:space="preserve">Cash flow / Flujo de caja — entradas y salidas de efectivo a lo largo del tiempo. En el modelo se asume Q 90,000/mes de capacidad.</w:t>
      </w:r>
    </w:p>
    <w:p>
      <w:pPr>
        <w:numPr>
          <w:ilvl w:val="0"/>
          <w:numId w:val="1041"/>
        </w:numPr>
        <w:pStyle w:val="Compact"/>
      </w:pPr>
      <w:r>
        <w:t xml:space="preserve">Payback period — tiempo para recuperar la inversión: inversión / flujo mensual.</w:t>
      </w:r>
    </w:p>
    <w:p>
      <w:pPr>
        <w:numPr>
          <w:ilvl w:val="0"/>
          <w:numId w:val="1041"/>
        </w:numPr>
        <w:pStyle w:val="Compact"/>
      </w:pPr>
      <w:r>
        <w:t xml:space="preserve">Breakeven — punto donde el flujo acumulado iguala a la inversión.</w:t>
      </w:r>
    </w:p>
    <w:p>
      <w:pPr>
        <w:numPr>
          <w:ilvl w:val="0"/>
          <w:numId w:val="1041"/>
        </w:numPr>
        <w:pStyle w:val="Compact"/>
      </w:pPr>
      <w:r>
        <w:t xml:space="preserve">Margen bruto — beneficio / precio. Fijado en 35%.</w:t>
      </w:r>
    </w:p>
    <w:p>
      <w:pPr>
        <w:numPr>
          <w:ilvl w:val="0"/>
          <w:numId w:val="1041"/>
        </w:numPr>
        <w:pStyle w:val="Compact"/>
      </w:pPr>
      <w:r>
        <w:t xml:space="preserve">CEILING — redondeo hacia arriba al múltiplo indicado. Aquí: precio se redondea al millar superior (CEILING(precio, 1000)).</w:t>
      </w:r>
    </w:p>
    <w:p>
      <w:pPr>
        <w:numPr>
          <w:ilvl w:val="0"/>
          <w:numId w:val="1041"/>
        </w:numPr>
        <w:pStyle w:val="Compact"/>
      </w:pPr>
      <w:r>
        <w:t xml:space="preserve">BAC (Budget at Completion) — presupuesto total del proyecto = precio cliente = Q 814,000.</w:t>
      </w:r>
    </w:p>
    <w:p>
      <w:pPr>
        <w:numPr>
          <w:ilvl w:val="0"/>
          <w:numId w:val="1041"/>
        </w:numPr>
        <w:pStyle w:val="Compact"/>
      </w:pPr>
      <w:r>
        <w:t xml:space="preserve">EAC (Estimate at Completion) — proyección del costo final = BAC / CPI.</w:t>
      </w:r>
    </w:p>
    <w:p>
      <w:pPr>
        <w:numPr>
          <w:ilvl w:val="0"/>
          <w:numId w:val="1041"/>
        </w:numPr>
        <w:pStyle w:val="Compact"/>
      </w:pPr>
      <w:r>
        <w:t xml:space="preserve">Reserva de contingencia — colchón para riesgos identificados, calculada como Σ EMV = Q 133,769.80.</w:t>
      </w:r>
    </w:p>
    <w:p>
      <w:pPr>
        <w:numPr>
          <w:ilvl w:val="0"/>
          <w:numId w:val="1041"/>
        </w:numPr>
        <w:pStyle w:val="Compact"/>
      </w:pPr>
      <w:r>
        <w:t xml:space="preserve">EMV (Expected Monetary Value) — valor monetario esperado: probabilidad × impacto económico.</w:t>
      </w:r>
    </w:p>
    <w:p>
      <w:pPr>
        <w:pStyle w:val="Heading3"/>
      </w:pPr>
      <w:bookmarkStart w:id="76" w:name="cifras-canónicas-del-proyecto"/>
      <w:r>
        <w:t xml:space="preserve">Cifras canónicas del proyecto</w:t>
      </w:r>
      <w:bookmarkEnd w:id="76"/>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Concepto</w:t>
            </w:r>
          </w:p>
        </w:tc>
        <w:tc>
          <w:tcPr>
            <w:tcBorders>
              <w:bottom w:val="single"/>
            </w:tcBorders>
            <w:vAlign w:val="bottom"/>
            <w:shd w:val="clear" w:color="auto" w:fill="0E2841"/>
          </w:tcPr>
          <w:p>
            <w:pPr>
              <w:pStyle w:val="Compact"/>
              <w:jc w:val="right"/>
            </w:pPr>
            <w:r>
              <w:rPr>
                <w:rFonts w:ascii="Calibri" w:hAnsi="Calibri"/>
                <w:b/>
                <w:color w:val="FFFFFF"/>
                <w:sz w:val="18"/>
              </w:rPr>
              <w:t xml:space="preserve">Valor</w:t>
            </w:r>
          </w:p>
        </w:tc>
      </w:tr>
      <w:tr>
        <w:tc>
          <w:tcPr>
            <w:shd w:val="clear" w:color="auto" w:fill="FFFFFF"/>
          </w:tcPr>
          <w:p>
            <w:pPr>
              <w:pStyle w:val="Compact"/>
              <w:jc w:val="left"/>
            </w:pPr>
            <w:r>
              <w:rPr>
                <w:rFonts w:ascii="Calibri" w:hAnsi="Calibri"/>
                <w:sz w:val="18"/>
              </w:rPr>
              <w:t xml:space="preserve">Burn rate mensual cliente</w:t>
            </w:r>
          </w:p>
        </w:tc>
        <w:tc>
          <w:tcPr>
            <w:shd w:val="clear" w:color="auto" w:fill="FFFFFF"/>
          </w:tcPr>
          <w:p>
            <w:pPr>
              <w:pStyle w:val="Compact"/>
              <w:jc w:val="right"/>
            </w:pPr>
            <w:r>
              <w:rPr>
                <w:rFonts w:ascii="Calibri" w:hAnsi="Calibri"/>
                <w:sz w:val="18"/>
              </w:rPr>
              <w:t xml:space="preserve">Q 72,308</w:t>
            </w:r>
          </w:p>
        </w:tc>
      </w:tr>
      <w:tr>
        <w:tc>
          <w:tcPr>
            <w:shd w:val="clear" w:color="auto" w:fill="E8E8E8"/>
          </w:tcPr>
          <w:p>
            <w:pPr>
              <w:pStyle w:val="Compact"/>
              <w:jc w:val="left"/>
            </w:pPr>
            <w:r>
              <w:rPr>
                <w:rFonts w:ascii="Calibri" w:hAnsi="Calibri"/>
                <w:sz w:val="18"/>
              </w:rPr>
              <w:t xml:space="preserve">Burn rate mensual interno</w:t>
            </w:r>
          </w:p>
        </w:tc>
        <w:tc>
          <w:tcPr>
            <w:shd w:val="clear" w:color="auto" w:fill="E8E8E8"/>
          </w:tcPr>
          <w:p>
            <w:pPr>
              <w:pStyle w:val="Compact"/>
              <w:jc w:val="right"/>
            </w:pPr>
            <w:r>
              <w:rPr>
                <w:rFonts w:ascii="Calibri" w:hAnsi="Calibri"/>
                <w:sz w:val="18"/>
              </w:rPr>
              <w:t xml:space="preserve">Q 67,808</w:t>
            </w:r>
          </w:p>
        </w:tc>
      </w:tr>
      <w:tr>
        <w:tc>
          <w:tcPr>
            <w:shd w:val="clear" w:color="auto" w:fill="FFFFFF"/>
          </w:tcPr>
          <w:p>
            <w:pPr>
              <w:pStyle w:val="Compact"/>
              <w:jc w:val="left"/>
            </w:pPr>
            <w:r>
              <w:rPr>
                <w:rFonts w:ascii="Calibri" w:hAnsi="Calibri"/>
                <w:sz w:val="18"/>
              </w:rPr>
              <w:t xml:space="preserve">Burn rate diario</w:t>
            </w:r>
          </w:p>
        </w:tc>
        <w:tc>
          <w:tcPr>
            <w:shd w:val="clear" w:color="auto" w:fill="FFFFFF"/>
          </w:tcPr>
          <w:p>
            <w:pPr>
              <w:pStyle w:val="Compact"/>
              <w:jc w:val="right"/>
            </w:pPr>
            <w:r>
              <w:rPr>
                <w:rFonts w:ascii="Calibri" w:hAnsi="Calibri"/>
                <w:sz w:val="18"/>
              </w:rPr>
              <w:t xml:space="preserve">Q 3,615.40</w:t>
            </w:r>
          </w:p>
        </w:tc>
      </w:tr>
      <w:tr>
        <w:tc>
          <w:tcPr>
            <w:shd w:val="clear" w:color="auto" w:fill="E8E8E8"/>
          </w:tcPr>
          <w:p>
            <w:pPr>
              <w:pStyle w:val="Compact"/>
              <w:jc w:val="left"/>
            </w:pPr>
            <w:r>
              <w:rPr>
                <w:rFonts w:ascii="Calibri" w:hAnsi="Calibri"/>
                <w:sz w:val="18"/>
              </w:rPr>
              <w:t xml:space="preserve">Costo por sprint cliente</w:t>
            </w:r>
          </w:p>
        </w:tc>
        <w:tc>
          <w:tcPr>
            <w:shd w:val="clear" w:color="auto" w:fill="E8E8E8"/>
          </w:tcPr>
          <w:p>
            <w:pPr>
              <w:pStyle w:val="Compact"/>
              <w:jc w:val="right"/>
            </w:pPr>
            <w:r>
              <w:rPr>
                <w:rFonts w:ascii="Calibri" w:hAnsi="Calibri"/>
                <w:sz w:val="18"/>
              </w:rPr>
              <w:t xml:space="preserve">Q 36,154</w:t>
            </w:r>
          </w:p>
        </w:tc>
      </w:tr>
      <w:tr>
        <w:tc>
          <w:tcPr>
            <w:shd w:val="clear" w:color="auto" w:fill="FFFFFF"/>
          </w:tcPr>
          <w:p>
            <w:pPr>
              <w:pStyle w:val="Compact"/>
              <w:jc w:val="left"/>
            </w:pPr>
            <w:r>
              <w:rPr>
                <w:rFonts w:ascii="Calibri" w:hAnsi="Calibri"/>
                <w:sz w:val="18"/>
              </w:rPr>
              <w:t xml:space="preserve">Costo equipo con buffer 10% (cliente)</w:t>
            </w:r>
          </w:p>
        </w:tc>
        <w:tc>
          <w:tcPr>
            <w:shd w:val="clear" w:color="auto" w:fill="FFFFFF"/>
          </w:tcPr>
          <w:p>
            <w:pPr>
              <w:pStyle w:val="Compact"/>
              <w:jc w:val="right"/>
            </w:pPr>
            <w:r>
              <w:rPr>
                <w:rFonts w:ascii="Calibri" w:hAnsi="Calibri"/>
                <w:sz w:val="18"/>
              </w:rPr>
              <w:t xml:space="preserve">Q 289,232</w:t>
            </w:r>
          </w:p>
        </w:tc>
      </w:tr>
      <w:tr>
        <w:tc>
          <w:tcPr>
            <w:shd w:val="clear" w:color="auto" w:fill="E8E8E8"/>
          </w:tcPr>
          <w:p>
            <w:pPr>
              <w:pStyle w:val="Compact"/>
              <w:jc w:val="left"/>
            </w:pPr>
            <w:r>
              <w:rPr>
                <w:rFonts w:ascii="Calibri" w:hAnsi="Calibri"/>
                <w:sz w:val="18"/>
              </w:rPr>
              <w:t xml:space="preserve">Costos adicionales 6 meses</w:t>
            </w:r>
          </w:p>
        </w:tc>
        <w:tc>
          <w:tcPr>
            <w:shd w:val="clear" w:color="auto" w:fill="E8E8E8"/>
          </w:tcPr>
          <w:p>
            <w:pPr>
              <w:pStyle w:val="Compact"/>
              <w:jc w:val="right"/>
            </w:pPr>
            <w:r>
              <w:rPr>
                <w:rFonts w:ascii="Calibri" w:hAnsi="Calibri"/>
                <w:sz w:val="18"/>
              </w:rPr>
              <w:t xml:space="preserve">Q 105,870</w:t>
            </w:r>
          </w:p>
        </w:tc>
      </w:tr>
      <w:tr>
        <w:tc>
          <w:tcPr>
            <w:shd w:val="clear" w:color="auto" w:fill="FFFFFF"/>
          </w:tcPr>
          <w:p>
            <w:pPr>
              <w:pStyle w:val="Compact"/>
              <w:jc w:val="left"/>
            </w:pPr>
            <w:r>
              <w:rPr>
                <w:rFonts w:ascii="Calibri" w:hAnsi="Calibri"/>
                <w:sz w:val="18"/>
              </w:rPr>
              <w:t xml:space="preserve">Reserva de contingencia</w:t>
            </w:r>
          </w:p>
        </w:tc>
        <w:tc>
          <w:tcPr>
            <w:shd w:val="clear" w:color="auto" w:fill="FFFFFF"/>
          </w:tcPr>
          <w:p>
            <w:pPr>
              <w:pStyle w:val="Compact"/>
              <w:jc w:val="right"/>
            </w:pPr>
            <w:r>
              <w:rPr>
                <w:rFonts w:ascii="Calibri" w:hAnsi="Calibri"/>
                <w:sz w:val="18"/>
              </w:rPr>
              <w:t xml:space="preserve">Q 133,769.80</w:t>
            </w:r>
          </w:p>
        </w:tc>
      </w:tr>
      <w:tr>
        <w:tc>
          <w:tcPr>
            <w:shd w:val="clear" w:color="auto" w:fill="E8E8E8"/>
          </w:tcPr>
          <w:p>
            <w:pPr>
              <w:pStyle w:val="Compact"/>
              <w:jc w:val="left"/>
            </w:pPr>
            <w:r>
              <w:rPr>
                <w:rFonts w:ascii="Calibri" w:hAnsi="Calibri"/>
                <w:sz w:val="18"/>
              </w:rPr>
              <w:t xml:space="preserve">Inversión total cliente</w:t>
            </w:r>
          </w:p>
        </w:tc>
        <w:tc>
          <w:tcPr>
            <w:shd w:val="clear" w:color="auto" w:fill="E8E8E8"/>
          </w:tcPr>
          <w:p>
            <w:pPr>
              <w:pStyle w:val="Compact"/>
              <w:jc w:val="right"/>
            </w:pPr>
            <w:r>
              <w:rPr>
                <w:rFonts w:ascii="Calibri" w:hAnsi="Calibri"/>
                <w:sz w:val="18"/>
              </w:rPr>
              <w:t xml:space="preserve">Q 528,871.80</w:t>
            </w:r>
          </w:p>
        </w:tc>
      </w:tr>
      <w:tr>
        <w:tc>
          <w:tcPr>
            <w:shd w:val="clear" w:color="auto" w:fill="FFFFFF"/>
          </w:tcPr>
          <w:p>
            <w:pPr>
              <w:pStyle w:val="Compact"/>
              <w:jc w:val="left"/>
            </w:pPr>
            <w:r>
              <w:rPr>
                <w:rFonts w:ascii="Calibri" w:hAnsi="Calibri"/>
                <w:sz w:val="18"/>
              </w:rPr>
              <w:t xml:space="preserve">Inversión total interna</w:t>
            </w:r>
          </w:p>
        </w:tc>
        <w:tc>
          <w:tcPr>
            <w:shd w:val="clear" w:color="auto" w:fill="FFFFFF"/>
          </w:tcPr>
          <w:p>
            <w:pPr>
              <w:pStyle w:val="Compact"/>
              <w:jc w:val="right"/>
            </w:pPr>
            <w:r>
              <w:rPr>
                <w:rFonts w:ascii="Calibri" w:hAnsi="Calibri"/>
                <w:sz w:val="18"/>
              </w:rPr>
              <w:t xml:space="preserve">Q 510,871.80</w:t>
            </w:r>
          </w:p>
        </w:tc>
      </w:tr>
      <w:tr>
        <w:tc>
          <w:tcPr>
            <w:shd w:val="clear" w:color="auto" w:fill="E8E8E8"/>
          </w:tcPr>
          <w:p>
            <w:pPr>
              <w:pStyle w:val="Compact"/>
              <w:jc w:val="left"/>
            </w:pPr>
            <w:r>
              <w:rPr>
                <w:rFonts w:ascii="Calibri" w:hAnsi="Calibri"/>
                <w:sz w:val="18"/>
              </w:rPr>
              <w:t xml:space="preserve">Precio exacto</w:t>
            </w:r>
          </w:p>
        </w:tc>
        <w:tc>
          <w:tcPr>
            <w:shd w:val="clear" w:color="auto" w:fill="E8E8E8"/>
          </w:tcPr>
          <w:p>
            <w:pPr>
              <w:pStyle w:val="Compact"/>
              <w:jc w:val="right"/>
            </w:pPr>
            <w:r>
              <w:rPr>
                <w:rFonts w:ascii="Calibri" w:hAnsi="Calibri"/>
                <w:sz w:val="18"/>
              </w:rPr>
              <w:t xml:space="preserve">Q 813,648.92</w:t>
            </w:r>
          </w:p>
        </w:tc>
      </w:tr>
      <w:tr>
        <w:tc>
          <w:tcPr>
            <w:shd w:val="clear" w:color="auto" w:fill="FFFFFF"/>
          </w:tcPr>
          <w:p>
            <w:pPr>
              <w:pStyle w:val="Compact"/>
              <w:jc w:val="left"/>
            </w:pPr>
            <w:r>
              <w:rPr>
                <w:rFonts w:ascii="Calibri" w:hAnsi="Calibri"/>
                <w:sz w:val="18"/>
              </w:rPr>
              <w:t xml:space="preserve">Precio redondeado cliente</w:t>
            </w:r>
          </w:p>
        </w:tc>
        <w:tc>
          <w:tcPr>
            <w:shd w:val="clear" w:color="auto" w:fill="FFFFFF"/>
          </w:tcPr>
          <w:p>
            <w:pPr>
              <w:pStyle w:val="Compact"/>
              <w:jc w:val="right"/>
            </w:pPr>
            <w:r>
              <w:rPr>
                <w:rFonts w:ascii="Calibri" w:hAnsi="Calibri"/>
                <w:sz w:val="18"/>
              </w:rPr>
              <w:t xml:space="preserve">Q 814,000</w:t>
            </w:r>
          </w:p>
        </w:tc>
      </w:tr>
      <w:tr>
        <w:tc>
          <w:tcPr>
            <w:shd w:val="clear" w:color="auto" w:fill="E8E8E8"/>
          </w:tcPr>
          <w:p>
            <w:pPr>
              <w:pStyle w:val="Compact"/>
              <w:jc w:val="left"/>
            </w:pPr>
            <w:r>
              <w:rPr>
                <w:rFonts w:ascii="Calibri" w:hAnsi="Calibri"/>
                <w:sz w:val="18"/>
              </w:rPr>
              <w:t xml:space="preserve">Precio redondeado interno</w:t>
            </w:r>
          </w:p>
        </w:tc>
        <w:tc>
          <w:tcPr>
            <w:shd w:val="clear" w:color="auto" w:fill="E8E8E8"/>
          </w:tcPr>
          <w:p>
            <w:pPr>
              <w:pStyle w:val="Compact"/>
              <w:jc w:val="right"/>
            </w:pPr>
            <w:r>
              <w:rPr>
                <w:rFonts w:ascii="Calibri" w:hAnsi="Calibri"/>
                <w:sz w:val="18"/>
              </w:rPr>
              <w:t xml:space="preserve">Q 786,000</w:t>
            </w:r>
          </w:p>
        </w:tc>
      </w:tr>
      <w:tr>
        <w:tc>
          <w:tcPr>
            <w:shd w:val="clear" w:color="auto" w:fill="FFFFFF"/>
          </w:tcPr>
          <w:p>
            <w:pPr>
              <w:pStyle w:val="Compact"/>
              <w:jc w:val="left"/>
            </w:pPr>
            <w:r>
              <w:rPr>
                <w:rFonts w:ascii="Calibri" w:hAnsi="Calibri"/>
                <w:sz w:val="18"/>
              </w:rPr>
              <w:t xml:space="preserve">Beneficio neto cliente</w:t>
            </w:r>
          </w:p>
        </w:tc>
        <w:tc>
          <w:tcPr>
            <w:shd w:val="clear" w:color="auto" w:fill="FFFFFF"/>
          </w:tcPr>
          <w:p>
            <w:pPr>
              <w:pStyle w:val="Compact"/>
              <w:jc w:val="right"/>
            </w:pPr>
            <w:r>
              <w:rPr>
                <w:rFonts w:ascii="Calibri" w:hAnsi="Calibri"/>
                <w:sz w:val="18"/>
              </w:rPr>
              <w:t xml:space="preserve">Q 285,128.20</w:t>
            </w:r>
          </w:p>
        </w:tc>
      </w:tr>
      <w:tr>
        <w:tc>
          <w:tcPr>
            <w:shd w:val="clear" w:color="auto" w:fill="E8E8E8"/>
          </w:tcPr>
          <w:p>
            <w:pPr>
              <w:pStyle w:val="Compact"/>
              <w:jc w:val="left"/>
            </w:pPr>
            <w:r>
              <w:rPr>
                <w:rFonts w:ascii="Calibri" w:hAnsi="Calibri"/>
                <w:sz w:val="18"/>
              </w:rPr>
              <w:t xml:space="preserve">ROI</w:t>
            </w:r>
          </w:p>
        </w:tc>
        <w:tc>
          <w:tcPr>
            <w:shd w:val="clear" w:color="auto" w:fill="E8E8E8"/>
          </w:tcPr>
          <w:p>
            <w:pPr>
              <w:pStyle w:val="Compact"/>
              <w:jc w:val="right"/>
            </w:pPr>
            <w:r>
              <w:rPr>
                <w:rFonts w:ascii="Calibri" w:hAnsi="Calibri"/>
                <w:sz w:val="18"/>
              </w:rPr>
              <w:t xml:space="preserve">53.85%</w:t>
            </w:r>
          </w:p>
        </w:tc>
      </w:tr>
      <w:tr>
        <w:tc>
          <w:tcPr>
            <w:shd w:val="clear" w:color="auto" w:fill="FFFFFF"/>
          </w:tcPr>
          <w:p>
            <w:pPr>
              <w:pStyle w:val="Compact"/>
              <w:jc w:val="left"/>
            </w:pPr>
            <w:r>
              <w:rPr>
                <w:rFonts w:ascii="Calibri" w:hAnsi="Calibri"/>
                <w:sz w:val="18"/>
              </w:rPr>
              <w:t xml:space="preserve">ROI adverso (reserva consumida)</w:t>
            </w:r>
          </w:p>
        </w:tc>
        <w:tc>
          <w:tcPr>
            <w:shd w:val="clear" w:color="auto" w:fill="FFFFFF"/>
          </w:tcPr>
          <w:p>
            <w:pPr>
              <w:pStyle w:val="Compact"/>
              <w:jc w:val="right"/>
            </w:pPr>
            <w:r>
              <w:rPr>
                <w:rFonts w:ascii="Calibri" w:hAnsi="Calibri"/>
                <w:sz w:val="18"/>
              </w:rPr>
              <w:t xml:space="preserve">24.26%</w:t>
            </w:r>
          </w:p>
        </w:tc>
      </w:tr>
      <w:tr>
        <w:tc>
          <w:tcPr>
            <w:shd w:val="clear" w:color="auto" w:fill="E8E8E8"/>
          </w:tcPr>
          <w:p>
            <w:pPr>
              <w:pStyle w:val="Compact"/>
              <w:jc w:val="left"/>
            </w:pPr>
            <w:r>
              <w:rPr>
                <w:rFonts w:ascii="Calibri" w:hAnsi="Calibri"/>
                <w:sz w:val="18"/>
              </w:rPr>
              <w:t xml:space="preserve">TMAR</w:t>
            </w:r>
          </w:p>
        </w:tc>
        <w:tc>
          <w:tcPr>
            <w:shd w:val="clear" w:color="auto" w:fill="E8E8E8"/>
          </w:tcPr>
          <w:p>
            <w:pPr>
              <w:pStyle w:val="Compact"/>
              <w:jc w:val="right"/>
            </w:pPr>
            <w:r>
              <w:rPr>
                <w:rFonts w:ascii="Calibri" w:hAnsi="Calibri"/>
                <w:sz w:val="18"/>
              </w:rPr>
              <w:t xml:space="preserve">35%</w:t>
            </w:r>
          </w:p>
        </w:tc>
      </w:tr>
      <w:tr>
        <w:tc>
          <w:tcPr>
            <w:shd w:val="clear" w:color="auto" w:fill="FFFFFF"/>
          </w:tcPr>
          <w:p>
            <w:pPr>
              <w:pStyle w:val="Compact"/>
              <w:jc w:val="left"/>
            </w:pPr>
            <w:r>
              <w:rPr>
                <w:rFonts w:ascii="Calibri" w:hAnsi="Calibri"/>
                <w:sz w:val="18"/>
              </w:rPr>
              <w:t xml:space="preserve">Margen</w:t>
            </w:r>
          </w:p>
        </w:tc>
        <w:tc>
          <w:tcPr>
            <w:shd w:val="clear" w:color="auto" w:fill="FFFFFF"/>
          </w:tcPr>
          <w:p>
            <w:pPr>
              <w:pStyle w:val="Compact"/>
              <w:jc w:val="right"/>
            </w:pPr>
            <w:r>
              <w:rPr>
                <w:rFonts w:ascii="Calibri" w:hAnsi="Calibri"/>
                <w:sz w:val="18"/>
              </w:rPr>
              <w:t xml:space="preserve">35%</w:t>
            </w:r>
          </w:p>
        </w:tc>
      </w:tr>
      <w:tr>
        <w:tc>
          <w:tcPr>
            <w:shd w:val="clear" w:color="auto" w:fill="E8E8E8"/>
          </w:tcPr>
          <w:p>
            <w:pPr>
              <w:pStyle w:val="Compact"/>
              <w:jc w:val="left"/>
            </w:pPr>
            <w:r>
              <w:rPr>
                <w:rFonts w:ascii="Calibri" w:hAnsi="Calibri"/>
                <w:sz w:val="18"/>
              </w:rPr>
              <w:t xml:space="preserve">Activos totales (empresa)</w:t>
            </w:r>
          </w:p>
        </w:tc>
        <w:tc>
          <w:tcPr>
            <w:shd w:val="clear" w:color="auto" w:fill="E8E8E8"/>
          </w:tcPr>
          <w:p>
            <w:pPr>
              <w:pStyle w:val="Compact"/>
              <w:jc w:val="right"/>
            </w:pPr>
            <w:r>
              <w:rPr>
                <w:rFonts w:ascii="Calibri" w:hAnsi="Calibri"/>
                <w:sz w:val="18"/>
              </w:rPr>
              <w:t xml:space="preserve">Q 500,000</w:t>
            </w:r>
          </w:p>
        </w:tc>
      </w:tr>
    </w:tbl>
    <w:p>
      <w:pPr>
        <w:pStyle w:val="Heading3"/>
      </w:pPr>
      <w:bookmarkStart w:id="77" w:name="salarios-por-rol-scrumban-xp-6-personas"/>
      <w:r>
        <w:t xml:space="preserve">Salarios por rol (Scrumban + XP, 6 personas)</w:t>
      </w:r>
      <w:bookmarkEnd w:id="77"/>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Rol</w:t>
            </w:r>
          </w:p>
        </w:tc>
        <w:tc>
          <w:tcPr>
            <w:tcBorders>
              <w:bottom w:val="single"/>
            </w:tcBorders>
            <w:vAlign w:val="bottom"/>
            <w:shd w:val="clear" w:color="auto" w:fill="0E2841"/>
          </w:tcPr>
          <w:p>
            <w:pPr>
              <w:pStyle w:val="Compact"/>
              <w:jc w:val="left"/>
            </w:pPr>
            <w:r>
              <w:rPr>
                <w:rFonts w:ascii="Calibri" w:hAnsi="Calibri"/>
                <w:b/>
                <w:color w:val="FFFFFF"/>
                <w:sz w:val="18"/>
              </w:rPr>
              <w:t xml:space="preserve">Nombre</w:t>
            </w:r>
          </w:p>
        </w:tc>
        <w:tc>
          <w:tcPr>
            <w:tcBorders>
              <w:bottom w:val="single"/>
            </w:tcBorders>
            <w:vAlign w:val="bottom"/>
            <w:shd w:val="clear" w:color="auto" w:fill="0E2841"/>
          </w:tcPr>
          <w:p>
            <w:pPr>
              <w:pStyle w:val="Compact"/>
              <w:jc w:val="right"/>
            </w:pPr>
            <w:r>
              <w:rPr>
                <w:rFonts w:ascii="Calibri" w:hAnsi="Calibri"/>
                <w:b/>
                <w:color w:val="FFFFFF"/>
                <w:sz w:val="18"/>
              </w:rPr>
              <w:t xml:space="preserve">Salario</w:t>
            </w:r>
          </w:p>
        </w:tc>
        <w:tc>
          <w:tcPr>
            <w:tcBorders>
              <w:bottom w:val="single"/>
            </w:tcBorders>
            <w:vAlign w:val="bottom"/>
            <w:shd w:val="clear" w:color="auto" w:fill="0E2841"/>
          </w:tcPr>
          <w:p>
            <w:pPr>
              <w:pStyle w:val="Compact"/>
              <w:jc w:val="right"/>
            </w:pPr>
            <w:r>
              <w:rPr>
                <w:rFonts w:ascii="Calibri" w:hAnsi="Calibri"/>
                <w:b/>
                <w:color w:val="FFFFFF"/>
                <w:sz w:val="18"/>
              </w:rPr>
              <w:t xml:space="preserve">FTE</w:t>
            </w:r>
          </w:p>
        </w:tc>
      </w:tr>
      <w:tr>
        <w:tc>
          <w:tcPr>
            <w:shd w:val="clear" w:color="auto" w:fill="FFFFFF"/>
          </w:tcPr>
          <w:p>
            <w:pPr>
              <w:pStyle w:val="Compact"/>
              <w:jc w:val="left"/>
            </w:pPr>
            <w:r>
              <w:rPr>
                <w:rFonts w:ascii="Calibri" w:hAnsi="Calibri"/>
                <w:sz w:val="18"/>
              </w:rPr>
              <w:t xml:space="preserve">Coach (PO+XP)</w:t>
            </w:r>
          </w:p>
        </w:tc>
        <w:tc>
          <w:tcPr>
            <w:shd w:val="clear" w:color="auto" w:fill="FFFFFF"/>
          </w:tcPr>
          <w:p>
            <w:pPr>
              <w:pStyle w:val="Compact"/>
              <w:jc w:val="left"/>
            </w:pPr>
            <w:r>
              <w:rPr>
                <w:rFonts w:ascii="Calibri" w:hAnsi="Calibri"/>
                <w:sz w:val="18"/>
              </w:rPr>
              <w:t xml:space="preserve">Josué Say</w:t>
            </w:r>
          </w:p>
        </w:tc>
        <w:tc>
          <w:tcPr>
            <w:shd w:val="clear" w:color="auto" w:fill="FFFFFF"/>
          </w:tcPr>
          <w:p>
            <w:pPr>
              <w:pStyle w:val="Compact"/>
              <w:jc w:val="right"/>
            </w:pPr>
            <w:r>
              <w:rPr>
                <w:rFonts w:ascii="Calibri" w:hAnsi="Calibri"/>
                <w:sz w:val="18"/>
              </w:rPr>
              <w:t xml:space="preserve">Q 15,000</w:t>
            </w:r>
          </w:p>
        </w:tc>
        <w:tc>
          <w:tcPr>
            <w:shd w:val="clear" w:color="auto" w:fill="FFFFFF"/>
          </w:tcPr>
          <w:p>
            <w:pPr>
              <w:pStyle w:val="Compact"/>
              <w:jc w:val="right"/>
            </w:pPr>
            <w:r>
              <w:rPr>
                <w:rFonts w:ascii="Calibri" w:hAnsi="Calibri"/>
                <w:sz w:val="18"/>
              </w:rPr>
              <w:t xml:space="preserve">1.0 facturado / 0.7 interno</w:t>
            </w:r>
          </w:p>
        </w:tc>
      </w:tr>
      <w:tr>
        <w:tc>
          <w:tcPr>
            <w:shd w:val="clear" w:color="auto" w:fill="E8E8E8"/>
          </w:tcPr>
          <w:p>
            <w:pPr>
              <w:pStyle w:val="Compact"/>
              <w:jc w:val="left"/>
            </w:pPr>
            <w:r>
              <w:rPr>
                <w:rFonts w:ascii="Calibri" w:hAnsi="Calibri"/>
                <w:sz w:val="18"/>
              </w:rPr>
              <w:t xml:space="preserve">Tracker/Tester (SM+XP)</w:t>
            </w:r>
          </w:p>
        </w:tc>
        <w:tc>
          <w:tcPr>
            <w:shd w:val="clear" w:color="auto" w:fill="E8E8E8"/>
          </w:tcPr>
          <w:p>
            <w:pPr>
              <w:pStyle w:val="Compact"/>
              <w:jc w:val="left"/>
            </w:pPr>
            <w:r>
              <w:rPr>
                <w:rFonts w:ascii="Calibri" w:hAnsi="Calibri"/>
                <w:sz w:val="18"/>
              </w:rPr>
              <w:t xml:space="preserve">Mathew Cordero</w:t>
            </w:r>
          </w:p>
        </w:tc>
        <w:tc>
          <w:tcPr>
            <w:shd w:val="clear" w:color="auto" w:fill="E8E8E8"/>
          </w:tcPr>
          <w:p>
            <w:pPr>
              <w:pStyle w:val="Compact"/>
              <w:jc w:val="right"/>
            </w:pPr>
            <w:r>
              <w:rPr>
                <w:rFonts w:ascii="Calibri" w:hAnsi="Calibri"/>
                <w:sz w:val="18"/>
              </w:rPr>
              <w:t xml:space="preserve">Q 13,500</w:t>
            </w:r>
          </w:p>
        </w:tc>
        <w:tc>
          <w:tcPr>
            <w:shd w:val="clear" w:color="auto" w:fill="E8E8E8"/>
          </w:tcPr>
          <w:p>
            <w:pPr>
              <w:pStyle w:val="Compact"/>
              <w:jc w:val="right"/>
            </w:pPr>
            <w:r>
              <w:rPr>
                <w:rFonts w:ascii="Calibri" w:hAnsi="Calibri"/>
                <w:sz w:val="18"/>
              </w:rPr>
              <w:t xml:space="preserve">1.0</w:t>
            </w:r>
          </w:p>
        </w:tc>
      </w:tr>
      <w:tr>
        <w:tc>
          <w:tcPr>
            <w:shd w:val="clear" w:color="auto" w:fill="FFFFFF"/>
          </w:tcPr>
          <w:p>
            <w:pPr>
              <w:pStyle w:val="Compact"/>
              <w:jc w:val="left"/>
            </w:pPr>
            <w:r>
              <w:rPr>
                <w:rFonts w:ascii="Calibri" w:hAnsi="Calibri"/>
                <w:sz w:val="18"/>
              </w:rPr>
              <w:t xml:space="preserve">Dev Senior</w:t>
            </w:r>
          </w:p>
        </w:tc>
        <w:tc>
          <w:tcPr>
            <w:shd w:val="clear" w:color="auto" w:fill="FFFFFF"/>
          </w:tcPr>
          <w:p>
            <w:pPr>
              <w:pStyle w:val="Compact"/>
              <w:jc w:val="left"/>
            </w:pPr>
            <w:r>
              <w:rPr>
                <w:rFonts w:ascii="Calibri" w:hAnsi="Calibri"/>
                <w:sz w:val="18"/>
              </w:rPr>
              <w:t xml:space="preserve">Gustavo Cruz Bardales</w:t>
            </w:r>
          </w:p>
        </w:tc>
        <w:tc>
          <w:tcPr>
            <w:shd w:val="clear" w:color="auto" w:fill="FFFFFF"/>
          </w:tcPr>
          <w:p>
            <w:pPr>
              <w:pStyle w:val="Compact"/>
              <w:jc w:val="right"/>
            </w:pPr>
            <w:r>
              <w:rPr>
                <w:rFonts w:ascii="Calibri" w:hAnsi="Calibri"/>
                <w:sz w:val="18"/>
              </w:rPr>
              <w:t xml:space="preserve">Q 12,904</w:t>
            </w:r>
          </w:p>
        </w:tc>
        <w:tc>
          <w:tcPr>
            <w:shd w:val="clear" w:color="auto" w:fill="FFFFFF"/>
          </w:tcPr>
          <w:p>
            <w:pPr>
              <w:pStyle w:val="Compact"/>
              <w:jc w:val="right"/>
            </w:pPr>
            <w:r>
              <w:rPr>
                <w:rFonts w:ascii="Calibri" w:hAnsi="Calibri"/>
                <w:sz w:val="18"/>
              </w:rPr>
              <w:t xml:space="preserve">1.0</w:t>
            </w:r>
          </w:p>
        </w:tc>
      </w:tr>
      <w:tr>
        <w:tc>
          <w:tcPr>
            <w:shd w:val="clear" w:color="auto" w:fill="E8E8E8"/>
          </w:tcPr>
          <w:p>
            <w:pPr>
              <w:pStyle w:val="Compact"/>
              <w:jc w:val="left"/>
            </w:pPr>
            <w:r>
              <w:rPr>
                <w:rFonts w:ascii="Calibri" w:hAnsi="Calibri"/>
                <w:sz w:val="18"/>
              </w:rPr>
              <w:t xml:space="preserve">Dev Senior</w:t>
            </w:r>
          </w:p>
        </w:tc>
        <w:tc>
          <w:tcPr>
            <w:shd w:val="clear" w:color="auto" w:fill="E8E8E8"/>
          </w:tcPr>
          <w:p>
            <w:pPr>
              <w:pStyle w:val="Compact"/>
              <w:jc w:val="left"/>
            </w:pPr>
            <w:r>
              <w:rPr>
                <w:rFonts w:ascii="Calibri" w:hAnsi="Calibri"/>
                <w:sz w:val="18"/>
              </w:rPr>
              <w:t xml:space="preserve">Javier Chen González</w:t>
            </w:r>
          </w:p>
        </w:tc>
        <w:tc>
          <w:tcPr>
            <w:shd w:val="clear" w:color="auto" w:fill="E8E8E8"/>
          </w:tcPr>
          <w:p>
            <w:pPr>
              <w:pStyle w:val="Compact"/>
              <w:jc w:val="right"/>
            </w:pPr>
            <w:r>
              <w:rPr>
                <w:rFonts w:ascii="Calibri" w:hAnsi="Calibri"/>
                <w:sz w:val="18"/>
              </w:rPr>
              <w:t xml:space="preserve">Q 12,904</w:t>
            </w:r>
          </w:p>
        </w:tc>
        <w:tc>
          <w:tcPr>
            <w:shd w:val="clear" w:color="auto" w:fill="E8E8E8"/>
          </w:tcPr>
          <w:p>
            <w:pPr>
              <w:pStyle w:val="Compact"/>
              <w:jc w:val="right"/>
            </w:pPr>
            <w:r>
              <w:rPr>
                <w:rFonts w:ascii="Calibri" w:hAnsi="Calibri"/>
                <w:sz w:val="18"/>
              </w:rPr>
              <w:t xml:space="preserve">1.0</w:t>
            </w:r>
          </w:p>
        </w:tc>
      </w:tr>
      <w:tr>
        <w:tc>
          <w:tcPr>
            <w:shd w:val="clear" w:color="auto" w:fill="FFFFFF"/>
          </w:tcPr>
          <w:p>
            <w:pPr>
              <w:pStyle w:val="Compact"/>
              <w:jc w:val="left"/>
            </w:pPr>
            <w:r>
              <w:rPr>
                <w:rFonts w:ascii="Calibri" w:hAnsi="Calibri"/>
                <w:sz w:val="18"/>
              </w:rPr>
              <w:t xml:space="preserve">Dev Junior</w:t>
            </w:r>
          </w:p>
        </w:tc>
        <w:tc>
          <w:tcPr>
            <w:shd w:val="clear" w:color="auto" w:fill="FFFFFF"/>
          </w:tcPr>
          <w:p>
            <w:pPr>
              <w:pStyle w:val="Compact"/>
              <w:jc w:val="left"/>
            </w:pPr>
            <w:r>
              <w:rPr>
                <w:rFonts w:ascii="Calibri" w:hAnsi="Calibri"/>
                <w:sz w:val="18"/>
              </w:rPr>
              <w:t xml:space="preserve">Pedro Guzmán Mayén</w:t>
            </w:r>
          </w:p>
        </w:tc>
        <w:tc>
          <w:tcPr>
            <w:shd w:val="clear" w:color="auto" w:fill="FFFFFF"/>
          </w:tcPr>
          <w:p>
            <w:pPr>
              <w:pStyle w:val="Compact"/>
              <w:jc w:val="right"/>
            </w:pPr>
            <w:r>
              <w:rPr>
                <w:rFonts w:ascii="Calibri" w:hAnsi="Calibri"/>
                <w:sz w:val="18"/>
              </w:rPr>
              <w:t xml:space="preserve">Q 9,000</w:t>
            </w:r>
          </w:p>
        </w:tc>
        <w:tc>
          <w:tcPr>
            <w:shd w:val="clear" w:color="auto" w:fill="FFFFFF"/>
          </w:tcPr>
          <w:p>
            <w:pPr>
              <w:pStyle w:val="Compact"/>
              <w:jc w:val="right"/>
            </w:pPr>
            <w:r>
              <w:rPr>
                <w:rFonts w:ascii="Calibri" w:hAnsi="Calibri"/>
                <w:sz w:val="18"/>
              </w:rPr>
              <w:t xml:space="preserve">1.0</w:t>
            </w:r>
          </w:p>
        </w:tc>
      </w:tr>
      <w:tr>
        <w:tc>
          <w:tcPr>
            <w:shd w:val="clear" w:color="auto" w:fill="E8E8E8"/>
          </w:tcPr>
          <w:p>
            <w:pPr>
              <w:pStyle w:val="Compact"/>
              <w:jc w:val="left"/>
            </w:pPr>
            <w:r>
              <w:rPr>
                <w:rFonts w:ascii="Calibri" w:hAnsi="Calibri"/>
                <w:sz w:val="18"/>
              </w:rPr>
              <w:t xml:space="preserve">Dev Junior</w:t>
            </w:r>
          </w:p>
        </w:tc>
        <w:tc>
          <w:tcPr>
            <w:shd w:val="clear" w:color="auto" w:fill="E8E8E8"/>
          </w:tcPr>
          <w:p>
            <w:pPr>
              <w:pStyle w:val="Compact"/>
              <w:jc w:val="left"/>
            </w:pPr>
            <w:r>
              <w:rPr>
                <w:rFonts w:ascii="Calibri" w:hAnsi="Calibri"/>
                <w:sz w:val="18"/>
              </w:rPr>
              <w:t xml:space="preserve">(sexto integrante)</w:t>
            </w:r>
          </w:p>
        </w:tc>
        <w:tc>
          <w:tcPr>
            <w:shd w:val="clear" w:color="auto" w:fill="E8E8E8"/>
          </w:tcPr>
          <w:p>
            <w:pPr>
              <w:pStyle w:val="Compact"/>
              <w:jc w:val="right"/>
            </w:pPr>
            <w:r>
              <w:rPr>
                <w:rFonts w:ascii="Calibri" w:hAnsi="Calibri"/>
                <w:sz w:val="18"/>
              </w:rPr>
              <w:t xml:space="preserve">Q 9,000</w:t>
            </w:r>
          </w:p>
        </w:tc>
        <w:tc>
          <w:tcPr>
            <w:shd w:val="clear" w:color="auto" w:fill="E8E8E8"/>
          </w:tcPr>
          <w:p>
            <w:pPr>
              <w:pStyle w:val="Compact"/>
              <w:jc w:val="right"/>
            </w:pPr>
            <w:r>
              <w:rPr>
                <w:rFonts w:ascii="Calibri" w:hAnsi="Calibri"/>
                <w:sz w:val="18"/>
              </w:rPr>
              <w:t xml:space="preserve">1.0</w:t>
            </w:r>
          </w:p>
        </w:tc>
      </w:tr>
    </w:tbl>
    <w:p>
      <w:pPr>
        <w:pStyle w:val="Heading3"/>
      </w:pPr>
      <w:bookmarkStart w:id="78" w:name="costos-adicionales-6-meses"/>
      <w:r>
        <w:t xml:space="preserve">Costos adicionales 6 meses</w:t>
      </w:r>
      <w:bookmarkEnd w:id="78"/>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Item</w:t>
            </w:r>
          </w:p>
        </w:tc>
        <w:tc>
          <w:tcPr>
            <w:tcBorders>
              <w:bottom w:val="single"/>
            </w:tcBorders>
            <w:vAlign w:val="bottom"/>
            <w:shd w:val="clear" w:color="auto" w:fill="0E2841"/>
          </w:tcPr>
          <w:p>
            <w:pPr>
              <w:pStyle w:val="Compact"/>
              <w:jc w:val="right"/>
            </w:pPr>
            <w:r>
              <w:rPr>
                <w:rFonts w:ascii="Calibri" w:hAnsi="Calibri"/>
                <w:b/>
                <w:color w:val="FFFFFF"/>
                <w:sz w:val="18"/>
              </w:rPr>
              <w:t xml:space="preserve">Monto</w:t>
            </w:r>
          </w:p>
        </w:tc>
      </w:tr>
      <w:tr>
        <w:tc>
          <w:tcPr>
            <w:shd w:val="clear" w:color="auto" w:fill="FFFFFF"/>
          </w:tcPr>
          <w:p>
            <w:pPr>
              <w:pStyle w:val="Compact"/>
              <w:jc w:val="left"/>
            </w:pPr>
            <w:r>
              <w:rPr>
                <w:rFonts w:ascii="Calibri" w:hAnsi="Calibri"/>
                <w:sz w:val="18"/>
              </w:rPr>
              <w:t xml:space="preserve">Microsoft Office Business Standard</w:t>
            </w:r>
          </w:p>
        </w:tc>
        <w:tc>
          <w:tcPr>
            <w:shd w:val="clear" w:color="auto" w:fill="FFFFFF"/>
          </w:tcPr>
          <w:p>
            <w:pPr>
              <w:pStyle w:val="Compact"/>
              <w:jc w:val="right"/>
            </w:pPr>
            <w:r>
              <w:rPr>
                <w:rFonts w:ascii="Calibri" w:hAnsi="Calibri"/>
                <w:sz w:val="18"/>
              </w:rPr>
              <w:t xml:space="preserve">Q 4,500</w:t>
            </w:r>
          </w:p>
        </w:tc>
      </w:tr>
      <w:tr>
        <w:tc>
          <w:tcPr>
            <w:shd w:val="clear" w:color="auto" w:fill="E8E8E8"/>
          </w:tcPr>
          <w:p>
            <w:pPr>
              <w:pStyle w:val="Compact"/>
              <w:jc w:val="left"/>
            </w:pPr>
            <w:r>
              <w:rPr>
                <w:rFonts w:ascii="Calibri" w:hAnsi="Calibri"/>
                <w:sz w:val="18"/>
              </w:rPr>
              <w:t xml:space="preserve">Equipo de cómputo (compra única)</w:t>
            </w:r>
          </w:p>
        </w:tc>
        <w:tc>
          <w:tcPr>
            <w:shd w:val="clear" w:color="auto" w:fill="E8E8E8"/>
          </w:tcPr>
          <w:p>
            <w:pPr>
              <w:pStyle w:val="Compact"/>
              <w:jc w:val="right"/>
            </w:pPr>
            <w:r>
              <w:rPr>
                <w:rFonts w:ascii="Calibri" w:hAnsi="Calibri"/>
                <w:sz w:val="18"/>
              </w:rPr>
              <w:t xml:space="preserve">Q 51,000</w:t>
            </w:r>
          </w:p>
        </w:tc>
      </w:tr>
      <w:tr>
        <w:tc>
          <w:tcPr>
            <w:shd w:val="clear" w:color="auto" w:fill="FFFFFF"/>
          </w:tcPr>
          <w:p>
            <w:pPr>
              <w:pStyle w:val="Compact"/>
              <w:jc w:val="left"/>
            </w:pPr>
            <w:r>
              <w:rPr>
                <w:rFonts w:ascii="Calibri" w:hAnsi="Calibri"/>
                <w:sz w:val="18"/>
              </w:rPr>
              <w:t xml:space="preserve">Claude Team Pro</w:t>
            </w:r>
          </w:p>
        </w:tc>
        <w:tc>
          <w:tcPr>
            <w:shd w:val="clear" w:color="auto" w:fill="FFFFFF"/>
          </w:tcPr>
          <w:p>
            <w:pPr>
              <w:pStyle w:val="Compact"/>
              <w:jc w:val="right"/>
            </w:pPr>
            <w:r>
              <w:rPr>
                <w:rFonts w:ascii="Calibri" w:hAnsi="Calibri"/>
                <w:sz w:val="18"/>
              </w:rPr>
              <w:t xml:space="preserve">Q 4,500</w:t>
            </w:r>
          </w:p>
        </w:tc>
      </w:tr>
      <w:tr>
        <w:tc>
          <w:tcPr>
            <w:shd w:val="clear" w:color="auto" w:fill="E8E8E8"/>
          </w:tcPr>
          <w:p>
            <w:pPr>
              <w:pStyle w:val="Compact"/>
              <w:jc w:val="left"/>
            </w:pPr>
            <w:r>
              <w:rPr>
                <w:rFonts w:ascii="Calibri" w:hAnsi="Calibri"/>
                <w:sz w:val="18"/>
              </w:rPr>
              <w:t xml:space="preserve">Internet Tigo residencial</w:t>
            </w:r>
          </w:p>
        </w:tc>
        <w:tc>
          <w:tcPr>
            <w:shd w:val="clear" w:color="auto" w:fill="E8E8E8"/>
          </w:tcPr>
          <w:p>
            <w:pPr>
              <w:pStyle w:val="Compact"/>
              <w:jc w:val="right"/>
            </w:pPr>
            <w:r>
              <w:rPr>
                <w:rFonts w:ascii="Calibri" w:hAnsi="Calibri"/>
                <w:sz w:val="18"/>
              </w:rPr>
              <w:t xml:space="preserve">Q 13,500</w:t>
            </w:r>
          </w:p>
        </w:tc>
      </w:tr>
      <w:tr>
        <w:tc>
          <w:tcPr>
            <w:shd w:val="clear" w:color="auto" w:fill="FFFFFF"/>
          </w:tcPr>
          <w:p>
            <w:pPr>
              <w:pStyle w:val="Compact"/>
              <w:jc w:val="left"/>
            </w:pPr>
            <w:r>
              <w:rPr>
                <w:rFonts w:ascii="Calibri" w:hAnsi="Calibri"/>
                <w:sz w:val="18"/>
              </w:rPr>
              <w:t xml:space="preserve">Energía eléctrica EEGSA</w:t>
            </w:r>
          </w:p>
        </w:tc>
        <w:tc>
          <w:tcPr>
            <w:shd w:val="clear" w:color="auto" w:fill="FFFFFF"/>
          </w:tcPr>
          <w:p>
            <w:pPr>
              <w:pStyle w:val="Compact"/>
              <w:jc w:val="right"/>
            </w:pPr>
            <w:r>
              <w:rPr>
                <w:rFonts w:ascii="Calibri" w:hAnsi="Calibri"/>
                <w:sz w:val="18"/>
              </w:rPr>
              <w:t xml:space="preserve">Q 30,000</w:t>
            </w:r>
          </w:p>
        </w:tc>
      </w:tr>
      <w:tr>
        <w:tc>
          <w:tcPr>
            <w:shd w:val="clear" w:color="auto" w:fill="E8E8E8"/>
          </w:tcPr>
          <w:p>
            <w:pPr>
              <w:pStyle w:val="Compact"/>
              <w:jc w:val="left"/>
            </w:pPr>
            <w:r>
              <w:rPr>
                <w:rFonts w:ascii="Calibri" w:hAnsi="Calibri"/>
                <w:sz w:val="18"/>
              </w:rPr>
              <w:t xml:space="preserve">Google Colab Pro</w:t>
            </w:r>
          </w:p>
        </w:tc>
        <w:tc>
          <w:tcPr>
            <w:shd w:val="clear" w:color="auto" w:fill="E8E8E8"/>
          </w:tcPr>
          <w:p>
            <w:pPr>
              <w:pStyle w:val="Compact"/>
              <w:jc w:val="right"/>
            </w:pPr>
            <w:r>
              <w:rPr>
                <w:rFonts w:ascii="Calibri" w:hAnsi="Calibri"/>
                <w:sz w:val="18"/>
              </w:rPr>
              <w:t xml:space="preserve">Q 1,170</w:t>
            </w:r>
          </w:p>
        </w:tc>
      </w:tr>
      <w:tr>
        <w:tc>
          <w:tcPr>
            <w:shd w:val="clear" w:color="auto" w:fill="FFFFFF"/>
          </w:tcPr>
          <w:p>
            <w:pPr>
              <w:pStyle w:val="Compact"/>
              <w:jc w:val="left"/>
            </w:pPr>
            <w:r>
              <w:rPr>
                <w:rFonts w:ascii="Calibri" w:hAnsi="Calibri"/>
                <w:sz w:val="18"/>
              </w:rPr>
              <w:t xml:space="preserve">Infraestructura cloud</w:t>
            </w:r>
          </w:p>
        </w:tc>
        <w:tc>
          <w:tcPr>
            <w:shd w:val="clear" w:color="auto" w:fill="FFFFFF"/>
          </w:tcPr>
          <w:p>
            <w:pPr>
              <w:pStyle w:val="Compact"/>
              <w:jc w:val="right"/>
            </w:pPr>
            <w:r>
              <w:rPr>
                <w:rFonts w:ascii="Calibri" w:hAnsi="Calibri"/>
                <w:sz w:val="18"/>
              </w:rPr>
              <w:t xml:space="preserve">Q 1,200</w:t>
            </w:r>
          </w:p>
        </w:tc>
      </w:tr>
      <w:tr>
        <w:tc>
          <w:tcPr>
            <w:shd w:val="clear" w:color="auto" w:fill="E8E8E8"/>
          </w:tcPr>
          <w:p>
            <w:pPr>
              <w:pStyle w:val="Compact"/>
              <w:jc w:val="left"/>
            </w:pPr>
            <w:r>
              <w:rPr>
                <w:rFonts w:ascii="Calibri" w:hAnsi="Calibri"/>
                <w:sz w:val="18"/>
              </w:rPr>
              <w:t xml:space="preserve">Total</w:t>
            </w:r>
          </w:p>
        </w:tc>
        <w:tc>
          <w:tcPr>
            <w:shd w:val="clear" w:color="auto" w:fill="E8E8E8"/>
          </w:tcPr>
          <w:p>
            <w:pPr>
              <w:pStyle w:val="Compact"/>
              <w:jc w:val="right"/>
            </w:pPr>
            <w:r>
              <w:rPr>
                <w:rFonts w:ascii="Calibri" w:hAnsi="Calibri"/>
                <w:sz w:val="18"/>
              </w:rPr>
              <w:t xml:space="preserve">Q 105,870</w:t>
            </w:r>
          </w:p>
        </w:tc>
      </w:tr>
    </w:tbl>
    <w:p>
      <w:pPr>
        <w:pStyle w:val="Heading3"/>
      </w:pPr>
      <w:bookmarkStart w:id="79" w:name="comparativo-de-las-4-metodologías"/>
      <w:r>
        <w:t xml:space="preserve">Comparativo de las 4 metodologías</w:t>
      </w:r>
      <w:bookmarkEnd w:id="79"/>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Metodología</w:t>
            </w:r>
          </w:p>
        </w:tc>
        <w:tc>
          <w:tcPr>
            <w:tcBorders>
              <w:bottom w:val="single"/>
            </w:tcBorders>
            <w:vAlign w:val="bottom"/>
            <w:shd w:val="clear" w:color="auto" w:fill="0E2841"/>
          </w:tcPr>
          <w:p>
            <w:pPr>
              <w:pStyle w:val="Compact"/>
              <w:jc w:val="right"/>
            </w:pPr>
            <w:r>
              <w:rPr>
                <w:rFonts w:ascii="Calibri" w:hAnsi="Calibri"/>
                <w:b/>
                <w:color w:val="FFFFFF"/>
                <w:sz w:val="18"/>
              </w:rPr>
              <w:t xml:space="preserve">Inversión</w:t>
            </w:r>
          </w:p>
        </w:tc>
        <w:tc>
          <w:tcPr>
            <w:tcBorders>
              <w:bottom w:val="single"/>
            </w:tcBorders>
            <w:vAlign w:val="bottom"/>
            <w:shd w:val="clear" w:color="auto" w:fill="0E2841"/>
          </w:tcPr>
          <w:p>
            <w:pPr>
              <w:pStyle w:val="Compact"/>
              <w:jc w:val="right"/>
            </w:pPr>
            <w:r>
              <w:rPr>
                <w:rFonts w:ascii="Calibri" w:hAnsi="Calibri"/>
                <w:b/>
                <w:color w:val="FFFFFF"/>
                <w:sz w:val="18"/>
              </w:rPr>
              <w:t xml:space="preserve">Precio</w:t>
            </w:r>
          </w:p>
        </w:tc>
        <w:tc>
          <w:tcPr>
            <w:tcBorders>
              <w:bottom w:val="single"/>
            </w:tcBorders>
            <w:vAlign w:val="bottom"/>
            <w:shd w:val="clear" w:color="auto" w:fill="0E2841"/>
          </w:tcPr>
          <w:p>
            <w:pPr>
              <w:pStyle w:val="Compact"/>
              <w:jc w:val="right"/>
            </w:pPr>
            <w:r>
              <w:rPr>
                <w:rFonts w:ascii="Calibri" w:hAnsi="Calibri"/>
                <w:b/>
                <w:color w:val="FFFFFF"/>
                <w:sz w:val="18"/>
              </w:rPr>
              <w:t xml:space="preserve">ROI</w:t>
            </w:r>
          </w:p>
        </w:tc>
      </w:tr>
      <w:tr>
        <w:tc>
          <w:tcPr>
            <w:shd w:val="clear" w:color="auto" w:fill="FFFFFF"/>
          </w:tcPr>
          <w:p>
            <w:pPr>
              <w:pStyle w:val="Compact"/>
              <w:jc w:val="left"/>
            </w:pPr>
            <w:r>
              <w:rPr>
                <w:rFonts w:ascii="Calibri" w:hAnsi="Calibri"/>
                <w:sz w:val="18"/>
              </w:rPr>
              <w:t xml:space="preserve">Scrum</w:t>
            </w:r>
          </w:p>
        </w:tc>
        <w:tc>
          <w:tcPr>
            <w:shd w:val="clear" w:color="auto" w:fill="FFFFFF"/>
          </w:tcPr>
          <w:p>
            <w:pPr>
              <w:pStyle w:val="Compact"/>
              <w:jc w:val="right"/>
            </w:pPr>
            <w:r>
              <w:rPr>
                <w:rFonts w:ascii="Calibri" w:hAnsi="Calibri"/>
                <w:sz w:val="18"/>
              </w:rPr>
              <w:t xml:space="preserve">Q 532,666.20</w:t>
            </w:r>
          </w:p>
        </w:tc>
        <w:tc>
          <w:tcPr>
            <w:shd w:val="clear" w:color="auto" w:fill="FFFFFF"/>
          </w:tcPr>
          <w:p>
            <w:pPr>
              <w:pStyle w:val="Compact"/>
              <w:jc w:val="right"/>
            </w:pPr>
            <w:r>
              <w:rPr>
                <w:rFonts w:ascii="Calibri" w:hAnsi="Calibri"/>
                <w:sz w:val="18"/>
              </w:rPr>
              <w:t xml:space="preserve">Q 820,000</w:t>
            </w:r>
          </w:p>
        </w:tc>
        <w:tc>
          <w:tcPr>
            <w:shd w:val="clear" w:color="auto" w:fill="FFFFFF"/>
          </w:tcPr>
          <w:p>
            <w:pPr>
              <w:pStyle w:val="Compact"/>
              <w:jc w:val="right"/>
            </w:pPr>
            <w:r>
              <w:rPr>
                <w:rFonts w:ascii="Calibri" w:hAnsi="Calibri"/>
                <w:sz w:val="18"/>
              </w:rPr>
              <w:t xml:space="preserve">53.85%</w:t>
            </w:r>
          </w:p>
        </w:tc>
      </w:tr>
      <w:tr>
        <w:tc>
          <w:tcPr>
            <w:shd w:val="clear" w:color="auto" w:fill="E8E8E8"/>
          </w:tcPr>
          <w:p>
            <w:pPr>
              <w:pStyle w:val="Compact"/>
              <w:jc w:val="left"/>
            </w:pPr>
            <w:r>
              <w:rPr>
                <w:rFonts w:ascii="Calibri" w:hAnsi="Calibri"/>
                <w:sz w:val="18"/>
              </w:rPr>
              <w:t xml:space="preserve">Kanban</w:t>
            </w:r>
          </w:p>
        </w:tc>
        <w:tc>
          <w:tcPr>
            <w:shd w:val="clear" w:color="auto" w:fill="E8E8E8"/>
          </w:tcPr>
          <w:p>
            <w:pPr>
              <w:pStyle w:val="Compact"/>
              <w:jc w:val="right"/>
            </w:pPr>
            <w:r>
              <w:rPr>
                <w:rFonts w:ascii="Calibri" w:hAnsi="Calibri"/>
                <w:sz w:val="18"/>
              </w:rPr>
              <w:t xml:space="preserve">Q 1,024,414.20</w:t>
            </w:r>
          </w:p>
        </w:tc>
        <w:tc>
          <w:tcPr>
            <w:shd w:val="clear" w:color="auto" w:fill="E8E8E8"/>
          </w:tcPr>
          <w:p>
            <w:pPr>
              <w:pStyle w:val="Compact"/>
              <w:jc w:val="right"/>
            </w:pPr>
            <w:r>
              <w:rPr>
                <w:rFonts w:ascii="Calibri" w:hAnsi="Calibri"/>
                <w:sz w:val="18"/>
              </w:rPr>
              <w:t xml:space="preserve">Q 1,577,000</w:t>
            </w:r>
          </w:p>
        </w:tc>
        <w:tc>
          <w:tcPr>
            <w:shd w:val="clear" w:color="auto" w:fill="E8E8E8"/>
          </w:tcPr>
          <w:p>
            <w:pPr>
              <w:pStyle w:val="Compact"/>
              <w:jc w:val="right"/>
            </w:pPr>
            <w:r>
              <w:rPr>
                <w:rFonts w:ascii="Calibri" w:hAnsi="Calibri"/>
                <w:sz w:val="18"/>
              </w:rPr>
              <w:t xml:space="preserve">53.85%</w:t>
            </w:r>
          </w:p>
        </w:tc>
      </w:tr>
      <w:tr>
        <w:tc>
          <w:tcPr>
            <w:shd w:val="clear" w:color="auto" w:fill="FFFFFF"/>
          </w:tcPr>
          <w:p>
            <w:pPr>
              <w:pStyle w:val="Compact"/>
              <w:jc w:val="left"/>
            </w:pPr>
            <w:r>
              <w:rPr>
                <w:rFonts w:ascii="Calibri" w:hAnsi="Calibri"/>
                <w:sz w:val="18"/>
              </w:rPr>
              <w:t xml:space="preserve">Scrumban</w:t>
            </w:r>
          </w:p>
        </w:tc>
        <w:tc>
          <w:tcPr>
            <w:shd w:val="clear" w:color="auto" w:fill="FFFFFF"/>
          </w:tcPr>
          <w:p>
            <w:pPr>
              <w:pStyle w:val="Compact"/>
              <w:jc w:val="right"/>
            </w:pPr>
            <w:r>
              <w:rPr>
                <w:rFonts w:ascii="Calibri" w:hAnsi="Calibri"/>
                <w:sz w:val="18"/>
              </w:rPr>
              <w:t xml:space="preserve">Q 532,666.20</w:t>
            </w:r>
          </w:p>
        </w:tc>
        <w:tc>
          <w:tcPr>
            <w:shd w:val="clear" w:color="auto" w:fill="FFFFFF"/>
          </w:tcPr>
          <w:p>
            <w:pPr>
              <w:pStyle w:val="Compact"/>
              <w:jc w:val="right"/>
            </w:pPr>
            <w:r>
              <w:rPr>
                <w:rFonts w:ascii="Calibri" w:hAnsi="Calibri"/>
                <w:sz w:val="18"/>
              </w:rPr>
              <w:t xml:space="preserve">Q 820,000</w:t>
            </w:r>
          </w:p>
        </w:tc>
        <w:tc>
          <w:tcPr>
            <w:shd w:val="clear" w:color="auto" w:fill="FFFFFF"/>
          </w:tcPr>
          <w:p>
            <w:pPr>
              <w:pStyle w:val="Compact"/>
              <w:jc w:val="right"/>
            </w:pPr>
            <w:r>
              <w:rPr>
                <w:rFonts w:ascii="Calibri" w:hAnsi="Calibri"/>
                <w:sz w:val="18"/>
              </w:rPr>
              <w:t xml:space="preserve">53.85%</w:t>
            </w:r>
          </w:p>
        </w:tc>
      </w:tr>
      <w:tr>
        <w:tc>
          <w:tcPr>
            <w:shd w:val="clear" w:color="auto" w:fill="E8E8E8"/>
          </w:tcPr>
          <w:p>
            <w:pPr>
              <w:pStyle w:val="Compact"/>
              <w:jc w:val="left"/>
            </w:pPr>
            <w:r>
              <w:rPr>
                <w:rFonts w:ascii="Calibri" w:hAnsi="Calibri"/>
                <w:sz w:val="18"/>
              </w:rPr>
              <w:t xml:space="preserve">Scrumban + XP</w:t>
            </w:r>
          </w:p>
        </w:tc>
        <w:tc>
          <w:tcPr>
            <w:shd w:val="clear" w:color="auto" w:fill="E8E8E8"/>
          </w:tcPr>
          <w:p>
            <w:pPr>
              <w:pStyle w:val="Compact"/>
              <w:jc w:val="right"/>
            </w:pPr>
            <w:r>
              <w:rPr>
                <w:rFonts w:ascii="Calibri" w:hAnsi="Calibri"/>
                <w:sz w:val="18"/>
              </w:rPr>
              <w:t xml:space="preserve">Q 528,871.80</w:t>
            </w:r>
          </w:p>
        </w:tc>
        <w:tc>
          <w:tcPr>
            <w:shd w:val="clear" w:color="auto" w:fill="E8E8E8"/>
          </w:tcPr>
          <w:p>
            <w:pPr>
              <w:pStyle w:val="Compact"/>
              <w:jc w:val="right"/>
            </w:pPr>
            <w:r>
              <w:rPr>
                <w:rFonts w:ascii="Calibri" w:hAnsi="Calibri"/>
                <w:sz w:val="18"/>
              </w:rPr>
              <w:t xml:space="preserve">Q 814,000</w:t>
            </w:r>
          </w:p>
        </w:tc>
        <w:tc>
          <w:tcPr>
            <w:shd w:val="clear" w:color="auto" w:fill="E8E8E8"/>
          </w:tcPr>
          <w:p>
            <w:pPr>
              <w:pStyle w:val="Compact"/>
              <w:jc w:val="right"/>
            </w:pPr>
            <w:r>
              <w:rPr>
                <w:rFonts w:ascii="Calibri" w:hAnsi="Calibri"/>
                <w:sz w:val="18"/>
              </w:rPr>
              <w:t xml:space="preserve">53.85%</w:t>
            </w:r>
          </w:p>
        </w:tc>
      </w:tr>
    </w:tbl>
    <w:p>
      <w:pPr>
        <w:pStyle w:val="Heading3"/>
      </w:pPr>
      <w:bookmarkStart w:id="80" w:name="esquema-de-pagos-304030"/>
      <w:r>
        <w:t xml:space="preserve">Esquema de pagos 30/40/30</w:t>
      </w:r>
      <w:bookmarkEnd w:id="80"/>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Fase</w:t>
            </w:r>
          </w:p>
        </w:tc>
        <w:tc>
          <w:tcPr>
            <w:tcBorders>
              <w:bottom w:val="single"/>
            </w:tcBorders>
            <w:vAlign w:val="bottom"/>
            <w:shd w:val="clear" w:color="auto" w:fill="0E2841"/>
          </w:tcPr>
          <w:p>
            <w:pPr>
              <w:pStyle w:val="Compact"/>
              <w:jc w:val="right"/>
            </w:pPr>
            <w:r>
              <w:rPr>
                <w:rFonts w:ascii="Calibri" w:hAnsi="Calibri"/>
                <w:b/>
                <w:color w:val="FFFFFF"/>
                <w:sz w:val="18"/>
              </w:rPr>
              <w:t xml:space="preserve">%</w:t>
            </w:r>
          </w:p>
        </w:tc>
        <w:tc>
          <w:tcPr>
            <w:tcBorders>
              <w:bottom w:val="single"/>
            </w:tcBorders>
            <w:vAlign w:val="bottom"/>
            <w:shd w:val="clear" w:color="auto" w:fill="0E2841"/>
          </w:tcPr>
          <w:p>
            <w:pPr>
              <w:pStyle w:val="Compact"/>
              <w:jc w:val="right"/>
            </w:pPr>
            <w:r>
              <w:rPr>
                <w:rFonts w:ascii="Calibri" w:hAnsi="Calibri"/>
                <w:b/>
                <w:color w:val="FFFFFF"/>
                <w:sz w:val="18"/>
              </w:rPr>
              <w:t xml:space="preserve">Monto</w:t>
            </w:r>
          </w:p>
        </w:tc>
        <w:tc>
          <w:tcPr>
            <w:tcBorders>
              <w:bottom w:val="single"/>
            </w:tcBorders>
            <w:vAlign w:val="bottom"/>
            <w:shd w:val="clear" w:color="auto" w:fill="0E2841"/>
          </w:tcPr>
          <w:p>
            <w:pPr>
              <w:pStyle w:val="Compact"/>
              <w:jc w:val="left"/>
            </w:pPr>
            <w:r>
              <w:rPr>
                <w:rFonts w:ascii="Calibri" w:hAnsi="Calibri"/>
                <w:b/>
                <w:color w:val="FFFFFF"/>
                <w:sz w:val="18"/>
              </w:rPr>
              <w:t xml:space="preserve">Fecha</w:t>
            </w:r>
          </w:p>
        </w:tc>
      </w:tr>
      <w:tr>
        <w:tc>
          <w:tcPr>
            <w:shd w:val="clear" w:color="auto" w:fill="FFFFFF"/>
          </w:tcPr>
          <w:p>
            <w:pPr>
              <w:pStyle w:val="Compact"/>
              <w:jc w:val="left"/>
            </w:pPr>
            <w:r>
              <w:rPr>
                <w:rFonts w:ascii="Calibri" w:hAnsi="Calibri"/>
                <w:sz w:val="18"/>
              </w:rPr>
              <w:t xml:space="preserve">Anticipo</w:t>
            </w:r>
          </w:p>
        </w:tc>
        <w:tc>
          <w:tcPr>
            <w:shd w:val="clear" w:color="auto" w:fill="FFFFFF"/>
          </w:tcPr>
          <w:p>
            <w:pPr>
              <w:pStyle w:val="Compact"/>
              <w:jc w:val="right"/>
            </w:pPr>
            <w:r>
              <w:rPr>
                <w:rFonts w:ascii="Calibri" w:hAnsi="Calibri"/>
                <w:sz w:val="18"/>
              </w:rPr>
              <w:t xml:space="preserve">30%</w:t>
            </w:r>
          </w:p>
        </w:tc>
        <w:tc>
          <w:tcPr>
            <w:shd w:val="clear" w:color="auto" w:fill="FFFFFF"/>
          </w:tcPr>
          <w:p>
            <w:pPr>
              <w:pStyle w:val="Compact"/>
              <w:jc w:val="right"/>
            </w:pPr>
            <w:r>
              <w:rPr>
                <w:rFonts w:ascii="Calibri" w:hAnsi="Calibri"/>
                <w:sz w:val="18"/>
              </w:rPr>
              <w:t xml:space="preserve">Q 244,200</w:t>
            </w:r>
          </w:p>
        </w:tc>
        <w:tc>
          <w:tcPr>
            <w:shd w:val="clear" w:color="auto" w:fill="FFFFFF"/>
          </w:tcPr>
          <w:p>
            <w:pPr>
              <w:pStyle w:val="Compact"/>
              <w:jc w:val="left"/>
            </w:pPr>
            <w:r>
              <w:rPr>
                <w:rFonts w:ascii="Calibri" w:hAnsi="Calibri"/>
                <w:sz w:val="18"/>
              </w:rPr>
              <w:t xml:space="preserve">1 ene 2027</w:t>
            </w:r>
          </w:p>
        </w:tc>
      </w:tr>
      <w:tr>
        <w:tc>
          <w:tcPr>
            <w:shd w:val="clear" w:color="auto" w:fill="E8E8E8"/>
          </w:tcPr>
          <w:p>
            <w:pPr>
              <w:pStyle w:val="Compact"/>
              <w:jc w:val="left"/>
            </w:pPr>
            <w:r>
              <w:rPr>
                <w:rFonts w:ascii="Calibri" w:hAnsi="Calibri"/>
                <w:sz w:val="18"/>
              </w:rPr>
              <w:t xml:space="preserve">Avance</w:t>
            </w:r>
          </w:p>
        </w:tc>
        <w:tc>
          <w:tcPr>
            <w:shd w:val="clear" w:color="auto" w:fill="E8E8E8"/>
          </w:tcPr>
          <w:p>
            <w:pPr>
              <w:pStyle w:val="Compact"/>
              <w:jc w:val="right"/>
            </w:pPr>
            <w:r>
              <w:rPr>
                <w:rFonts w:ascii="Calibri" w:hAnsi="Calibri"/>
                <w:sz w:val="18"/>
              </w:rPr>
              <w:t xml:space="preserve">40%</w:t>
            </w:r>
          </w:p>
        </w:tc>
        <w:tc>
          <w:tcPr>
            <w:shd w:val="clear" w:color="auto" w:fill="E8E8E8"/>
          </w:tcPr>
          <w:p>
            <w:pPr>
              <w:pStyle w:val="Compact"/>
              <w:jc w:val="right"/>
            </w:pPr>
            <w:r>
              <w:rPr>
                <w:rFonts w:ascii="Calibri" w:hAnsi="Calibri"/>
                <w:sz w:val="18"/>
              </w:rPr>
              <w:t xml:space="preserve">Q 325,600</w:t>
            </w:r>
          </w:p>
        </w:tc>
        <w:tc>
          <w:tcPr>
            <w:shd w:val="clear" w:color="auto" w:fill="E8E8E8"/>
          </w:tcPr>
          <w:p>
            <w:pPr>
              <w:pStyle w:val="Compact"/>
              <w:jc w:val="left"/>
            </w:pPr>
            <w:r>
              <w:rPr>
                <w:rFonts w:ascii="Calibri" w:hAnsi="Calibri"/>
                <w:sz w:val="18"/>
              </w:rPr>
              <w:t xml:space="preserve">25 feb 2027</w:t>
            </w:r>
          </w:p>
        </w:tc>
      </w:tr>
      <w:tr>
        <w:tc>
          <w:tcPr>
            <w:shd w:val="clear" w:color="auto" w:fill="FFFFFF"/>
          </w:tcPr>
          <w:p>
            <w:pPr>
              <w:pStyle w:val="Compact"/>
              <w:jc w:val="left"/>
            </w:pPr>
            <w:r>
              <w:rPr>
                <w:rFonts w:ascii="Calibri" w:hAnsi="Calibri"/>
                <w:sz w:val="18"/>
              </w:rPr>
              <w:t xml:space="preserve">Cierre</w:t>
            </w:r>
          </w:p>
        </w:tc>
        <w:tc>
          <w:tcPr>
            <w:shd w:val="clear" w:color="auto" w:fill="FFFFFF"/>
          </w:tcPr>
          <w:p>
            <w:pPr>
              <w:pStyle w:val="Compact"/>
              <w:jc w:val="right"/>
            </w:pPr>
            <w:r>
              <w:rPr>
                <w:rFonts w:ascii="Calibri" w:hAnsi="Calibri"/>
                <w:sz w:val="18"/>
              </w:rPr>
              <w:t xml:space="preserve">30%</w:t>
            </w:r>
          </w:p>
        </w:tc>
        <w:tc>
          <w:tcPr>
            <w:shd w:val="clear" w:color="auto" w:fill="FFFFFF"/>
          </w:tcPr>
          <w:p>
            <w:pPr>
              <w:pStyle w:val="Compact"/>
              <w:jc w:val="right"/>
            </w:pPr>
            <w:r>
              <w:rPr>
                <w:rFonts w:ascii="Calibri" w:hAnsi="Calibri"/>
                <w:sz w:val="18"/>
              </w:rPr>
              <w:t xml:space="preserve">Q 244,200</w:t>
            </w:r>
          </w:p>
        </w:tc>
        <w:tc>
          <w:tcPr>
            <w:shd w:val="clear" w:color="auto" w:fill="FFFFFF"/>
          </w:tcPr>
          <w:p>
            <w:pPr>
              <w:pStyle w:val="Compact"/>
              <w:jc w:val="left"/>
            </w:pPr>
            <w:r>
              <w:rPr>
                <w:rFonts w:ascii="Calibri" w:hAnsi="Calibri"/>
                <w:sz w:val="18"/>
              </w:rPr>
              <w:t xml:space="preserve">22 abr 2027</w:t>
            </w:r>
          </w:p>
        </w:tc>
      </w:tr>
    </w:tbl>
    <w:p>
      <w:pPr>
        <w:pStyle w:val="Heading2"/>
      </w:pPr>
      <w:bookmarkStart w:id="81" w:name="tabla-maestra-de-siglas-y-acrónimos"/>
      <w:r>
        <w:t xml:space="preserve">Tabla maestra de siglas y acrónimos</w:t>
      </w:r>
      <w:bookmarkEnd w:id="81"/>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Sigla</w:t>
            </w:r>
          </w:p>
        </w:tc>
        <w:tc>
          <w:tcPr>
            <w:tcBorders>
              <w:bottom w:val="single"/>
            </w:tcBorders>
            <w:vAlign w:val="bottom"/>
            <w:shd w:val="clear" w:color="auto" w:fill="0E2841"/>
          </w:tcPr>
          <w:p>
            <w:pPr>
              <w:pStyle w:val="Compact"/>
              <w:jc w:val="left"/>
            </w:pPr>
            <w:r>
              <w:rPr>
                <w:rFonts w:ascii="Calibri" w:hAnsi="Calibri"/>
                <w:b/>
                <w:color w:val="FFFFFF"/>
                <w:sz w:val="18"/>
              </w:rPr>
              <w:t xml:space="preserve">Inglés</w:t>
            </w:r>
          </w:p>
        </w:tc>
        <w:tc>
          <w:tcPr>
            <w:tcBorders>
              <w:bottom w:val="single"/>
            </w:tcBorders>
            <w:vAlign w:val="bottom"/>
            <w:shd w:val="clear" w:color="auto" w:fill="0E2841"/>
          </w:tcPr>
          <w:p>
            <w:pPr>
              <w:pStyle w:val="Compact"/>
              <w:jc w:val="left"/>
            </w:pPr>
            <w:r>
              <w:rPr>
                <w:rFonts w:ascii="Calibri" w:hAnsi="Calibri"/>
                <w:b/>
                <w:color w:val="FFFFFF"/>
                <w:sz w:val="18"/>
              </w:rPr>
              <w:t xml:space="preserve">Español / Significado</w:t>
            </w:r>
          </w:p>
        </w:tc>
      </w:tr>
      <w:tr>
        <w:tc>
          <w:tcPr>
            <w:shd w:val="clear" w:color="auto" w:fill="FFFFFF"/>
          </w:tcPr>
          <w:p>
            <w:pPr>
              <w:pStyle w:val="Compact"/>
              <w:jc w:val="left"/>
            </w:pPr>
            <w:r>
              <w:rPr>
                <w:rFonts w:ascii="Calibri" w:hAnsi="Calibri"/>
                <w:sz w:val="18"/>
              </w:rPr>
              <w:t xml:space="preserve">AC</w:t>
            </w:r>
          </w:p>
        </w:tc>
        <w:tc>
          <w:tcPr>
            <w:shd w:val="clear" w:color="auto" w:fill="FFFFFF"/>
          </w:tcPr>
          <w:p>
            <w:pPr>
              <w:pStyle w:val="Compact"/>
              <w:jc w:val="left"/>
            </w:pPr>
            <w:r>
              <w:rPr>
                <w:rFonts w:ascii="Calibri" w:hAnsi="Calibri"/>
                <w:sz w:val="18"/>
              </w:rPr>
              <w:t xml:space="preserve">Actual Cost</w:t>
            </w:r>
          </w:p>
        </w:tc>
        <w:tc>
          <w:tcPr>
            <w:shd w:val="clear" w:color="auto" w:fill="FFFFFF"/>
          </w:tcPr>
          <w:p>
            <w:pPr>
              <w:pStyle w:val="Compact"/>
              <w:jc w:val="left"/>
            </w:pPr>
            <w:r>
              <w:rPr>
                <w:rFonts w:ascii="Calibri" w:hAnsi="Calibri"/>
                <w:sz w:val="18"/>
              </w:rPr>
              <w:t xml:space="preserve">Costo real acumulado</w:t>
            </w:r>
          </w:p>
        </w:tc>
      </w:tr>
      <w:tr>
        <w:tc>
          <w:tcPr>
            <w:shd w:val="clear" w:color="auto" w:fill="E8E8E8"/>
          </w:tcPr>
          <w:p>
            <w:pPr>
              <w:pStyle w:val="Compact"/>
              <w:jc w:val="left"/>
            </w:pPr>
            <w:r>
              <w:rPr>
                <w:rFonts w:ascii="Calibri" w:hAnsi="Calibri"/>
                <w:sz w:val="18"/>
              </w:rPr>
              <w:t xml:space="preserve">ART</w:t>
            </w:r>
          </w:p>
        </w:tc>
        <w:tc>
          <w:tcPr>
            <w:shd w:val="clear" w:color="auto" w:fill="E8E8E8"/>
          </w:tcPr>
          <w:p>
            <w:pPr>
              <w:pStyle w:val="Compact"/>
              <w:jc w:val="left"/>
            </w:pPr>
            <w:r>
              <w:rPr>
                <w:rFonts w:ascii="Calibri" w:hAnsi="Calibri"/>
                <w:sz w:val="18"/>
              </w:rPr>
              <w:t xml:space="preserve">Agile Release Train</w:t>
            </w:r>
          </w:p>
        </w:tc>
        <w:tc>
          <w:tcPr>
            <w:shd w:val="clear" w:color="auto" w:fill="E8E8E8"/>
          </w:tcPr>
          <w:p>
            <w:pPr>
              <w:pStyle w:val="Compact"/>
              <w:jc w:val="left"/>
            </w:pPr>
            <w:r>
              <w:rPr>
                <w:rFonts w:ascii="Calibri" w:hAnsi="Calibri"/>
                <w:sz w:val="18"/>
              </w:rPr>
              <w:t xml:space="preserve">Tren de lanzamiento ágil (SAFe)</w:t>
            </w:r>
          </w:p>
        </w:tc>
      </w:tr>
      <w:tr>
        <w:tc>
          <w:tcPr>
            <w:shd w:val="clear" w:color="auto" w:fill="FFFFFF"/>
          </w:tcPr>
          <w:p>
            <w:pPr>
              <w:pStyle w:val="Compact"/>
              <w:jc w:val="left"/>
            </w:pPr>
            <w:r>
              <w:rPr>
                <w:rFonts w:ascii="Calibri" w:hAnsi="Calibri"/>
                <w:sz w:val="18"/>
              </w:rPr>
              <w:t xml:space="preserve">BAC</w:t>
            </w:r>
          </w:p>
        </w:tc>
        <w:tc>
          <w:tcPr>
            <w:shd w:val="clear" w:color="auto" w:fill="FFFFFF"/>
          </w:tcPr>
          <w:p>
            <w:pPr>
              <w:pStyle w:val="Compact"/>
              <w:jc w:val="left"/>
            </w:pPr>
            <w:r>
              <w:rPr>
                <w:rFonts w:ascii="Calibri" w:hAnsi="Calibri"/>
                <w:sz w:val="18"/>
              </w:rPr>
              <w:t xml:space="preserve">Budget at Completion</w:t>
            </w:r>
          </w:p>
        </w:tc>
        <w:tc>
          <w:tcPr>
            <w:shd w:val="clear" w:color="auto" w:fill="FFFFFF"/>
          </w:tcPr>
          <w:p>
            <w:pPr>
              <w:pStyle w:val="Compact"/>
              <w:jc w:val="left"/>
            </w:pPr>
            <w:r>
              <w:rPr>
                <w:rFonts w:ascii="Calibri" w:hAnsi="Calibri"/>
                <w:sz w:val="18"/>
              </w:rPr>
              <w:t xml:space="preserve">Presupuesto total al final</w:t>
            </w:r>
          </w:p>
        </w:tc>
      </w:tr>
      <w:tr>
        <w:tc>
          <w:tcPr>
            <w:shd w:val="clear" w:color="auto" w:fill="E8E8E8"/>
          </w:tcPr>
          <w:p>
            <w:pPr>
              <w:pStyle w:val="Compact"/>
              <w:jc w:val="left"/>
            </w:pPr>
            <w:r>
              <w:rPr>
                <w:rFonts w:ascii="Calibri" w:hAnsi="Calibri"/>
                <w:sz w:val="18"/>
              </w:rPr>
              <w:t xml:space="preserve">BID</w:t>
            </w:r>
          </w:p>
        </w:tc>
        <w:tc>
          <w:tcPr>
            <w:shd w:val="clear" w:color="auto" w:fill="E8E8E8"/>
          </w:tcPr>
          <w:p>
            <w:pPr>
              <w:pStyle w:val="Compact"/>
              <w:jc w:val="left"/>
            </w:pPr>
            <w:r>
              <w:rPr>
                <w:rFonts w:ascii="Calibri" w:hAnsi="Calibri"/>
                <w:sz w:val="18"/>
              </w:rPr>
              <w:t xml:space="preserve">Build In Development</w:t>
            </w:r>
          </w:p>
        </w:tc>
        <w:tc>
          <w:tcPr>
            <w:shd w:val="clear" w:color="auto" w:fill="E8E8E8"/>
          </w:tcPr>
          <w:p>
            <w:pPr>
              <w:pStyle w:val="Compact"/>
              <w:jc w:val="left"/>
            </w:pPr>
            <w:r>
              <w:rPr>
                <w:rFonts w:ascii="Calibri" w:hAnsi="Calibri"/>
                <w:sz w:val="18"/>
              </w:rPr>
              <w:t xml:space="preserve">Trabajo planificado (Scrumban)</w:t>
            </w:r>
          </w:p>
        </w:tc>
      </w:tr>
      <w:tr>
        <w:tc>
          <w:tcPr>
            <w:shd w:val="clear" w:color="auto" w:fill="FFFFFF"/>
          </w:tcPr>
          <w:p>
            <w:pPr>
              <w:pStyle w:val="Compact"/>
              <w:jc w:val="left"/>
            </w:pPr>
            <w:r>
              <w:rPr>
                <w:rFonts w:ascii="Calibri" w:hAnsi="Calibri"/>
                <w:sz w:val="18"/>
              </w:rPr>
              <w:t xml:space="preserve">CCB</w:t>
            </w:r>
          </w:p>
        </w:tc>
        <w:tc>
          <w:tcPr>
            <w:shd w:val="clear" w:color="auto" w:fill="FFFFFF"/>
          </w:tcPr>
          <w:p>
            <w:pPr>
              <w:pStyle w:val="Compact"/>
              <w:jc w:val="left"/>
            </w:pPr>
            <w:r>
              <w:rPr>
                <w:rFonts w:ascii="Calibri" w:hAnsi="Calibri"/>
                <w:sz w:val="18"/>
              </w:rPr>
              <w:t xml:space="preserve">Change Control Board</w:t>
            </w:r>
          </w:p>
        </w:tc>
        <w:tc>
          <w:tcPr>
            <w:shd w:val="clear" w:color="auto" w:fill="FFFFFF"/>
          </w:tcPr>
          <w:p>
            <w:pPr>
              <w:pStyle w:val="Compact"/>
              <w:jc w:val="left"/>
            </w:pPr>
            <w:r>
              <w:rPr>
                <w:rFonts w:ascii="Calibri" w:hAnsi="Calibri"/>
                <w:sz w:val="18"/>
              </w:rPr>
              <w:t xml:space="preserve">Comité de control de cambios</w:t>
            </w:r>
          </w:p>
        </w:tc>
      </w:tr>
      <w:tr>
        <w:tc>
          <w:tcPr>
            <w:shd w:val="clear" w:color="auto" w:fill="E8E8E8"/>
          </w:tcPr>
          <w:p>
            <w:pPr>
              <w:pStyle w:val="Compact"/>
              <w:jc w:val="left"/>
            </w:pPr>
            <w:r>
              <w:rPr>
                <w:rFonts w:ascii="Calibri" w:hAnsi="Calibri"/>
                <w:sz w:val="18"/>
              </w:rPr>
              <w:t xml:space="preserve">CDN</w:t>
            </w:r>
          </w:p>
        </w:tc>
        <w:tc>
          <w:tcPr>
            <w:shd w:val="clear" w:color="auto" w:fill="E8E8E8"/>
          </w:tcPr>
          <w:p>
            <w:pPr>
              <w:pStyle w:val="Compact"/>
              <w:jc w:val="left"/>
            </w:pPr>
            <w:r>
              <w:rPr>
                <w:rFonts w:ascii="Calibri" w:hAnsi="Calibri"/>
                <w:sz w:val="18"/>
              </w:rPr>
              <w:t xml:space="preserve">Content Delivery Network</w:t>
            </w:r>
          </w:p>
        </w:tc>
        <w:tc>
          <w:tcPr>
            <w:shd w:val="clear" w:color="auto" w:fill="E8E8E8"/>
          </w:tcPr>
          <w:p>
            <w:pPr>
              <w:pStyle w:val="Compact"/>
              <w:jc w:val="left"/>
            </w:pPr>
            <w:r>
              <w:rPr>
                <w:rFonts w:ascii="Calibri" w:hAnsi="Calibri"/>
                <w:sz w:val="18"/>
              </w:rPr>
              <w:t xml:space="preserve">Red de distribución de contenido</w:t>
            </w:r>
          </w:p>
        </w:tc>
      </w:tr>
      <w:tr>
        <w:tc>
          <w:tcPr>
            <w:shd w:val="clear" w:color="auto" w:fill="FFFFFF"/>
          </w:tcPr>
          <w:p>
            <w:pPr>
              <w:pStyle w:val="Compact"/>
              <w:jc w:val="left"/>
            </w:pPr>
            <w:r>
              <w:rPr>
                <w:rFonts w:ascii="Calibri" w:hAnsi="Calibri"/>
                <w:sz w:val="18"/>
              </w:rPr>
              <w:t xml:space="preserve">CFD</w:t>
            </w:r>
          </w:p>
        </w:tc>
        <w:tc>
          <w:tcPr>
            <w:shd w:val="clear" w:color="auto" w:fill="FFFFFF"/>
          </w:tcPr>
          <w:p>
            <w:pPr>
              <w:pStyle w:val="Compact"/>
              <w:jc w:val="left"/>
            </w:pPr>
            <w:r>
              <w:rPr>
                <w:rFonts w:ascii="Calibri" w:hAnsi="Calibri"/>
                <w:sz w:val="18"/>
              </w:rPr>
              <w:t xml:space="preserve">Cumulative Flow Diagram</w:t>
            </w:r>
          </w:p>
        </w:tc>
        <w:tc>
          <w:tcPr>
            <w:shd w:val="clear" w:color="auto" w:fill="FFFFFF"/>
          </w:tcPr>
          <w:p>
            <w:pPr>
              <w:pStyle w:val="Compact"/>
              <w:jc w:val="left"/>
            </w:pPr>
            <w:r>
              <w:rPr>
                <w:rFonts w:ascii="Calibri" w:hAnsi="Calibri"/>
                <w:sz w:val="18"/>
              </w:rPr>
              <w:t xml:space="preserve">Diagrama acumulativo de flujo</w:t>
            </w:r>
          </w:p>
        </w:tc>
      </w:tr>
      <w:tr>
        <w:tc>
          <w:tcPr>
            <w:shd w:val="clear" w:color="auto" w:fill="E8E8E8"/>
          </w:tcPr>
          <w:p>
            <w:pPr>
              <w:pStyle w:val="Compact"/>
              <w:jc w:val="left"/>
            </w:pPr>
            <w:r>
              <w:rPr>
                <w:rFonts w:ascii="Calibri" w:hAnsi="Calibri"/>
                <w:sz w:val="18"/>
              </w:rPr>
              <w:t xml:space="preserve">CI</w:t>
            </w:r>
          </w:p>
        </w:tc>
        <w:tc>
          <w:tcPr>
            <w:shd w:val="clear" w:color="auto" w:fill="E8E8E8"/>
          </w:tcPr>
          <w:p>
            <w:pPr>
              <w:pStyle w:val="Compact"/>
              <w:jc w:val="left"/>
            </w:pPr>
            <w:r>
              <w:rPr>
                <w:rFonts w:ascii="Calibri" w:hAnsi="Calibri"/>
                <w:sz w:val="18"/>
              </w:rPr>
              <w:t xml:space="preserve">Continuous Integration</w:t>
            </w:r>
          </w:p>
        </w:tc>
        <w:tc>
          <w:tcPr>
            <w:shd w:val="clear" w:color="auto" w:fill="E8E8E8"/>
          </w:tcPr>
          <w:p>
            <w:pPr>
              <w:pStyle w:val="Compact"/>
              <w:jc w:val="left"/>
            </w:pPr>
            <w:r>
              <w:rPr>
                <w:rFonts w:ascii="Calibri" w:hAnsi="Calibri"/>
                <w:sz w:val="18"/>
              </w:rPr>
              <w:t xml:space="preserve">Integración continua</w:t>
            </w:r>
          </w:p>
        </w:tc>
      </w:tr>
      <w:tr>
        <w:tc>
          <w:tcPr>
            <w:shd w:val="clear" w:color="auto" w:fill="FFFFFF"/>
          </w:tcPr>
          <w:p>
            <w:pPr>
              <w:pStyle w:val="Compact"/>
              <w:jc w:val="left"/>
            </w:pPr>
            <w:r>
              <w:rPr>
                <w:rFonts w:ascii="Calibri" w:hAnsi="Calibri"/>
                <w:sz w:val="18"/>
              </w:rPr>
              <w:t xml:space="preserve">CI/CD</w:t>
            </w:r>
          </w:p>
        </w:tc>
        <w:tc>
          <w:tcPr>
            <w:shd w:val="clear" w:color="auto" w:fill="FFFFFF"/>
          </w:tcPr>
          <w:p>
            <w:pPr>
              <w:pStyle w:val="Compact"/>
              <w:jc w:val="left"/>
            </w:pPr>
            <w:r>
              <w:rPr>
                <w:rFonts w:ascii="Calibri" w:hAnsi="Calibri"/>
                <w:sz w:val="18"/>
              </w:rPr>
              <w:t xml:space="preserve">Continuous Integration / Continuous Deployment</w:t>
            </w:r>
          </w:p>
        </w:tc>
        <w:tc>
          <w:tcPr>
            <w:shd w:val="clear" w:color="auto" w:fill="FFFFFF"/>
          </w:tcPr>
          <w:p>
            <w:pPr>
              <w:pStyle w:val="Compact"/>
              <w:jc w:val="left"/>
            </w:pPr>
            <w:r>
              <w:rPr>
                <w:rFonts w:ascii="Calibri" w:hAnsi="Calibri"/>
                <w:sz w:val="18"/>
              </w:rPr>
              <w:t xml:space="preserve">Integración continua / despliegue continuo</w:t>
            </w:r>
          </w:p>
        </w:tc>
      </w:tr>
      <w:tr>
        <w:tc>
          <w:tcPr>
            <w:shd w:val="clear" w:color="auto" w:fill="E8E8E8"/>
          </w:tcPr>
          <w:p>
            <w:pPr>
              <w:pStyle w:val="Compact"/>
              <w:jc w:val="left"/>
            </w:pPr>
            <w:r>
              <w:rPr>
                <w:rFonts w:ascii="Calibri" w:hAnsi="Calibri"/>
                <w:sz w:val="18"/>
              </w:rPr>
              <w:t xml:space="preserve">CPI</w:t>
            </w:r>
          </w:p>
        </w:tc>
        <w:tc>
          <w:tcPr>
            <w:shd w:val="clear" w:color="auto" w:fill="E8E8E8"/>
          </w:tcPr>
          <w:p>
            <w:pPr>
              <w:pStyle w:val="Compact"/>
              <w:jc w:val="left"/>
            </w:pPr>
            <w:r>
              <w:rPr>
                <w:rFonts w:ascii="Calibri" w:hAnsi="Calibri"/>
                <w:sz w:val="18"/>
              </w:rPr>
              <w:t xml:space="preserve">Cost Performance Index</w:t>
            </w:r>
          </w:p>
        </w:tc>
        <w:tc>
          <w:tcPr>
            <w:shd w:val="clear" w:color="auto" w:fill="E8E8E8"/>
          </w:tcPr>
          <w:p>
            <w:pPr>
              <w:pStyle w:val="Compact"/>
              <w:jc w:val="left"/>
            </w:pPr>
            <w:r>
              <w:rPr>
                <w:rFonts w:ascii="Calibri" w:hAnsi="Calibri"/>
                <w:sz w:val="18"/>
              </w:rPr>
              <w:t xml:space="preserve">Índice de desempeño de costo</w:t>
            </w:r>
          </w:p>
        </w:tc>
      </w:tr>
      <w:tr>
        <w:tc>
          <w:tcPr>
            <w:shd w:val="clear" w:color="auto" w:fill="FFFFFF"/>
          </w:tcPr>
          <w:p>
            <w:pPr>
              <w:pStyle w:val="Compact"/>
              <w:jc w:val="left"/>
            </w:pPr>
            <w:r>
              <w:rPr>
                <w:rFonts w:ascii="Calibri" w:hAnsi="Calibri"/>
                <w:sz w:val="18"/>
              </w:rPr>
              <w:t xml:space="preserve">CR</w:t>
            </w:r>
          </w:p>
        </w:tc>
        <w:tc>
          <w:tcPr>
            <w:shd w:val="clear" w:color="auto" w:fill="FFFFFF"/>
          </w:tcPr>
          <w:p>
            <w:pPr>
              <w:pStyle w:val="Compact"/>
              <w:jc w:val="left"/>
            </w:pPr>
            <w:r>
              <w:rPr>
                <w:rFonts w:ascii="Calibri" w:hAnsi="Calibri"/>
                <w:sz w:val="18"/>
              </w:rPr>
              <w:t xml:space="preserve">Change Request</w:t>
            </w:r>
          </w:p>
        </w:tc>
        <w:tc>
          <w:tcPr>
            <w:shd w:val="clear" w:color="auto" w:fill="FFFFFF"/>
          </w:tcPr>
          <w:p>
            <w:pPr>
              <w:pStyle w:val="Compact"/>
              <w:jc w:val="left"/>
            </w:pPr>
            <w:r>
              <w:rPr>
                <w:rFonts w:ascii="Calibri" w:hAnsi="Calibri"/>
                <w:sz w:val="18"/>
              </w:rPr>
              <w:t xml:space="preserve">Solicitud de cambio</w:t>
            </w:r>
          </w:p>
        </w:tc>
      </w:tr>
      <w:tr>
        <w:tc>
          <w:tcPr>
            <w:shd w:val="clear" w:color="auto" w:fill="E8E8E8"/>
          </w:tcPr>
          <w:p>
            <w:pPr>
              <w:pStyle w:val="Compact"/>
              <w:jc w:val="left"/>
            </w:pPr>
            <w:r>
              <w:rPr>
                <w:rFonts w:ascii="Calibri" w:hAnsi="Calibri"/>
                <w:sz w:val="18"/>
              </w:rPr>
              <w:t xml:space="preserve">CV</w:t>
            </w:r>
          </w:p>
        </w:tc>
        <w:tc>
          <w:tcPr>
            <w:shd w:val="clear" w:color="auto" w:fill="E8E8E8"/>
          </w:tcPr>
          <w:p>
            <w:pPr>
              <w:pStyle w:val="Compact"/>
              <w:jc w:val="left"/>
            </w:pPr>
            <w:r>
              <w:rPr>
                <w:rFonts w:ascii="Calibri" w:hAnsi="Calibri"/>
                <w:sz w:val="18"/>
              </w:rPr>
              <w:t xml:space="preserve">Cost Variance</w:t>
            </w:r>
          </w:p>
        </w:tc>
        <w:tc>
          <w:tcPr>
            <w:shd w:val="clear" w:color="auto" w:fill="E8E8E8"/>
          </w:tcPr>
          <w:p>
            <w:pPr>
              <w:pStyle w:val="Compact"/>
              <w:jc w:val="left"/>
            </w:pPr>
            <w:r>
              <w:rPr>
                <w:rFonts w:ascii="Calibri" w:hAnsi="Calibri"/>
                <w:sz w:val="18"/>
              </w:rPr>
              <w:t xml:space="preserve">Varianza de costo</w:t>
            </w:r>
          </w:p>
        </w:tc>
      </w:tr>
      <w:tr>
        <w:tc>
          <w:tcPr>
            <w:shd w:val="clear" w:color="auto" w:fill="FFFFFF"/>
          </w:tcPr>
          <w:p>
            <w:pPr>
              <w:pStyle w:val="Compact"/>
              <w:jc w:val="left"/>
            </w:pPr>
            <w:r>
              <w:rPr>
                <w:rFonts w:ascii="Calibri" w:hAnsi="Calibri"/>
                <w:sz w:val="18"/>
              </w:rPr>
              <w:t xml:space="preserve">DoD</w:t>
            </w:r>
          </w:p>
        </w:tc>
        <w:tc>
          <w:tcPr>
            <w:shd w:val="clear" w:color="auto" w:fill="FFFFFF"/>
          </w:tcPr>
          <w:p>
            <w:pPr>
              <w:pStyle w:val="Compact"/>
              <w:jc w:val="left"/>
            </w:pPr>
            <w:r>
              <w:rPr>
                <w:rFonts w:ascii="Calibri" w:hAnsi="Calibri"/>
                <w:sz w:val="18"/>
              </w:rPr>
              <w:t xml:space="preserve">Definition of Done</w:t>
            </w:r>
          </w:p>
        </w:tc>
        <w:tc>
          <w:tcPr>
            <w:shd w:val="clear" w:color="auto" w:fill="FFFFFF"/>
          </w:tcPr>
          <w:p>
            <w:pPr>
              <w:pStyle w:val="Compact"/>
              <w:jc w:val="left"/>
            </w:pPr>
            <w:r>
              <w:rPr>
                <w:rFonts w:ascii="Calibri" w:hAnsi="Calibri"/>
                <w:sz w:val="18"/>
              </w:rPr>
              <w:t xml:space="preserve">Definición de terminado</w:t>
            </w:r>
          </w:p>
        </w:tc>
      </w:tr>
      <w:tr>
        <w:tc>
          <w:tcPr>
            <w:shd w:val="clear" w:color="auto" w:fill="E8E8E8"/>
          </w:tcPr>
          <w:p>
            <w:pPr>
              <w:pStyle w:val="Compact"/>
              <w:jc w:val="left"/>
            </w:pPr>
            <w:r>
              <w:rPr>
                <w:rFonts w:ascii="Calibri" w:hAnsi="Calibri"/>
                <w:sz w:val="18"/>
              </w:rPr>
              <w:t xml:space="preserve">DoR</w:t>
            </w:r>
          </w:p>
        </w:tc>
        <w:tc>
          <w:tcPr>
            <w:shd w:val="clear" w:color="auto" w:fill="E8E8E8"/>
          </w:tcPr>
          <w:p>
            <w:pPr>
              <w:pStyle w:val="Compact"/>
              <w:jc w:val="left"/>
            </w:pPr>
            <w:r>
              <w:rPr>
                <w:rFonts w:ascii="Calibri" w:hAnsi="Calibri"/>
                <w:sz w:val="18"/>
              </w:rPr>
              <w:t xml:space="preserve">Definition of Ready</w:t>
            </w:r>
          </w:p>
        </w:tc>
        <w:tc>
          <w:tcPr>
            <w:shd w:val="clear" w:color="auto" w:fill="E8E8E8"/>
          </w:tcPr>
          <w:p>
            <w:pPr>
              <w:pStyle w:val="Compact"/>
              <w:jc w:val="left"/>
            </w:pPr>
            <w:r>
              <w:rPr>
                <w:rFonts w:ascii="Calibri" w:hAnsi="Calibri"/>
                <w:sz w:val="18"/>
              </w:rPr>
              <w:t xml:space="preserve">Definición de listo</w:t>
            </w:r>
          </w:p>
        </w:tc>
      </w:tr>
      <w:tr>
        <w:tc>
          <w:tcPr>
            <w:shd w:val="clear" w:color="auto" w:fill="FFFFFF"/>
          </w:tcPr>
          <w:p>
            <w:pPr>
              <w:pStyle w:val="Compact"/>
              <w:jc w:val="left"/>
            </w:pPr>
            <w:r>
              <w:rPr>
                <w:rFonts w:ascii="Calibri" w:hAnsi="Calibri"/>
                <w:sz w:val="18"/>
              </w:rPr>
              <w:t xml:space="preserve">EAC</w:t>
            </w:r>
          </w:p>
        </w:tc>
        <w:tc>
          <w:tcPr>
            <w:shd w:val="clear" w:color="auto" w:fill="FFFFFF"/>
          </w:tcPr>
          <w:p>
            <w:pPr>
              <w:pStyle w:val="Compact"/>
              <w:jc w:val="left"/>
            </w:pPr>
            <w:r>
              <w:rPr>
                <w:rFonts w:ascii="Calibri" w:hAnsi="Calibri"/>
                <w:sz w:val="18"/>
              </w:rPr>
              <w:t xml:space="preserve">Estimate at Completion</w:t>
            </w:r>
          </w:p>
        </w:tc>
        <w:tc>
          <w:tcPr>
            <w:shd w:val="clear" w:color="auto" w:fill="FFFFFF"/>
          </w:tcPr>
          <w:p>
            <w:pPr>
              <w:pStyle w:val="Compact"/>
              <w:jc w:val="left"/>
            </w:pPr>
            <w:r>
              <w:rPr>
                <w:rFonts w:ascii="Calibri" w:hAnsi="Calibri"/>
                <w:sz w:val="18"/>
              </w:rPr>
              <w:t xml:space="preserve">Estimación del costo al final</w:t>
            </w:r>
          </w:p>
        </w:tc>
      </w:tr>
      <w:tr>
        <w:tc>
          <w:tcPr>
            <w:shd w:val="clear" w:color="auto" w:fill="E8E8E8"/>
          </w:tcPr>
          <w:p>
            <w:pPr>
              <w:pStyle w:val="Compact"/>
              <w:jc w:val="left"/>
            </w:pPr>
            <w:r>
              <w:rPr>
                <w:rFonts w:ascii="Calibri" w:hAnsi="Calibri"/>
                <w:sz w:val="18"/>
              </w:rPr>
              <w:t xml:space="preserve">EDT</w:t>
            </w:r>
          </w:p>
        </w:tc>
        <w:tc>
          <w:tcPr>
            <w:shd w:val="clear" w:color="auto" w:fill="E8E8E8"/>
          </w:tcPr>
          <w:p>
            <w:pPr>
              <w:pStyle w:val="Compact"/>
              <w:jc w:val="left"/>
            </w:pPr>
            <w:r>
              <w:rPr>
                <w:rFonts w:ascii="Calibri" w:hAnsi="Calibri"/>
                <w:sz w:val="18"/>
              </w:rPr>
              <w:t xml:space="preserve">—</w:t>
            </w:r>
          </w:p>
        </w:tc>
        <w:tc>
          <w:tcPr>
            <w:shd w:val="clear" w:color="auto" w:fill="E8E8E8"/>
          </w:tcPr>
          <w:p>
            <w:pPr>
              <w:pStyle w:val="Compact"/>
              <w:jc w:val="left"/>
            </w:pPr>
            <w:r>
              <w:rPr>
                <w:rFonts w:ascii="Calibri" w:hAnsi="Calibri"/>
                <w:sz w:val="18"/>
              </w:rPr>
              <w:t xml:space="preserve">Estructura de Desglose del Trabajo (= WBS)</w:t>
            </w:r>
          </w:p>
        </w:tc>
      </w:tr>
      <w:tr>
        <w:tc>
          <w:tcPr>
            <w:shd w:val="clear" w:color="auto" w:fill="FFFFFF"/>
          </w:tcPr>
          <w:p>
            <w:pPr>
              <w:pStyle w:val="Compact"/>
              <w:jc w:val="left"/>
            </w:pPr>
            <w:r>
              <w:rPr>
                <w:rFonts w:ascii="Calibri" w:hAnsi="Calibri"/>
                <w:sz w:val="18"/>
              </w:rPr>
              <w:t xml:space="preserve">EMV</w:t>
            </w:r>
          </w:p>
        </w:tc>
        <w:tc>
          <w:tcPr>
            <w:shd w:val="clear" w:color="auto" w:fill="FFFFFF"/>
          </w:tcPr>
          <w:p>
            <w:pPr>
              <w:pStyle w:val="Compact"/>
              <w:jc w:val="left"/>
            </w:pPr>
            <w:r>
              <w:rPr>
                <w:rFonts w:ascii="Calibri" w:hAnsi="Calibri"/>
                <w:sz w:val="18"/>
              </w:rPr>
              <w:t xml:space="preserve">Expected Monetary Value</w:t>
            </w:r>
          </w:p>
        </w:tc>
        <w:tc>
          <w:tcPr>
            <w:shd w:val="clear" w:color="auto" w:fill="FFFFFF"/>
          </w:tcPr>
          <w:p>
            <w:pPr>
              <w:pStyle w:val="Compact"/>
              <w:jc w:val="left"/>
            </w:pPr>
            <w:r>
              <w:rPr>
                <w:rFonts w:ascii="Calibri" w:hAnsi="Calibri"/>
                <w:sz w:val="18"/>
              </w:rPr>
              <w:t xml:space="preserve">Valor monetario esperado</w:t>
            </w:r>
          </w:p>
        </w:tc>
      </w:tr>
      <w:tr>
        <w:tc>
          <w:tcPr>
            <w:shd w:val="clear" w:color="auto" w:fill="E8E8E8"/>
          </w:tcPr>
          <w:p>
            <w:pPr>
              <w:pStyle w:val="Compact"/>
              <w:jc w:val="left"/>
            </w:pPr>
            <w:r>
              <w:rPr>
                <w:rFonts w:ascii="Calibri" w:hAnsi="Calibri"/>
                <w:sz w:val="18"/>
              </w:rPr>
              <w:t xml:space="preserve">ETC</w:t>
            </w:r>
          </w:p>
        </w:tc>
        <w:tc>
          <w:tcPr>
            <w:shd w:val="clear" w:color="auto" w:fill="E8E8E8"/>
          </w:tcPr>
          <w:p>
            <w:pPr>
              <w:pStyle w:val="Compact"/>
              <w:jc w:val="left"/>
            </w:pPr>
            <w:r>
              <w:rPr>
                <w:rFonts w:ascii="Calibri" w:hAnsi="Calibri"/>
                <w:sz w:val="18"/>
              </w:rPr>
              <w:t xml:space="preserve">Estimate to Complete</w:t>
            </w:r>
          </w:p>
        </w:tc>
        <w:tc>
          <w:tcPr>
            <w:shd w:val="clear" w:color="auto" w:fill="E8E8E8"/>
          </w:tcPr>
          <w:p>
            <w:pPr>
              <w:pStyle w:val="Compact"/>
              <w:jc w:val="left"/>
            </w:pPr>
            <w:r>
              <w:rPr>
                <w:rFonts w:ascii="Calibri" w:hAnsi="Calibri"/>
                <w:sz w:val="18"/>
              </w:rPr>
              <w:t xml:space="preserve">Estimación para completar</w:t>
            </w:r>
          </w:p>
        </w:tc>
      </w:tr>
      <w:tr>
        <w:tc>
          <w:tcPr>
            <w:shd w:val="clear" w:color="auto" w:fill="FFFFFF"/>
          </w:tcPr>
          <w:p>
            <w:pPr>
              <w:pStyle w:val="Compact"/>
              <w:jc w:val="left"/>
            </w:pPr>
            <w:r>
              <w:rPr>
                <w:rFonts w:ascii="Calibri" w:hAnsi="Calibri"/>
                <w:sz w:val="18"/>
              </w:rPr>
              <w:t xml:space="preserve">EV</w:t>
            </w:r>
          </w:p>
        </w:tc>
        <w:tc>
          <w:tcPr>
            <w:shd w:val="clear" w:color="auto" w:fill="FFFFFF"/>
          </w:tcPr>
          <w:p>
            <w:pPr>
              <w:pStyle w:val="Compact"/>
              <w:jc w:val="left"/>
            </w:pPr>
            <w:r>
              <w:rPr>
                <w:rFonts w:ascii="Calibri" w:hAnsi="Calibri"/>
                <w:sz w:val="18"/>
              </w:rPr>
              <w:t xml:space="preserve">Earned Value</w:t>
            </w:r>
          </w:p>
        </w:tc>
        <w:tc>
          <w:tcPr>
            <w:shd w:val="clear" w:color="auto" w:fill="FFFFFF"/>
          </w:tcPr>
          <w:p>
            <w:pPr>
              <w:pStyle w:val="Compact"/>
              <w:jc w:val="left"/>
            </w:pPr>
            <w:r>
              <w:rPr>
                <w:rFonts w:ascii="Calibri" w:hAnsi="Calibri"/>
                <w:sz w:val="18"/>
              </w:rPr>
              <w:t xml:space="preserve">Valor ganado</w:t>
            </w:r>
          </w:p>
        </w:tc>
      </w:tr>
      <w:tr>
        <w:tc>
          <w:tcPr>
            <w:shd w:val="clear" w:color="auto" w:fill="E8E8E8"/>
          </w:tcPr>
          <w:p>
            <w:pPr>
              <w:pStyle w:val="Compact"/>
              <w:jc w:val="left"/>
            </w:pPr>
            <w:r>
              <w:rPr>
                <w:rFonts w:ascii="Calibri" w:hAnsi="Calibri"/>
                <w:sz w:val="18"/>
              </w:rPr>
              <w:t xml:space="preserve">EVM</w:t>
            </w:r>
          </w:p>
        </w:tc>
        <w:tc>
          <w:tcPr>
            <w:shd w:val="clear" w:color="auto" w:fill="E8E8E8"/>
          </w:tcPr>
          <w:p>
            <w:pPr>
              <w:pStyle w:val="Compact"/>
              <w:jc w:val="left"/>
            </w:pPr>
            <w:r>
              <w:rPr>
                <w:rFonts w:ascii="Calibri" w:hAnsi="Calibri"/>
                <w:sz w:val="18"/>
              </w:rPr>
              <w:t xml:space="preserve">Earned Value Management</w:t>
            </w:r>
          </w:p>
        </w:tc>
        <w:tc>
          <w:tcPr>
            <w:shd w:val="clear" w:color="auto" w:fill="E8E8E8"/>
          </w:tcPr>
          <w:p>
            <w:pPr>
              <w:pStyle w:val="Compact"/>
              <w:jc w:val="left"/>
            </w:pPr>
            <w:r>
              <w:rPr>
                <w:rFonts w:ascii="Calibri" w:hAnsi="Calibri"/>
                <w:sz w:val="18"/>
              </w:rPr>
              <w:t xml:space="preserve">Gestión del valor ganado</w:t>
            </w:r>
          </w:p>
        </w:tc>
      </w:tr>
      <w:tr>
        <w:tc>
          <w:tcPr>
            <w:shd w:val="clear" w:color="auto" w:fill="FFFFFF"/>
          </w:tcPr>
          <w:p>
            <w:pPr>
              <w:pStyle w:val="Compact"/>
              <w:jc w:val="left"/>
            </w:pPr>
            <w:r>
              <w:rPr>
                <w:rFonts w:ascii="Calibri" w:hAnsi="Calibri"/>
                <w:sz w:val="18"/>
              </w:rPr>
              <w:t xml:space="preserve">FP</w:t>
            </w:r>
          </w:p>
        </w:tc>
        <w:tc>
          <w:tcPr>
            <w:shd w:val="clear" w:color="auto" w:fill="FFFFFF"/>
          </w:tcPr>
          <w:p>
            <w:pPr>
              <w:pStyle w:val="Compact"/>
              <w:jc w:val="left"/>
            </w:pPr>
            <w:r>
              <w:rPr>
                <w:rFonts w:ascii="Calibri" w:hAnsi="Calibri"/>
                <w:sz w:val="18"/>
              </w:rPr>
              <w:t xml:space="preserve">Fixed Price</w:t>
            </w:r>
          </w:p>
        </w:tc>
        <w:tc>
          <w:tcPr>
            <w:shd w:val="clear" w:color="auto" w:fill="FFFFFF"/>
          </w:tcPr>
          <w:p>
            <w:pPr>
              <w:pStyle w:val="Compact"/>
              <w:jc w:val="left"/>
            </w:pPr>
            <w:r>
              <w:rPr>
                <w:rFonts w:ascii="Calibri" w:hAnsi="Calibri"/>
                <w:sz w:val="18"/>
              </w:rPr>
              <w:t xml:space="preserve">Precio fijo (contrato)</w:t>
            </w:r>
          </w:p>
        </w:tc>
      </w:tr>
      <w:tr>
        <w:tc>
          <w:tcPr>
            <w:shd w:val="clear" w:color="auto" w:fill="E8E8E8"/>
          </w:tcPr>
          <w:p>
            <w:pPr>
              <w:pStyle w:val="Compact"/>
              <w:jc w:val="left"/>
            </w:pPr>
            <w:r>
              <w:rPr>
                <w:rFonts w:ascii="Calibri" w:hAnsi="Calibri"/>
                <w:sz w:val="18"/>
              </w:rPr>
              <w:t xml:space="preserve">FTE</w:t>
            </w:r>
          </w:p>
        </w:tc>
        <w:tc>
          <w:tcPr>
            <w:shd w:val="clear" w:color="auto" w:fill="E8E8E8"/>
          </w:tcPr>
          <w:p>
            <w:pPr>
              <w:pStyle w:val="Compact"/>
              <w:jc w:val="left"/>
            </w:pPr>
            <w:r>
              <w:rPr>
                <w:rFonts w:ascii="Calibri" w:hAnsi="Calibri"/>
                <w:sz w:val="18"/>
              </w:rPr>
              <w:t xml:space="preserve">Full-Time Equivalent</w:t>
            </w:r>
          </w:p>
        </w:tc>
        <w:tc>
          <w:tcPr>
            <w:shd w:val="clear" w:color="auto" w:fill="E8E8E8"/>
          </w:tcPr>
          <w:p>
            <w:pPr>
              <w:pStyle w:val="Compact"/>
              <w:jc w:val="left"/>
            </w:pPr>
            <w:r>
              <w:rPr>
                <w:rFonts w:ascii="Calibri" w:hAnsi="Calibri"/>
                <w:sz w:val="18"/>
              </w:rPr>
              <w:t xml:space="preserve">Equivalente a tiempo completo</w:t>
            </w:r>
          </w:p>
        </w:tc>
      </w:tr>
      <w:tr>
        <w:tc>
          <w:tcPr>
            <w:shd w:val="clear" w:color="auto" w:fill="FFFFFF"/>
          </w:tcPr>
          <w:p>
            <w:pPr>
              <w:pStyle w:val="Compact"/>
              <w:jc w:val="left"/>
            </w:pPr>
            <w:r>
              <w:rPr>
                <w:rFonts w:ascii="Calibri" w:hAnsi="Calibri"/>
                <w:sz w:val="18"/>
              </w:rPr>
              <w:t xml:space="preserve">HT</w:t>
            </w:r>
          </w:p>
        </w:tc>
        <w:tc>
          <w:tcPr>
            <w:shd w:val="clear" w:color="auto" w:fill="FFFFFF"/>
          </w:tcPr>
          <w:p>
            <w:pPr>
              <w:pStyle w:val="Compact"/>
              <w:jc w:val="left"/>
            </w:pPr>
            <w:r>
              <w:rPr>
                <w:rFonts w:ascii="Calibri" w:hAnsi="Calibri"/>
                <w:sz w:val="18"/>
              </w:rPr>
              <w:t xml:space="preserve">—</w:t>
            </w:r>
          </w:p>
        </w:tc>
        <w:tc>
          <w:tcPr>
            <w:shd w:val="clear" w:color="auto" w:fill="FFFFFF"/>
          </w:tcPr>
          <w:p>
            <w:pPr>
              <w:pStyle w:val="Compact"/>
              <w:jc w:val="left"/>
            </w:pPr>
            <w:r>
              <w:rPr>
                <w:rFonts w:ascii="Calibri" w:hAnsi="Calibri"/>
                <w:sz w:val="18"/>
              </w:rPr>
              <w:t xml:space="preserve">Historia Técnica (XP)</w:t>
            </w:r>
          </w:p>
        </w:tc>
      </w:tr>
      <w:tr>
        <w:tc>
          <w:tcPr>
            <w:shd w:val="clear" w:color="auto" w:fill="E8E8E8"/>
          </w:tcPr>
          <w:p>
            <w:pPr>
              <w:pStyle w:val="Compact"/>
              <w:jc w:val="left"/>
            </w:pPr>
            <w:r>
              <w:rPr>
                <w:rFonts w:ascii="Calibri" w:hAnsi="Calibri"/>
                <w:sz w:val="18"/>
              </w:rPr>
              <w:t xml:space="preserve">HU</w:t>
            </w:r>
          </w:p>
        </w:tc>
        <w:tc>
          <w:tcPr>
            <w:shd w:val="clear" w:color="auto" w:fill="E8E8E8"/>
          </w:tcPr>
          <w:p>
            <w:pPr>
              <w:pStyle w:val="Compact"/>
              <w:jc w:val="left"/>
            </w:pPr>
            <w:r>
              <w:rPr>
                <w:rFonts w:ascii="Calibri" w:hAnsi="Calibri"/>
                <w:sz w:val="18"/>
              </w:rPr>
              <w:t xml:space="preserve">—</w:t>
            </w:r>
          </w:p>
        </w:tc>
        <w:tc>
          <w:tcPr>
            <w:shd w:val="clear" w:color="auto" w:fill="E8E8E8"/>
          </w:tcPr>
          <w:p>
            <w:pPr>
              <w:pStyle w:val="Compact"/>
              <w:jc w:val="left"/>
            </w:pPr>
            <w:r>
              <w:rPr>
                <w:rFonts w:ascii="Calibri" w:hAnsi="Calibri"/>
                <w:sz w:val="18"/>
              </w:rPr>
              <w:t xml:space="preserve">Historia de Usuario (user story)</w:t>
            </w:r>
          </w:p>
        </w:tc>
      </w:tr>
      <w:tr>
        <w:tc>
          <w:tcPr>
            <w:shd w:val="clear" w:color="auto" w:fill="FFFFFF"/>
          </w:tcPr>
          <w:p>
            <w:pPr>
              <w:pStyle w:val="Compact"/>
              <w:jc w:val="left"/>
            </w:pPr>
            <w:r>
              <w:rPr>
                <w:rFonts w:ascii="Calibri" w:hAnsi="Calibri"/>
                <w:sz w:val="18"/>
              </w:rPr>
              <w:t xml:space="preserve">IaaS</w:t>
            </w:r>
          </w:p>
        </w:tc>
        <w:tc>
          <w:tcPr>
            <w:shd w:val="clear" w:color="auto" w:fill="FFFFFF"/>
          </w:tcPr>
          <w:p>
            <w:pPr>
              <w:pStyle w:val="Compact"/>
              <w:jc w:val="left"/>
            </w:pPr>
            <w:r>
              <w:rPr>
                <w:rFonts w:ascii="Calibri" w:hAnsi="Calibri"/>
                <w:sz w:val="18"/>
              </w:rPr>
              <w:t xml:space="preserve">Infrastructure as a Service</w:t>
            </w:r>
          </w:p>
        </w:tc>
        <w:tc>
          <w:tcPr>
            <w:shd w:val="clear" w:color="auto" w:fill="FFFFFF"/>
          </w:tcPr>
          <w:p>
            <w:pPr>
              <w:pStyle w:val="Compact"/>
              <w:jc w:val="left"/>
            </w:pPr>
            <w:r>
              <w:rPr>
                <w:rFonts w:ascii="Calibri" w:hAnsi="Calibri"/>
                <w:sz w:val="18"/>
              </w:rPr>
              <w:t xml:space="preserve">Infraestructura como servicio</w:t>
            </w:r>
          </w:p>
        </w:tc>
      </w:tr>
      <w:tr>
        <w:tc>
          <w:tcPr>
            <w:shd w:val="clear" w:color="auto" w:fill="E8E8E8"/>
          </w:tcPr>
          <w:p>
            <w:pPr>
              <w:pStyle w:val="Compact"/>
              <w:jc w:val="left"/>
            </w:pPr>
            <w:r>
              <w:rPr>
                <w:rFonts w:ascii="Calibri" w:hAnsi="Calibri"/>
                <w:sz w:val="18"/>
              </w:rPr>
              <w:t xml:space="preserve">INVEST</w:t>
            </w:r>
          </w:p>
        </w:tc>
        <w:tc>
          <w:tcPr>
            <w:shd w:val="clear" w:color="auto" w:fill="E8E8E8"/>
          </w:tcPr>
          <w:p>
            <w:pPr>
              <w:pStyle w:val="Compact"/>
              <w:jc w:val="left"/>
            </w:pPr>
            <w:r>
              <w:rPr>
                <w:rFonts w:ascii="Calibri" w:hAnsi="Calibri"/>
                <w:sz w:val="18"/>
              </w:rPr>
              <w:t xml:space="preserve">Independent, Negotiable, Valuable, Estimable, Small, Testable</w:t>
            </w:r>
          </w:p>
        </w:tc>
        <w:tc>
          <w:tcPr>
            <w:shd w:val="clear" w:color="auto" w:fill="E8E8E8"/>
          </w:tcPr>
          <w:p>
            <w:pPr>
              <w:pStyle w:val="Compact"/>
              <w:jc w:val="left"/>
            </w:pPr>
            <w:r>
              <w:rPr>
                <w:rFonts w:ascii="Calibri" w:hAnsi="Calibri"/>
                <w:sz w:val="18"/>
              </w:rPr>
              <w:t xml:space="preserve">Criterios de calidad de una historia</w:t>
            </w:r>
          </w:p>
        </w:tc>
      </w:tr>
      <w:tr>
        <w:tc>
          <w:tcPr>
            <w:shd w:val="clear" w:color="auto" w:fill="FFFFFF"/>
          </w:tcPr>
          <w:p>
            <w:pPr>
              <w:pStyle w:val="Compact"/>
              <w:jc w:val="left"/>
            </w:pPr>
            <w:r>
              <w:rPr>
                <w:rFonts w:ascii="Calibri" w:hAnsi="Calibri"/>
                <w:sz w:val="18"/>
              </w:rPr>
              <w:t xml:space="preserve">IRR</w:t>
            </w:r>
          </w:p>
        </w:tc>
        <w:tc>
          <w:tcPr>
            <w:shd w:val="clear" w:color="auto" w:fill="FFFFFF"/>
          </w:tcPr>
          <w:p>
            <w:pPr>
              <w:pStyle w:val="Compact"/>
              <w:jc w:val="left"/>
            </w:pPr>
            <w:r>
              <w:rPr>
                <w:rFonts w:ascii="Calibri" w:hAnsi="Calibri"/>
                <w:sz w:val="18"/>
              </w:rPr>
              <w:t xml:space="preserve">Internal Rate of Return</w:t>
            </w:r>
          </w:p>
        </w:tc>
        <w:tc>
          <w:tcPr>
            <w:shd w:val="clear" w:color="auto" w:fill="FFFFFF"/>
          </w:tcPr>
          <w:p>
            <w:pPr>
              <w:pStyle w:val="Compact"/>
              <w:jc w:val="left"/>
            </w:pPr>
            <w:r>
              <w:rPr>
                <w:rFonts w:ascii="Calibri" w:hAnsi="Calibri"/>
                <w:sz w:val="18"/>
              </w:rPr>
              <w:t xml:space="preserve">Tasa interna de retorno (TIR)</w:t>
            </w:r>
          </w:p>
        </w:tc>
      </w:tr>
      <w:tr>
        <w:tc>
          <w:tcPr>
            <w:shd w:val="clear" w:color="auto" w:fill="E8E8E8"/>
          </w:tcPr>
          <w:p>
            <w:pPr>
              <w:pStyle w:val="Compact"/>
              <w:jc w:val="left"/>
            </w:pPr>
            <w:r>
              <w:rPr>
                <w:rFonts w:ascii="Calibri" w:hAnsi="Calibri"/>
                <w:sz w:val="18"/>
              </w:rPr>
              <w:t xml:space="preserve">KPI</w:t>
            </w:r>
          </w:p>
        </w:tc>
        <w:tc>
          <w:tcPr>
            <w:shd w:val="clear" w:color="auto" w:fill="E8E8E8"/>
          </w:tcPr>
          <w:p>
            <w:pPr>
              <w:pStyle w:val="Compact"/>
              <w:jc w:val="left"/>
            </w:pPr>
            <w:r>
              <w:rPr>
                <w:rFonts w:ascii="Calibri" w:hAnsi="Calibri"/>
                <w:sz w:val="18"/>
              </w:rPr>
              <w:t xml:space="preserve">Key Performance Indicator</w:t>
            </w:r>
          </w:p>
        </w:tc>
        <w:tc>
          <w:tcPr>
            <w:shd w:val="clear" w:color="auto" w:fill="E8E8E8"/>
          </w:tcPr>
          <w:p>
            <w:pPr>
              <w:pStyle w:val="Compact"/>
              <w:jc w:val="left"/>
            </w:pPr>
            <w:r>
              <w:rPr>
                <w:rFonts w:ascii="Calibri" w:hAnsi="Calibri"/>
                <w:sz w:val="18"/>
              </w:rPr>
              <w:t xml:space="preserve">Indicador clave de desempeño</w:t>
            </w:r>
          </w:p>
        </w:tc>
      </w:tr>
      <w:tr>
        <w:tc>
          <w:tcPr>
            <w:shd w:val="clear" w:color="auto" w:fill="FFFFFF"/>
          </w:tcPr>
          <w:p>
            <w:pPr>
              <w:pStyle w:val="Compact"/>
              <w:jc w:val="left"/>
            </w:pPr>
            <w:r>
              <w:rPr>
                <w:rFonts w:ascii="Calibri" w:hAnsi="Calibri"/>
                <w:sz w:val="18"/>
              </w:rPr>
              <w:t xml:space="preserve">MARR</w:t>
            </w:r>
          </w:p>
        </w:tc>
        <w:tc>
          <w:tcPr>
            <w:shd w:val="clear" w:color="auto" w:fill="FFFFFF"/>
          </w:tcPr>
          <w:p>
            <w:pPr>
              <w:pStyle w:val="Compact"/>
              <w:jc w:val="left"/>
            </w:pPr>
            <w:r>
              <w:rPr>
                <w:rFonts w:ascii="Calibri" w:hAnsi="Calibri"/>
                <w:sz w:val="18"/>
              </w:rPr>
              <w:t xml:space="preserve">Minimum Acceptable Rate of Return</w:t>
            </w:r>
          </w:p>
        </w:tc>
        <w:tc>
          <w:tcPr>
            <w:shd w:val="clear" w:color="auto" w:fill="FFFFFF"/>
          </w:tcPr>
          <w:p>
            <w:pPr>
              <w:pStyle w:val="Compact"/>
              <w:jc w:val="left"/>
            </w:pPr>
            <w:r>
              <w:rPr>
                <w:rFonts w:ascii="Calibri" w:hAnsi="Calibri"/>
                <w:sz w:val="18"/>
              </w:rPr>
              <w:t xml:space="preserve">Tasa mínima aceptable de retorno (= TMAR)</w:t>
            </w:r>
          </w:p>
        </w:tc>
      </w:tr>
      <w:tr>
        <w:tc>
          <w:tcPr>
            <w:shd w:val="clear" w:color="auto" w:fill="E8E8E8"/>
          </w:tcPr>
          <w:p>
            <w:pPr>
              <w:pStyle w:val="Compact"/>
              <w:jc w:val="left"/>
            </w:pPr>
            <w:r>
              <w:rPr>
                <w:rFonts w:ascii="Calibri" w:hAnsi="Calibri"/>
                <w:sz w:val="18"/>
              </w:rPr>
              <w:t xml:space="preserve">MTBF</w:t>
            </w:r>
          </w:p>
        </w:tc>
        <w:tc>
          <w:tcPr>
            <w:shd w:val="clear" w:color="auto" w:fill="E8E8E8"/>
          </w:tcPr>
          <w:p>
            <w:pPr>
              <w:pStyle w:val="Compact"/>
              <w:jc w:val="left"/>
            </w:pPr>
            <w:r>
              <w:rPr>
                <w:rFonts w:ascii="Calibri" w:hAnsi="Calibri"/>
                <w:sz w:val="18"/>
              </w:rPr>
              <w:t xml:space="preserve">Mean Time Between Failures</w:t>
            </w:r>
          </w:p>
        </w:tc>
        <w:tc>
          <w:tcPr>
            <w:shd w:val="clear" w:color="auto" w:fill="E8E8E8"/>
          </w:tcPr>
          <w:p>
            <w:pPr>
              <w:pStyle w:val="Compact"/>
              <w:jc w:val="left"/>
            </w:pPr>
            <w:r>
              <w:rPr>
                <w:rFonts w:ascii="Calibri" w:hAnsi="Calibri"/>
                <w:sz w:val="18"/>
              </w:rPr>
              <w:t xml:space="preserve">Tiempo medio entre fallas</w:t>
            </w:r>
          </w:p>
        </w:tc>
      </w:tr>
      <w:tr>
        <w:tc>
          <w:tcPr>
            <w:shd w:val="clear" w:color="auto" w:fill="FFFFFF"/>
          </w:tcPr>
          <w:p>
            <w:pPr>
              <w:pStyle w:val="Compact"/>
              <w:jc w:val="left"/>
            </w:pPr>
            <w:r>
              <w:rPr>
                <w:rFonts w:ascii="Calibri" w:hAnsi="Calibri"/>
                <w:sz w:val="18"/>
              </w:rPr>
              <w:t xml:space="preserve">MTTR</w:t>
            </w:r>
          </w:p>
        </w:tc>
        <w:tc>
          <w:tcPr>
            <w:shd w:val="clear" w:color="auto" w:fill="FFFFFF"/>
          </w:tcPr>
          <w:p>
            <w:pPr>
              <w:pStyle w:val="Compact"/>
              <w:jc w:val="left"/>
            </w:pPr>
            <w:r>
              <w:rPr>
                <w:rFonts w:ascii="Calibri" w:hAnsi="Calibri"/>
                <w:sz w:val="18"/>
              </w:rPr>
              <w:t xml:space="preserve">Mean Time To Repair</w:t>
            </w:r>
          </w:p>
        </w:tc>
        <w:tc>
          <w:tcPr>
            <w:shd w:val="clear" w:color="auto" w:fill="FFFFFF"/>
          </w:tcPr>
          <w:p>
            <w:pPr>
              <w:pStyle w:val="Compact"/>
              <w:jc w:val="left"/>
            </w:pPr>
            <w:r>
              <w:rPr>
                <w:rFonts w:ascii="Calibri" w:hAnsi="Calibri"/>
                <w:sz w:val="18"/>
              </w:rPr>
              <w:t xml:space="preserve">Tiempo medio de reparación</w:t>
            </w:r>
          </w:p>
        </w:tc>
      </w:tr>
      <w:tr>
        <w:tc>
          <w:tcPr>
            <w:shd w:val="clear" w:color="auto" w:fill="E8E8E8"/>
          </w:tcPr>
          <w:p>
            <w:pPr>
              <w:pStyle w:val="Compact"/>
              <w:jc w:val="left"/>
            </w:pPr>
            <w:r>
              <w:rPr>
                <w:rFonts w:ascii="Calibri" w:hAnsi="Calibri"/>
                <w:sz w:val="18"/>
              </w:rPr>
              <w:t xml:space="preserve">MVP</w:t>
            </w:r>
          </w:p>
        </w:tc>
        <w:tc>
          <w:tcPr>
            <w:shd w:val="clear" w:color="auto" w:fill="E8E8E8"/>
          </w:tcPr>
          <w:p>
            <w:pPr>
              <w:pStyle w:val="Compact"/>
              <w:jc w:val="left"/>
            </w:pPr>
            <w:r>
              <w:rPr>
                <w:rFonts w:ascii="Calibri" w:hAnsi="Calibri"/>
                <w:sz w:val="18"/>
              </w:rPr>
              <w:t xml:space="preserve">Minimum Viable Product</w:t>
            </w:r>
          </w:p>
        </w:tc>
        <w:tc>
          <w:tcPr>
            <w:shd w:val="clear" w:color="auto" w:fill="E8E8E8"/>
          </w:tcPr>
          <w:p>
            <w:pPr>
              <w:pStyle w:val="Compact"/>
              <w:jc w:val="left"/>
            </w:pPr>
            <w:r>
              <w:rPr>
                <w:rFonts w:ascii="Calibri" w:hAnsi="Calibri"/>
                <w:sz w:val="18"/>
              </w:rPr>
              <w:t xml:space="preserve">Producto mínimo viable</w:t>
            </w:r>
          </w:p>
        </w:tc>
      </w:tr>
      <w:tr>
        <w:tc>
          <w:tcPr>
            <w:shd w:val="clear" w:color="auto" w:fill="FFFFFF"/>
          </w:tcPr>
          <w:p>
            <w:pPr>
              <w:pStyle w:val="Compact"/>
              <w:jc w:val="left"/>
            </w:pPr>
            <w:r>
              <w:rPr>
                <w:rFonts w:ascii="Calibri" w:hAnsi="Calibri"/>
                <w:sz w:val="18"/>
              </w:rPr>
              <w:t xml:space="preserve">NPV</w:t>
            </w:r>
          </w:p>
        </w:tc>
        <w:tc>
          <w:tcPr>
            <w:shd w:val="clear" w:color="auto" w:fill="FFFFFF"/>
          </w:tcPr>
          <w:p>
            <w:pPr>
              <w:pStyle w:val="Compact"/>
              <w:jc w:val="left"/>
            </w:pPr>
            <w:r>
              <w:rPr>
                <w:rFonts w:ascii="Calibri" w:hAnsi="Calibri"/>
                <w:sz w:val="18"/>
              </w:rPr>
              <w:t xml:space="preserve">Net Present Value</w:t>
            </w:r>
          </w:p>
        </w:tc>
        <w:tc>
          <w:tcPr>
            <w:shd w:val="clear" w:color="auto" w:fill="FFFFFF"/>
          </w:tcPr>
          <w:p>
            <w:pPr>
              <w:pStyle w:val="Compact"/>
              <w:jc w:val="left"/>
            </w:pPr>
            <w:r>
              <w:rPr>
                <w:rFonts w:ascii="Calibri" w:hAnsi="Calibri"/>
                <w:sz w:val="18"/>
              </w:rPr>
              <w:t xml:space="preserve">Valor presente neto (VPN)</w:t>
            </w:r>
          </w:p>
        </w:tc>
      </w:tr>
      <w:tr>
        <w:tc>
          <w:tcPr>
            <w:shd w:val="clear" w:color="auto" w:fill="E8E8E8"/>
          </w:tcPr>
          <w:p>
            <w:pPr>
              <w:pStyle w:val="Compact"/>
              <w:jc w:val="left"/>
            </w:pPr>
            <w:r>
              <w:rPr>
                <w:rFonts w:ascii="Calibri" w:hAnsi="Calibri"/>
                <w:sz w:val="18"/>
              </w:rPr>
              <w:t xml:space="preserve">PaaS</w:t>
            </w:r>
          </w:p>
        </w:tc>
        <w:tc>
          <w:tcPr>
            <w:shd w:val="clear" w:color="auto" w:fill="E8E8E8"/>
          </w:tcPr>
          <w:p>
            <w:pPr>
              <w:pStyle w:val="Compact"/>
              <w:jc w:val="left"/>
            </w:pPr>
            <w:r>
              <w:rPr>
                <w:rFonts w:ascii="Calibri" w:hAnsi="Calibri"/>
                <w:sz w:val="18"/>
              </w:rPr>
              <w:t xml:space="preserve">Platform as a Service</w:t>
            </w:r>
          </w:p>
        </w:tc>
        <w:tc>
          <w:tcPr>
            <w:shd w:val="clear" w:color="auto" w:fill="E8E8E8"/>
          </w:tcPr>
          <w:p>
            <w:pPr>
              <w:pStyle w:val="Compact"/>
              <w:jc w:val="left"/>
            </w:pPr>
            <w:r>
              <w:rPr>
                <w:rFonts w:ascii="Calibri" w:hAnsi="Calibri"/>
                <w:sz w:val="18"/>
              </w:rPr>
              <w:t xml:space="preserve">Plataforma como servicio</w:t>
            </w:r>
          </w:p>
        </w:tc>
      </w:tr>
      <w:tr>
        <w:tc>
          <w:tcPr>
            <w:shd w:val="clear" w:color="auto" w:fill="FFFFFF"/>
          </w:tcPr>
          <w:p>
            <w:pPr>
              <w:pStyle w:val="Compact"/>
              <w:jc w:val="left"/>
            </w:pPr>
            <w:r>
              <w:rPr>
                <w:rFonts w:ascii="Calibri" w:hAnsi="Calibri"/>
                <w:sz w:val="18"/>
              </w:rPr>
              <w:t xml:space="preserve">PMBOK</w:t>
            </w:r>
          </w:p>
        </w:tc>
        <w:tc>
          <w:tcPr>
            <w:shd w:val="clear" w:color="auto" w:fill="FFFFFF"/>
          </w:tcPr>
          <w:p>
            <w:pPr>
              <w:pStyle w:val="Compact"/>
              <w:jc w:val="left"/>
            </w:pPr>
            <w:r>
              <w:rPr>
                <w:rFonts w:ascii="Calibri" w:hAnsi="Calibri"/>
                <w:sz w:val="18"/>
              </w:rPr>
              <w:t xml:space="preserve">Project Management Body of Knowledge</w:t>
            </w:r>
          </w:p>
        </w:tc>
        <w:tc>
          <w:tcPr>
            <w:shd w:val="clear" w:color="auto" w:fill="FFFFFF"/>
          </w:tcPr>
          <w:p>
            <w:pPr>
              <w:pStyle w:val="Compact"/>
              <w:jc w:val="left"/>
            </w:pPr>
            <w:r>
              <w:rPr>
                <w:rFonts w:ascii="Calibri" w:hAnsi="Calibri"/>
                <w:sz w:val="18"/>
              </w:rPr>
              <w:t xml:space="preserve">Cuerpo de conocimiento de gestión de proyectos</w:t>
            </w:r>
          </w:p>
        </w:tc>
      </w:tr>
      <w:tr>
        <w:tc>
          <w:tcPr>
            <w:shd w:val="clear" w:color="auto" w:fill="E8E8E8"/>
          </w:tcPr>
          <w:p>
            <w:pPr>
              <w:pStyle w:val="Compact"/>
              <w:jc w:val="left"/>
            </w:pPr>
            <w:r>
              <w:rPr>
                <w:rFonts w:ascii="Calibri" w:hAnsi="Calibri"/>
                <w:sz w:val="18"/>
              </w:rPr>
              <w:t xml:space="preserve">PMI</w:t>
            </w:r>
          </w:p>
        </w:tc>
        <w:tc>
          <w:tcPr>
            <w:shd w:val="clear" w:color="auto" w:fill="E8E8E8"/>
          </w:tcPr>
          <w:p>
            <w:pPr>
              <w:pStyle w:val="Compact"/>
              <w:jc w:val="left"/>
            </w:pPr>
            <w:r>
              <w:rPr>
                <w:rFonts w:ascii="Calibri" w:hAnsi="Calibri"/>
                <w:sz w:val="18"/>
              </w:rPr>
              <w:t xml:space="preserve">Project Management Institute</w:t>
            </w:r>
          </w:p>
        </w:tc>
        <w:tc>
          <w:tcPr>
            <w:shd w:val="clear" w:color="auto" w:fill="E8E8E8"/>
          </w:tcPr>
          <w:p>
            <w:pPr>
              <w:pStyle w:val="Compact"/>
              <w:jc w:val="left"/>
            </w:pPr>
            <w:r>
              <w:rPr>
                <w:rFonts w:ascii="Calibri" w:hAnsi="Calibri"/>
                <w:sz w:val="18"/>
              </w:rPr>
              <w:t xml:space="preserve">Instituto de gestión de proyectos</w:t>
            </w:r>
          </w:p>
        </w:tc>
      </w:tr>
      <w:tr>
        <w:tc>
          <w:tcPr>
            <w:shd w:val="clear" w:color="auto" w:fill="FFFFFF"/>
          </w:tcPr>
          <w:p>
            <w:pPr>
              <w:pStyle w:val="Compact"/>
              <w:jc w:val="left"/>
            </w:pPr>
            <w:r>
              <w:rPr>
                <w:rFonts w:ascii="Calibri" w:hAnsi="Calibri"/>
                <w:sz w:val="18"/>
              </w:rPr>
              <w:t xml:space="preserve">PO</w:t>
            </w:r>
          </w:p>
        </w:tc>
        <w:tc>
          <w:tcPr>
            <w:shd w:val="clear" w:color="auto" w:fill="FFFFFF"/>
          </w:tcPr>
          <w:p>
            <w:pPr>
              <w:pStyle w:val="Compact"/>
              <w:jc w:val="left"/>
            </w:pPr>
            <w:r>
              <w:rPr>
                <w:rFonts w:ascii="Calibri" w:hAnsi="Calibri"/>
                <w:sz w:val="18"/>
              </w:rPr>
              <w:t xml:space="preserve">Product Owner</w:t>
            </w:r>
          </w:p>
        </w:tc>
        <w:tc>
          <w:tcPr>
            <w:shd w:val="clear" w:color="auto" w:fill="FFFFFF"/>
          </w:tcPr>
          <w:p>
            <w:pPr>
              <w:pStyle w:val="Compact"/>
              <w:jc w:val="left"/>
            </w:pPr>
            <w:r>
              <w:rPr>
                <w:rFonts w:ascii="Calibri" w:hAnsi="Calibri"/>
                <w:sz w:val="18"/>
              </w:rPr>
              <w:t xml:space="preserve">Dueño del producto</w:t>
            </w:r>
          </w:p>
        </w:tc>
      </w:tr>
      <w:tr>
        <w:tc>
          <w:tcPr>
            <w:shd w:val="clear" w:color="auto" w:fill="E8E8E8"/>
          </w:tcPr>
          <w:p>
            <w:pPr>
              <w:pStyle w:val="Compact"/>
              <w:jc w:val="left"/>
            </w:pPr>
            <w:r>
              <w:rPr>
                <w:rFonts w:ascii="Calibri" w:hAnsi="Calibri"/>
                <w:sz w:val="18"/>
              </w:rPr>
              <w:t xml:space="preserve">pp</w:t>
            </w:r>
          </w:p>
        </w:tc>
        <w:tc>
          <w:tcPr>
            <w:shd w:val="clear" w:color="auto" w:fill="E8E8E8"/>
          </w:tcPr>
          <w:p>
            <w:pPr>
              <w:pStyle w:val="Compact"/>
              <w:jc w:val="left"/>
            </w:pPr>
            <w:r>
              <w:rPr>
                <w:rFonts w:ascii="Calibri" w:hAnsi="Calibri"/>
                <w:sz w:val="18"/>
              </w:rPr>
              <w:t xml:space="preserve">percentage points</w:t>
            </w:r>
          </w:p>
        </w:tc>
        <w:tc>
          <w:tcPr>
            <w:shd w:val="clear" w:color="auto" w:fill="E8E8E8"/>
          </w:tcPr>
          <w:p>
            <w:pPr>
              <w:pStyle w:val="Compact"/>
              <w:jc w:val="left"/>
            </w:pPr>
            <w:r>
              <w:rPr>
                <w:rFonts w:ascii="Calibri" w:hAnsi="Calibri"/>
                <w:sz w:val="18"/>
              </w:rPr>
              <w:t xml:space="preserve">puntos porcentuales</w:t>
            </w:r>
          </w:p>
        </w:tc>
      </w:tr>
      <w:tr>
        <w:tc>
          <w:tcPr>
            <w:shd w:val="clear" w:color="auto" w:fill="FFFFFF"/>
          </w:tcPr>
          <w:p>
            <w:pPr>
              <w:pStyle w:val="Compact"/>
              <w:jc w:val="left"/>
            </w:pPr>
            <w:r>
              <w:rPr>
                <w:rFonts w:ascii="Calibri" w:hAnsi="Calibri"/>
                <w:sz w:val="18"/>
              </w:rPr>
              <w:t xml:space="preserve">PV</w:t>
            </w:r>
          </w:p>
        </w:tc>
        <w:tc>
          <w:tcPr>
            <w:shd w:val="clear" w:color="auto" w:fill="FFFFFF"/>
          </w:tcPr>
          <w:p>
            <w:pPr>
              <w:pStyle w:val="Compact"/>
              <w:jc w:val="left"/>
            </w:pPr>
            <w:r>
              <w:rPr>
                <w:rFonts w:ascii="Calibri" w:hAnsi="Calibri"/>
                <w:sz w:val="18"/>
              </w:rPr>
              <w:t xml:space="preserve">Planned Value</w:t>
            </w:r>
          </w:p>
        </w:tc>
        <w:tc>
          <w:tcPr>
            <w:shd w:val="clear" w:color="auto" w:fill="FFFFFF"/>
          </w:tcPr>
          <w:p>
            <w:pPr>
              <w:pStyle w:val="Compact"/>
              <w:jc w:val="left"/>
            </w:pPr>
            <w:r>
              <w:rPr>
                <w:rFonts w:ascii="Calibri" w:hAnsi="Calibri"/>
                <w:sz w:val="18"/>
              </w:rPr>
              <w:t xml:space="preserve">Valor planificado</w:t>
            </w:r>
          </w:p>
        </w:tc>
      </w:tr>
      <w:tr>
        <w:tc>
          <w:tcPr>
            <w:shd w:val="clear" w:color="auto" w:fill="E8E8E8"/>
          </w:tcPr>
          <w:p>
            <w:pPr>
              <w:pStyle w:val="Compact"/>
              <w:jc w:val="left"/>
            </w:pPr>
            <w:r>
              <w:rPr>
                <w:rFonts w:ascii="Calibri" w:hAnsi="Calibri"/>
                <w:sz w:val="18"/>
              </w:rPr>
              <w:t xml:space="preserve">QA</w:t>
            </w:r>
          </w:p>
        </w:tc>
        <w:tc>
          <w:tcPr>
            <w:shd w:val="clear" w:color="auto" w:fill="E8E8E8"/>
          </w:tcPr>
          <w:p>
            <w:pPr>
              <w:pStyle w:val="Compact"/>
              <w:jc w:val="left"/>
            </w:pPr>
            <w:r>
              <w:rPr>
                <w:rFonts w:ascii="Calibri" w:hAnsi="Calibri"/>
                <w:sz w:val="18"/>
              </w:rPr>
              <w:t xml:space="preserve">Quality Assurance</w:t>
            </w:r>
          </w:p>
        </w:tc>
        <w:tc>
          <w:tcPr>
            <w:shd w:val="clear" w:color="auto" w:fill="E8E8E8"/>
          </w:tcPr>
          <w:p>
            <w:pPr>
              <w:pStyle w:val="Compact"/>
              <w:jc w:val="left"/>
            </w:pPr>
            <w:r>
              <w:rPr>
                <w:rFonts w:ascii="Calibri" w:hAnsi="Calibri"/>
                <w:sz w:val="18"/>
              </w:rPr>
              <w:t xml:space="preserve">Aseguramiento de la calidad (proactivo)</w:t>
            </w:r>
          </w:p>
        </w:tc>
      </w:tr>
      <w:tr>
        <w:tc>
          <w:tcPr>
            <w:shd w:val="clear" w:color="auto" w:fill="FFFFFF"/>
          </w:tcPr>
          <w:p>
            <w:pPr>
              <w:pStyle w:val="Compact"/>
              <w:jc w:val="left"/>
            </w:pPr>
            <w:r>
              <w:rPr>
                <w:rFonts w:ascii="Calibri" w:hAnsi="Calibri"/>
                <w:sz w:val="18"/>
              </w:rPr>
              <w:t xml:space="preserve">QC</w:t>
            </w:r>
          </w:p>
        </w:tc>
        <w:tc>
          <w:tcPr>
            <w:shd w:val="clear" w:color="auto" w:fill="FFFFFF"/>
          </w:tcPr>
          <w:p>
            <w:pPr>
              <w:pStyle w:val="Compact"/>
              <w:jc w:val="left"/>
            </w:pPr>
            <w:r>
              <w:rPr>
                <w:rFonts w:ascii="Calibri" w:hAnsi="Calibri"/>
                <w:sz w:val="18"/>
              </w:rPr>
              <w:t xml:space="preserve">Quality Control</w:t>
            </w:r>
          </w:p>
        </w:tc>
        <w:tc>
          <w:tcPr>
            <w:shd w:val="clear" w:color="auto" w:fill="FFFFFF"/>
          </w:tcPr>
          <w:p>
            <w:pPr>
              <w:pStyle w:val="Compact"/>
              <w:jc w:val="left"/>
            </w:pPr>
            <w:r>
              <w:rPr>
                <w:rFonts w:ascii="Calibri" w:hAnsi="Calibri"/>
                <w:sz w:val="18"/>
              </w:rPr>
              <w:t xml:space="preserve">Control de calidad (reactivo)</w:t>
            </w:r>
          </w:p>
        </w:tc>
      </w:tr>
      <w:tr>
        <w:tc>
          <w:tcPr>
            <w:shd w:val="clear" w:color="auto" w:fill="E8E8E8"/>
          </w:tcPr>
          <w:p>
            <w:pPr>
              <w:pStyle w:val="Compact"/>
              <w:jc w:val="left"/>
            </w:pPr>
            <w:r>
              <w:rPr>
                <w:rFonts w:ascii="Calibri" w:hAnsi="Calibri"/>
                <w:sz w:val="18"/>
              </w:rPr>
              <w:t xml:space="preserve">RACI</w:t>
            </w:r>
          </w:p>
        </w:tc>
        <w:tc>
          <w:tcPr>
            <w:shd w:val="clear" w:color="auto" w:fill="E8E8E8"/>
          </w:tcPr>
          <w:p>
            <w:pPr>
              <w:pStyle w:val="Compact"/>
              <w:jc w:val="left"/>
            </w:pPr>
            <w:r>
              <w:rPr>
                <w:rFonts w:ascii="Calibri" w:hAnsi="Calibri"/>
                <w:sz w:val="18"/>
              </w:rPr>
              <w:t xml:space="preserve">Responsible, Accountable, Consulted, Informed</w:t>
            </w:r>
          </w:p>
        </w:tc>
        <w:tc>
          <w:tcPr>
            <w:shd w:val="clear" w:color="auto" w:fill="E8E8E8"/>
          </w:tcPr>
          <w:p>
            <w:pPr>
              <w:pStyle w:val="Compact"/>
              <w:jc w:val="left"/>
            </w:pPr>
            <w:r>
              <w:rPr>
                <w:rFonts w:ascii="Calibri" w:hAnsi="Calibri"/>
                <w:sz w:val="18"/>
              </w:rPr>
              <w:t xml:space="preserve">Matriz de responsabilidades</w:t>
            </w:r>
          </w:p>
        </w:tc>
      </w:tr>
      <w:tr>
        <w:tc>
          <w:tcPr>
            <w:shd w:val="clear" w:color="auto" w:fill="FFFFFF"/>
          </w:tcPr>
          <w:p>
            <w:pPr>
              <w:pStyle w:val="Compact"/>
              <w:jc w:val="left"/>
            </w:pPr>
            <w:r>
              <w:rPr>
                <w:rFonts w:ascii="Calibri" w:hAnsi="Calibri"/>
                <w:sz w:val="18"/>
              </w:rPr>
              <w:t xml:space="preserve">ROA</w:t>
            </w:r>
          </w:p>
        </w:tc>
        <w:tc>
          <w:tcPr>
            <w:shd w:val="clear" w:color="auto" w:fill="FFFFFF"/>
          </w:tcPr>
          <w:p>
            <w:pPr>
              <w:pStyle w:val="Compact"/>
              <w:jc w:val="left"/>
            </w:pPr>
            <w:r>
              <w:rPr>
                <w:rFonts w:ascii="Calibri" w:hAnsi="Calibri"/>
                <w:sz w:val="18"/>
              </w:rPr>
              <w:t xml:space="preserve">Return on Assets</w:t>
            </w:r>
          </w:p>
        </w:tc>
        <w:tc>
          <w:tcPr>
            <w:shd w:val="clear" w:color="auto" w:fill="FFFFFF"/>
          </w:tcPr>
          <w:p>
            <w:pPr>
              <w:pStyle w:val="Compact"/>
              <w:jc w:val="left"/>
            </w:pPr>
            <w:r>
              <w:rPr>
                <w:rFonts w:ascii="Calibri" w:hAnsi="Calibri"/>
                <w:sz w:val="18"/>
              </w:rPr>
              <w:t xml:space="preserve">Retorno sobre activos</w:t>
            </w:r>
          </w:p>
        </w:tc>
      </w:tr>
      <w:tr>
        <w:tc>
          <w:tcPr>
            <w:shd w:val="clear" w:color="auto" w:fill="E8E8E8"/>
          </w:tcPr>
          <w:p>
            <w:pPr>
              <w:pStyle w:val="Compact"/>
              <w:jc w:val="left"/>
            </w:pPr>
            <w:r>
              <w:rPr>
                <w:rFonts w:ascii="Calibri" w:hAnsi="Calibri"/>
                <w:sz w:val="18"/>
              </w:rPr>
              <w:t xml:space="preserve">ROI</w:t>
            </w:r>
          </w:p>
        </w:tc>
        <w:tc>
          <w:tcPr>
            <w:shd w:val="clear" w:color="auto" w:fill="E8E8E8"/>
          </w:tcPr>
          <w:p>
            <w:pPr>
              <w:pStyle w:val="Compact"/>
              <w:jc w:val="left"/>
            </w:pPr>
            <w:r>
              <w:rPr>
                <w:rFonts w:ascii="Calibri" w:hAnsi="Calibri"/>
                <w:sz w:val="18"/>
              </w:rPr>
              <w:t xml:space="preserve">Return on Investment</w:t>
            </w:r>
          </w:p>
        </w:tc>
        <w:tc>
          <w:tcPr>
            <w:shd w:val="clear" w:color="auto" w:fill="E8E8E8"/>
          </w:tcPr>
          <w:p>
            <w:pPr>
              <w:pStyle w:val="Compact"/>
              <w:jc w:val="left"/>
            </w:pPr>
            <w:r>
              <w:rPr>
                <w:rFonts w:ascii="Calibri" w:hAnsi="Calibri"/>
                <w:sz w:val="18"/>
              </w:rPr>
              <w:t xml:space="preserve">Retorno sobre la inversión</w:t>
            </w:r>
          </w:p>
        </w:tc>
      </w:tr>
      <w:tr>
        <w:tc>
          <w:tcPr>
            <w:shd w:val="clear" w:color="auto" w:fill="FFFFFF"/>
          </w:tcPr>
          <w:p>
            <w:pPr>
              <w:pStyle w:val="Compact"/>
              <w:jc w:val="left"/>
            </w:pPr>
            <w:r>
              <w:rPr>
                <w:rFonts w:ascii="Calibri" w:hAnsi="Calibri"/>
                <w:sz w:val="18"/>
              </w:rPr>
              <w:t xml:space="preserve">ROM</w:t>
            </w:r>
          </w:p>
        </w:tc>
        <w:tc>
          <w:tcPr>
            <w:shd w:val="clear" w:color="auto" w:fill="FFFFFF"/>
          </w:tcPr>
          <w:p>
            <w:pPr>
              <w:pStyle w:val="Compact"/>
              <w:jc w:val="left"/>
            </w:pPr>
            <w:r>
              <w:rPr>
                <w:rFonts w:ascii="Calibri" w:hAnsi="Calibri"/>
                <w:sz w:val="18"/>
              </w:rPr>
              <w:t xml:space="preserve">Run of Maintenance</w:t>
            </w:r>
          </w:p>
        </w:tc>
        <w:tc>
          <w:tcPr>
            <w:shd w:val="clear" w:color="auto" w:fill="FFFFFF"/>
          </w:tcPr>
          <w:p>
            <w:pPr>
              <w:pStyle w:val="Compact"/>
              <w:jc w:val="left"/>
            </w:pPr>
            <w:r>
              <w:rPr>
                <w:rFonts w:ascii="Calibri" w:hAnsi="Calibri"/>
                <w:sz w:val="18"/>
              </w:rPr>
              <w:t xml:space="preserve">Trabajo no planificado (Scrumban)</w:t>
            </w:r>
          </w:p>
        </w:tc>
      </w:tr>
      <w:tr>
        <w:tc>
          <w:tcPr>
            <w:shd w:val="clear" w:color="auto" w:fill="E8E8E8"/>
          </w:tcPr>
          <w:p>
            <w:pPr>
              <w:pStyle w:val="Compact"/>
              <w:jc w:val="left"/>
            </w:pPr>
            <w:r>
              <w:rPr>
                <w:rFonts w:ascii="Calibri" w:hAnsi="Calibri"/>
                <w:sz w:val="18"/>
              </w:rPr>
              <w:t xml:space="preserve">RTO</w:t>
            </w:r>
          </w:p>
        </w:tc>
        <w:tc>
          <w:tcPr>
            <w:shd w:val="clear" w:color="auto" w:fill="E8E8E8"/>
          </w:tcPr>
          <w:p>
            <w:pPr>
              <w:pStyle w:val="Compact"/>
              <w:jc w:val="left"/>
            </w:pPr>
            <w:r>
              <w:rPr>
                <w:rFonts w:ascii="Calibri" w:hAnsi="Calibri"/>
                <w:sz w:val="18"/>
              </w:rPr>
              <w:t xml:space="preserve">Recovery Time Objective</w:t>
            </w:r>
          </w:p>
        </w:tc>
        <w:tc>
          <w:tcPr>
            <w:shd w:val="clear" w:color="auto" w:fill="E8E8E8"/>
          </w:tcPr>
          <w:p>
            <w:pPr>
              <w:pStyle w:val="Compact"/>
              <w:jc w:val="left"/>
            </w:pPr>
            <w:r>
              <w:rPr>
                <w:rFonts w:ascii="Calibri" w:hAnsi="Calibri"/>
                <w:sz w:val="18"/>
              </w:rPr>
              <w:t xml:space="preserve">Objetivo de tiempo de recuperación</w:t>
            </w:r>
          </w:p>
        </w:tc>
      </w:tr>
      <w:tr>
        <w:tc>
          <w:tcPr>
            <w:shd w:val="clear" w:color="auto" w:fill="FFFFFF"/>
          </w:tcPr>
          <w:p>
            <w:pPr>
              <w:pStyle w:val="Compact"/>
              <w:jc w:val="left"/>
            </w:pPr>
            <w:r>
              <w:rPr>
                <w:rFonts w:ascii="Calibri" w:hAnsi="Calibri"/>
                <w:sz w:val="18"/>
              </w:rPr>
              <w:t xml:space="preserve">SAFe</w:t>
            </w:r>
          </w:p>
        </w:tc>
        <w:tc>
          <w:tcPr>
            <w:shd w:val="clear" w:color="auto" w:fill="FFFFFF"/>
          </w:tcPr>
          <w:p>
            <w:pPr>
              <w:pStyle w:val="Compact"/>
              <w:jc w:val="left"/>
            </w:pPr>
            <w:r>
              <w:rPr>
                <w:rFonts w:ascii="Calibri" w:hAnsi="Calibri"/>
                <w:sz w:val="18"/>
              </w:rPr>
              <w:t xml:space="preserve">Scaled Agile Framework</w:t>
            </w:r>
          </w:p>
        </w:tc>
        <w:tc>
          <w:tcPr>
            <w:shd w:val="clear" w:color="auto" w:fill="FFFFFF"/>
          </w:tcPr>
          <w:p>
            <w:pPr>
              <w:pStyle w:val="Compact"/>
              <w:jc w:val="left"/>
            </w:pPr>
            <w:r>
              <w:rPr>
                <w:rFonts w:ascii="Calibri" w:hAnsi="Calibri"/>
                <w:sz w:val="18"/>
              </w:rPr>
              <w:t xml:space="preserve">Marco ágil escalado</w:t>
            </w:r>
          </w:p>
        </w:tc>
      </w:tr>
      <w:tr>
        <w:tc>
          <w:tcPr>
            <w:shd w:val="clear" w:color="auto" w:fill="E8E8E8"/>
          </w:tcPr>
          <w:p>
            <w:pPr>
              <w:pStyle w:val="Compact"/>
              <w:jc w:val="left"/>
            </w:pPr>
            <w:r>
              <w:rPr>
                <w:rFonts w:ascii="Calibri" w:hAnsi="Calibri"/>
                <w:sz w:val="18"/>
              </w:rPr>
              <w:t xml:space="preserve">SLA</w:t>
            </w:r>
          </w:p>
        </w:tc>
        <w:tc>
          <w:tcPr>
            <w:shd w:val="clear" w:color="auto" w:fill="E8E8E8"/>
          </w:tcPr>
          <w:p>
            <w:pPr>
              <w:pStyle w:val="Compact"/>
              <w:jc w:val="left"/>
            </w:pPr>
            <w:r>
              <w:rPr>
                <w:rFonts w:ascii="Calibri" w:hAnsi="Calibri"/>
                <w:sz w:val="18"/>
              </w:rPr>
              <w:t xml:space="preserve">Service Level Agreement</w:t>
            </w:r>
          </w:p>
        </w:tc>
        <w:tc>
          <w:tcPr>
            <w:shd w:val="clear" w:color="auto" w:fill="E8E8E8"/>
          </w:tcPr>
          <w:p>
            <w:pPr>
              <w:pStyle w:val="Compact"/>
              <w:jc w:val="left"/>
            </w:pPr>
            <w:r>
              <w:rPr>
                <w:rFonts w:ascii="Calibri" w:hAnsi="Calibri"/>
                <w:sz w:val="18"/>
              </w:rPr>
              <w:t xml:space="preserve">Acuerdo de nivel de servicio</w:t>
            </w:r>
          </w:p>
        </w:tc>
      </w:tr>
      <w:tr>
        <w:tc>
          <w:tcPr>
            <w:shd w:val="clear" w:color="auto" w:fill="FFFFFF"/>
          </w:tcPr>
          <w:p>
            <w:pPr>
              <w:pStyle w:val="Compact"/>
              <w:jc w:val="left"/>
            </w:pPr>
            <w:r>
              <w:rPr>
                <w:rFonts w:ascii="Calibri" w:hAnsi="Calibri"/>
                <w:sz w:val="18"/>
              </w:rPr>
              <w:t xml:space="preserve">SM</w:t>
            </w:r>
          </w:p>
        </w:tc>
        <w:tc>
          <w:tcPr>
            <w:shd w:val="clear" w:color="auto" w:fill="FFFFFF"/>
          </w:tcPr>
          <w:p>
            <w:pPr>
              <w:pStyle w:val="Compact"/>
              <w:jc w:val="left"/>
            </w:pPr>
            <w:r>
              <w:rPr>
                <w:rFonts w:ascii="Calibri" w:hAnsi="Calibri"/>
                <w:sz w:val="18"/>
              </w:rPr>
              <w:t xml:space="preserve">Scrum Master</w:t>
            </w:r>
          </w:p>
        </w:tc>
        <w:tc>
          <w:tcPr>
            <w:shd w:val="clear" w:color="auto" w:fill="FFFFFF"/>
          </w:tcPr>
          <w:p>
            <w:pPr>
              <w:pStyle w:val="Compact"/>
              <w:jc w:val="left"/>
            </w:pPr>
            <w:r>
              <w:rPr>
                <w:rFonts w:ascii="Calibri" w:hAnsi="Calibri"/>
                <w:sz w:val="18"/>
              </w:rPr>
              <w:t xml:space="preserve">—</w:t>
            </w:r>
          </w:p>
        </w:tc>
      </w:tr>
      <w:tr>
        <w:tc>
          <w:tcPr>
            <w:shd w:val="clear" w:color="auto" w:fill="E8E8E8"/>
          </w:tcPr>
          <w:p>
            <w:pPr>
              <w:pStyle w:val="Compact"/>
              <w:jc w:val="left"/>
            </w:pPr>
            <w:r>
              <w:rPr>
                <w:rFonts w:ascii="Calibri" w:hAnsi="Calibri"/>
                <w:sz w:val="18"/>
              </w:rPr>
              <w:t xml:space="preserve">SOW</w:t>
            </w:r>
          </w:p>
        </w:tc>
        <w:tc>
          <w:tcPr>
            <w:shd w:val="clear" w:color="auto" w:fill="E8E8E8"/>
          </w:tcPr>
          <w:p>
            <w:pPr>
              <w:pStyle w:val="Compact"/>
              <w:jc w:val="left"/>
            </w:pPr>
            <w:r>
              <w:rPr>
                <w:rFonts w:ascii="Calibri" w:hAnsi="Calibri"/>
                <w:sz w:val="18"/>
              </w:rPr>
              <w:t xml:space="preserve">Statement of Work</w:t>
            </w:r>
          </w:p>
        </w:tc>
        <w:tc>
          <w:tcPr>
            <w:shd w:val="clear" w:color="auto" w:fill="E8E8E8"/>
          </w:tcPr>
          <w:p>
            <w:pPr>
              <w:pStyle w:val="Compact"/>
              <w:jc w:val="left"/>
            </w:pPr>
            <w:r>
              <w:rPr>
                <w:rFonts w:ascii="Calibri" w:hAnsi="Calibri"/>
                <w:sz w:val="18"/>
              </w:rPr>
              <w:t xml:space="preserve">Enunciado del trabajo (adquisiciones)</w:t>
            </w:r>
          </w:p>
        </w:tc>
      </w:tr>
      <w:tr>
        <w:tc>
          <w:tcPr>
            <w:shd w:val="clear" w:color="auto" w:fill="FFFFFF"/>
          </w:tcPr>
          <w:p>
            <w:pPr>
              <w:pStyle w:val="Compact"/>
              <w:jc w:val="left"/>
            </w:pPr>
            <w:r>
              <w:rPr>
                <w:rFonts w:ascii="Calibri" w:hAnsi="Calibri"/>
                <w:sz w:val="18"/>
              </w:rPr>
              <w:t xml:space="preserve">SP</w:t>
            </w:r>
          </w:p>
        </w:tc>
        <w:tc>
          <w:tcPr>
            <w:shd w:val="clear" w:color="auto" w:fill="FFFFFF"/>
          </w:tcPr>
          <w:p>
            <w:pPr>
              <w:pStyle w:val="Compact"/>
              <w:jc w:val="left"/>
            </w:pPr>
            <w:r>
              <w:rPr>
                <w:rFonts w:ascii="Calibri" w:hAnsi="Calibri"/>
                <w:sz w:val="18"/>
              </w:rPr>
              <w:t xml:space="preserve">Story Points</w:t>
            </w:r>
          </w:p>
        </w:tc>
        <w:tc>
          <w:tcPr>
            <w:shd w:val="clear" w:color="auto" w:fill="FFFFFF"/>
          </w:tcPr>
          <w:p>
            <w:pPr>
              <w:pStyle w:val="Compact"/>
              <w:jc w:val="left"/>
            </w:pPr>
            <w:r>
              <w:rPr>
                <w:rFonts w:ascii="Calibri" w:hAnsi="Calibri"/>
                <w:sz w:val="18"/>
              </w:rPr>
              <w:t xml:space="preserve">Puntos de historia</w:t>
            </w:r>
          </w:p>
        </w:tc>
      </w:tr>
      <w:tr>
        <w:tc>
          <w:tcPr>
            <w:shd w:val="clear" w:color="auto" w:fill="E8E8E8"/>
          </w:tcPr>
          <w:p>
            <w:pPr>
              <w:pStyle w:val="Compact"/>
              <w:jc w:val="left"/>
            </w:pPr>
            <w:r>
              <w:rPr>
                <w:rFonts w:ascii="Calibri" w:hAnsi="Calibri"/>
                <w:sz w:val="18"/>
              </w:rPr>
              <w:t xml:space="preserve">SPI</w:t>
            </w:r>
          </w:p>
        </w:tc>
        <w:tc>
          <w:tcPr>
            <w:shd w:val="clear" w:color="auto" w:fill="E8E8E8"/>
          </w:tcPr>
          <w:p>
            <w:pPr>
              <w:pStyle w:val="Compact"/>
              <w:jc w:val="left"/>
            </w:pPr>
            <w:r>
              <w:rPr>
                <w:rFonts w:ascii="Calibri" w:hAnsi="Calibri"/>
                <w:sz w:val="18"/>
              </w:rPr>
              <w:t xml:space="preserve">Schedule Performance Index</w:t>
            </w:r>
          </w:p>
        </w:tc>
        <w:tc>
          <w:tcPr>
            <w:shd w:val="clear" w:color="auto" w:fill="E8E8E8"/>
          </w:tcPr>
          <w:p>
            <w:pPr>
              <w:pStyle w:val="Compact"/>
              <w:jc w:val="left"/>
            </w:pPr>
            <w:r>
              <w:rPr>
                <w:rFonts w:ascii="Calibri" w:hAnsi="Calibri"/>
                <w:sz w:val="18"/>
              </w:rPr>
              <w:t xml:space="preserve">Índice de desempeño del cronograma</w:t>
            </w:r>
          </w:p>
        </w:tc>
      </w:tr>
      <w:tr>
        <w:tc>
          <w:tcPr>
            <w:shd w:val="clear" w:color="auto" w:fill="FFFFFF"/>
          </w:tcPr>
          <w:p>
            <w:pPr>
              <w:pStyle w:val="Compact"/>
              <w:jc w:val="left"/>
            </w:pPr>
            <w:r>
              <w:rPr>
                <w:rFonts w:ascii="Calibri" w:hAnsi="Calibri"/>
                <w:sz w:val="18"/>
              </w:rPr>
              <w:t xml:space="preserve">SSO</w:t>
            </w:r>
          </w:p>
        </w:tc>
        <w:tc>
          <w:tcPr>
            <w:shd w:val="clear" w:color="auto" w:fill="FFFFFF"/>
          </w:tcPr>
          <w:p>
            <w:pPr>
              <w:pStyle w:val="Compact"/>
              <w:jc w:val="left"/>
            </w:pPr>
            <w:r>
              <w:rPr>
                <w:rFonts w:ascii="Calibri" w:hAnsi="Calibri"/>
                <w:sz w:val="18"/>
              </w:rPr>
              <w:t xml:space="preserve">Single Sign-On</w:t>
            </w:r>
          </w:p>
        </w:tc>
        <w:tc>
          <w:tcPr>
            <w:shd w:val="clear" w:color="auto" w:fill="FFFFFF"/>
          </w:tcPr>
          <w:p>
            <w:pPr>
              <w:pStyle w:val="Compact"/>
              <w:jc w:val="left"/>
            </w:pPr>
            <w:r>
              <w:rPr>
                <w:rFonts w:ascii="Calibri" w:hAnsi="Calibri"/>
                <w:sz w:val="18"/>
              </w:rPr>
              <w:t xml:space="preserve">Inicio de sesión único</w:t>
            </w:r>
          </w:p>
        </w:tc>
      </w:tr>
      <w:tr>
        <w:tc>
          <w:tcPr>
            <w:shd w:val="clear" w:color="auto" w:fill="E8E8E8"/>
          </w:tcPr>
          <w:p>
            <w:pPr>
              <w:pStyle w:val="Compact"/>
              <w:jc w:val="left"/>
            </w:pPr>
            <w:r>
              <w:rPr>
                <w:rFonts w:ascii="Calibri" w:hAnsi="Calibri"/>
                <w:sz w:val="18"/>
              </w:rPr>
              <w:t xml:space="preserve">SV</w:t>
            </w:r>
          </w:p>
        </w:tc>
        <w:tc>
          <w:tcPr>
            <w:shd w:val="clear" w:color="auto" w:fill="E8E8E8"/>
          </w:tcPr>
          <w:p>
            <w:pPr>
              <w:pStyle w:val="Compact"/>
              <w:jc w:val="left"/>
            </w:pPr>
            <w:r>
              <w:rPr>
                <w:rFonts w:ascii="Calibri" w:hAnsi="Calibri"/>
                <w:sz w:val="18"/>
              </w:rPr>
              <w:t xml:space="preserve">Schedule Variance</w:t>
            </w:r>
          </w:p>
        </w:tc>
        <w:tc>
          <w:tcPr>
            <w:shd w:val="clear" w:color="auto" w:fill="E8E8E8"/>
          </w:tcPr>
          <w:p>
            <w:pPr>
              <w:pStyle w:val="Compact"/>
              <w:jc w:val="left"/>
            </w:pPr>
            <w:r>
              <w:rPr>
                <w:rFonts w:ascii="Calibri" w:hAnsi="Calibri"/>
                <w:sz w:val="18"/>
              </w:rPr>
              <w:t xml:space="preserve">Varianza del cronograma</w:t>
            </w:r>
          </w:p>
        </w:tc>
      </w:tr>
      <w:tr>
        <w:tc>
          <w:tcPr>
            <w:shd w:val="clear" w:color="auto" w:fill="FFFFFF"/>
          </w:tcPr>
          <w:p>
            <w:pPr>
              <w:pStyle w:val="Compact"/>
              <w:jc w:val="left"/>
            </w:pPr>
            <w:r>
              <w:rPr>
                <w:rFonts w:ascii="Calibri" w:hAnsi="Calibri"/>
                <w:sz w:val="18"/>
              </w:rPr>
              <w:t xml:space="preserve">TDD</w:t>
            </w:r>
          </w:p>
        </w:tc>
        <w:tc>
          <w:tcPr>
            <w:shd w:val="clear" w:color="auto" w:fill="FFFFFF"/>
          </w:tcPr>
          <w:p>
            <w:pPr>
              <w:pStyle w:val="Compact"/>
              <w:jc w:val="left"/>
            </w:pPr>
            <w:r>
              <w:rPr>
                <w:rFonts w:ascii="Calibri" w:hAnsi="Calibri"/>
                <w:sz w:val="18"/>
              </w:rPr>
              <w:t xml:space="preserve">Test-Driven Development</w:t>
            </w:r>
          </w:p>
        </w:tc>
        <w:tc>
          <w:tcPr>
            <w:shd w:val="clear" w:color="auto" w:fill="FFFFFF"/>
          </w:tcPr>
          <w:p>
            <w:pPr>
              <w:pStyle w:val="Compact"/>
              <w:jc w:val="left"/>
            </w:pPr>
            <w:r>
              <w:rPr>
                <w:rFonts w:ascii="Calibri" w:hAnsi="Calibri"/>
                <w:sz w:val="18"/>
              </w:rPr>
              <w:t xml:space="preserve">Desarrollo guiado por pruebas</w:t>
            </w:r>
          </w:p>
        </w:tc>
      </w:tr>
      <w:tr>
        <w:tc>
          <w:tcPr>
            <w:shd w:val="clear" w:color="auto" w:fill="E8E8E8"/>
          </w:tcPr>
          <w:p>
            <w:pPr>
              <w:pStyle w:val="Compact"/>
              <w:jc w:val="left"/>
            </w:pPr>
            <w:r>
              <w:rPr>
                <w:rFonts w:ascii="Calibri" w:hAnsi="Calibri"/>
                <w:sz w:val="18"/>
              </w:rPr>
              <w:t xml:space="preserve">TIR</w:t>
            </w:r>
          </w:p>
        </w:tc>
        <w:tc>
          <w:tcPr>
            <w:shd w:val="clear" w:color="auto" w:fill="E8E8E8"/>
          </w:tcPr>
          <w:p>
            <w:pPr>
              <w:pStyle w:val="Compact"/>
              <w:jc w:val="left"/>
            </w:pPr>
            <w:r>
              <w:rPr>
                <w:rFonts w:ascii="Calibri" w:hAnsi="Calibri"/>
                <w:sz w:val="18"/>
              </w:rPr>
              <w:t xml:space="preserve">—</w:t>
            </w:r>
          </w:p>
        </w:tc>
        <w:tc>
          <w:tcPr>
            <w:shd w:val="clear" w:color="auto" w:fill="E8E8E8"/>
          </w:tcPr>
          <w:p>
            <w:pPr>
              <w:pStyle w:val="Compact"/>
              <w:jc w:val="left"/>
            </w:pPr>
            <w:r>
              <w:rPr>
                <w:rFonts w:ascii="Calibri" w:hAnsi="Calibri"/>
                <w:sz w:val="18"/>
              </w:rPr>
              <w:t xml:space="preserve">Tasa Interna de Retorno (= IRR)</w:t>
            </w:r>
          </w:p>
        </w:tc>
      </w:tr>
      <w:tr>
        <w:tc>
          <w:tcPr>
            <w:shd w:val="clear" w:color="auto" w:fill="FFFFFF"/>
          </w:tcPr>
          <w:p>
            <w:pPr>
              <w:pStyle w:val="Compact"/>
              <w:jc w:val="left"/>
            </w:pPr>
            <w:r>
              <w:rPr>
                <w:rFonts w:ascii="Calibri" w:hAnsi="Calibri"/>
                <w:sz w:val="18"/>
              </w:rPr>
              <w:t xml:space="preserve">TMAR</w:t>
            </w:r>
          </w:p>
        </w:tc>
        <w:tc>
          <w:tcPr>
            <w:shd w:val="clear" w:color="auto" w:fill="FFFFFF"/>
          </w:tcPr>
          <w:p>
            <w:pPr>
              <w:pStyle w:val="Compact"/>
              <w:jc w:val="left"/>
            </w:pPr>
            <w:r>
              <w:rPr>
                <w:rFonts w:ascii="Calibri" w:hAnsi="Calibri"/>
                <w:sz w:val="18"/>
              </w:rPr>
              <w:t xml:space="preserve">—</w:t>
            </w:r>
          </w:p>
        </w:tc>
        <w:tc>
          <w:tcPr>
            <w:shd w:val="clear" w:color="auto" w:fill="FFFFFF"/>
          </w:tcPr>
          <w:p>
            <w:pPr>
              <w:pStyle w:val="Compact"/>
              <w:jc w:val="left"/>
            </w:pPr>
            <w:r>
              <w:rPr>
                <w:rFonts w:ascii="Calibri" w:hAnsi="Calibri"/>
                <w:sz w:val="18"/>
              </w:rPr>
              <w:t xml:space="preserve">Tasa Mínima Aceptable de Retorno (= MARR)</w:t>
            </w:r>
          </w:p>
        </w:tc>
      </w:tr>
      <w:tr>
        <w:tc>
          <w:tcPr>
            <w:shd w:val="clear" w:color="auto" w:fill="E8E8E8"/>
          </w:tcPr>
          <w:p>
            <w:pPr>
              <w:pStyle w:val="Compact"/>
              <w:jc w:val="left"/>
            </w:pPr>
            <w:r>
              <w:rPr>
                <w:rFonts w:ascii="Calibri" w:hAnsi="Calibri"/>
                <w:sz w:val="18"/>
              </w:rPr>
              <w:t xml:space="preserve">VAC</w:t>
            </w:r>
          </w:p>
        </w:tc>
        <w:tc>
          <w:tcPr>
            <w:shd w:val="clear" w:color="auto" w:fill="E8E8E8"/>
          </w:tcPr>
          <w:p>
            <w:pPr>
              <w:pStyle w:val="Compact"/>
              <w:jc w:val="left"/>
            </w:pPr>
            <w:r>
              <w:rPr>
                <w:rFonts w:ascii="Calibri" w:hAnsi="Calibri"/>
                <w:sz w:val="18"/>
              </w:rPr>
              <w:t xml:space="preserve">Variance at Completion</w:t>
            </w:r>
          </w:p>
        </w:tc>
        <w:tc>
          <w:tcPr>
            <w:shd w:val="clear" w:color="auto" w:fill="E8E8E8"/>
          </w:tcPr>
          <w:p>
            <w:pPr>
              <w:pStyle w:val="Compact"/>
              <w:jc w:val="left"/>
            </w:pPr>
            <w:r>
              <w:rPr>
                <w:rFonts w:ascii="Calibri" w:hAnsi="Calibri"/>
                <w:sz w:val="18"/>
              </w:rPr>
              <w:t xml:space="preserve">Varianza al completar (BAC − EAC)</w:t>
            </w:r>
          </w:p>
        </w:tc>
      </w:tr>
      <w:tr>
        <w:tc>
          <w:tcPr>
            <w:shd w:val="clear" w:color="auto" w:fill="FFFFFF"/>
          </w:tcPr>
          <w:p>
            <w:pPr>
              <w:pStyle w:val="Compact"/>
              <w:jc w:val="left"/>
            </w:pPr>
            <w:r>
              <w:rPr>
                <w:rFonts w:ascii="Calibri" w:hAnsi="Calibri"/>
                <w:sz w:val="18"/>
              </w:rPr>
              <w:t xml:space="preserve">VPN</w:t>
            </w:r>
          </w:p>
        </w:tc>
        <w:tc>
          <w:tcPr>
            <w:shd w:val="clear" w:color="auto" w:fill="FFFFFF"/>
          </w:tcPr>
          <w:p>
            <w:pPr>
              <w:pStyle w:val="Compact"/>
              <w:jc w:val="left"/>
            </w:pPr>
            <w:r>
              <w:rPr>
                <w:rFonts w:ascii="Calibri" w:hAnsi="Calibri"/>
                <w:sz w:val="18"/>
              </w:rPr>
              <w:t xml:space="preserve">—</w:t>
            </w:r>
          </w:p>
        </w:tc>
        <w:tc>
          <w:tcPr>
            <w:shd w:val="clear" w:color="auto" w:fill="FFFFFF"/>
          </w:tcPr>
          <w:p>
            <w:pPr>
              <w:pStyle w:val="Compact"/>
              <w:jc w:val="left"/>
            </w:pPr>
            <w:r>
              <w:rPr>
                <w:rFonts w:ascii="Calibri" w:hAnsi="Calibri"/>
                <w:sz w:val="18"/>
              </w:rPr>
              <w:t xml:space="preserve">Valor Presente Neto (= NPV)</w:t>
            </w:r>
          </w:p>
        </w:tc>
      </w:tr>
      <w:tr>
        <w:tc>
          <w:tcPr>
            <w:shd w:val="clear" w:color="auto" w:fill="E8E8E8"/>
          </w:tcPr>
          <w:p>
            <w:pPr>
              <w:pStyle w:val="Compact"/>
              <w:jc w:val="left"/>
            </w:pPr>
            <w:r>
              <w:rPr>
                <w:rFonts w:ascii="Calibri" w:hAnsi="Calibri"/>
                <w:sz w:val="18"/>
              </w:rPr>
              <w:t xml:space="preserve">WBS</w:t>
            </w:r>
          </w:p>
        </w:tc>
        <w:tc>
          <w:tcPr>
            <w:shd w:val="clear" w:color="auto" w:fill="E8E8E8"/>
          </w:tcPr>
          <w:p>
            <w:pPr>
              <w:pStyle w:val="Compact"/>
              <w:jc w:val="left"/>
            </w:pPr>
            <w:r>
              <w:rPr>
                <w:rFonts w:ascii="Calibri" w:hAnsi="Calibri"/>
                <w:sz w:val="18"/>
              </w:rPr>
              <w:t xml:space="preserve">Work Breakdown Structure</w:t>
            </w:r>
          </w:p>
        </w:tc>
        <w:tc>
          <w:tcPr>
            <w:shd w:val="clear" w:color="auto" w:fill="E8E8E8"/>
          </w:tcPr>
          <w:p>
            <w:pPr>
              <w:pStyle w:val="Compact"/>
              <w:jc w:val="left"/>
            </w:pPr>
            <w:r>
              <w:rPr>
                <w:rFonts w:ascii="Calibri" w:hAnsi="Calibri"/>
                <w:sz w:val="18"/>
              </w:rPr>
              <w:t xml:space="preserve">Estructura de desglose del trabajo (= EDT)</w:t>
            </w:r>
          </w:p>
        </w:tc>
      </w:tr>
      <w:tr>
        <w:tc>
          <w:tcPr>
            <w:shd w:val="clear" w:color="auto" w:fill="FFFFFF"/>
          </w:tcPr>
          <w:p>
            <w:pPr>
              <w:pStyle w:val="Compact"/>
              <w:jc w:val="left"/>
            </w:pPr>
            <w:r>
              <w:rPr>
                <w:rFonts w:ascii="Calibri" w:hAnsi="Calibri"/>
                <w:sz w:val="18"/>
              </w:rPr>
              <w:t xml:space="preserve">WIP</w:t>
            </w:r>
          </w:p>
        </w:tc>
        <w:tc>
          <w:tcPr>
            <w:shd w:val="clear" w:color="auto" w:fill="FFFFFF"/>
          </w:tcPr>
          <w:p>
            <w:pPr>
              <w:pStyle w:val="Compact"/>
              <w:jc w:val="left"/>
            </w:pPr>
            <w:r>
              <w:rPr>
                <w:rFonts w:ascii="Calibri" w:hAnsi="Calibri"/>
                <w:sz w:val="18"/>
              </w:rPr>
              <w:t xml:space="preserve">Work In Progress</w:t>
            </w:r>
          </w:p>
        </w:tc>
        <w:tc>
          <w:tcPr>
            <w:shd w:val="clear" w:color="auto" w:fill="FFFFFF"/>
          </w:tcPr>
          <w:p>
            <w:pPr>
              <w:pStyle w:val="Compact"/>
              <w:jc w:val="left"/>
            </w:pPr>
            <w:r>
              <w:rPr>
                <w:rFonts w:ascii="Calibri" w:hAnsi="Calibri"/>
                <w:sz w:val="18"/>
              </w:rPr>
              <w:t xml:space="preserve">Trabajo en proceso</w:t>
            </w:r>
          </w:p>
        </w:tc>
      </w:tr>
      <w:tr>
        <w:tc>
          <w:tcPr>
            <w:shd w:val="clear" w:color="auto" w:fill="E8E8E8"/>
          </w:tcPr>
          <w:p>
            <w:pPr>
              <w:pStyle w:val="Compact"/>
              <w:jc w:val="left"/>
            </w:pPr>
            <w:r>
              <w:rPr>
                <w:rFonts w:ascii="Calibri" w:hAnsi="Calibri"/>
                <w:sz w:val="18"/>
              </w:rPr>
              <w:t xml:space="preserve">XP</w:t>
            </w:r>
          </w:p>
        </w:tc>
        <w:tc>
          <w:tcPr>
            <w:shd w:val="clear" w:color="auto" w:fill="E8E8E8"/>
          </w:tcPr>
          <w:p>
            <w:pPr>
              <w:pStyle w:val="Compact"/>
              <w:jc w:val="left"/>
            </w:pPr>
            <w:r>
              <w:rPr>
                <w:rFonts w:ascii="Calibri" w:hAnsi="Calibri"/>
                <w:sz w:val="18"/>
              </w:rPr>
              <w:t xml:space="preserve">Extreme Programming</w:t>
            </w:r>
          </w:p>
        </w:tc>
        <w:tc>
          <w:tcPr>
            <w:shd w:val="clear" w:color="auto" w:fill="E8E8E8"/>
          </w:tcPr>
          <w:p>
            <w:pPr>
              <w:pStyle w:val="Compact"/>
              <w:jc w:val="left"/>
            </w:pPr>
            <w:r>
              <w:rPr>
                <w:rFonts w:ascii="Calibri" w:hAnsi="Calibri"/>
                <w:sz w:val="18"/>
              </w:rPr>
              <w:t xml:space="preserve">Programación extrema</w:t>
            </w:r>
          </w:p>
        </w:tc>
      </w:tr>
      <w:tr>
        <w:tc>
          <w:tcPr>
            <w:shd w:val="clear" w:color="auto" w:fill="FFFFFF"/>
          </w:tcPr>
          <w:p>
            <w:pPr>
              <w:pStyle w:val="Compact"/>
              <w:jc w:val="left"/>
            </w:pPr>
            <w:r>
              <w:rPr>
                <w:rFonts w:ascii="Calibri" w:hAnsi="Calibri"/>
                <w:sz w:val="18"/>
              </w:rPr>
              <w:t xml:space="preserve">YAGNI</w:t>
            </w:r>
          </w:p>
        </w:tc>
        <w:tc>
          <w:tcPr>
            <w:shd w:val="clear" w:color="auto" w:fill="FFFFFF"/>
          </w:tcPr>
          <w:p>
            <w:pPr>
              <w:pStyle w:val="Compact"/>
              <w:jc w:val="left"/>
            </w:pPr>
            <w:r>
              <w:rPr>
                <w:rFonts w:ascii="Calibri" w:hAnsi="Calibri"/>
                <w:sz w:val="18"/>
              </w:rPr>
              <w:t xml:space="preserve">You Aren’t Gonna Need It</w:t>
            </w:r>
          </w:p>
        </w:tc>
        <w:tc>
          <w:tcPr>
            <w:shd w:val="clear" w:color="auto" w:fill="FFFFFF"/>
          </w:tcPr>
          <w:p>
            <w:pPr>
              <w:pStyle w:val="Compact"/>
              <w:jc w:val="left"/>
            </w:pPr>
            <w:r>
              <w:rPr>
                <w:rFonts w:ascii="Calibri" w:hAnsi="Calibri"/>
                <w:sz w:val="18"/>
              </w:rPr>
              <w:t xml:space="preserve">No lo vas a necesitar (principio de Simple Design)</w:t>
            </w:r>
          </w:p>
        </w:tc>
      </w:tr>
    </w:tbl>
    <w:p>
      <w:pPr>
        <w:pStyle w:val="Heading2"/>
      </w:pPr>
      <w:bookmarkStart w:id="82" w:name="Xfae9f6a2a9d6b833366eb62ba44ac9b0a81af3a"/>
      <w:r>
        <w:t xml:space="preserve">Fórmulas que debes poder escribir en pizarra</w:t>
      </w:r>
      <w:bookmarkEnd w:id="82"/>
    </w:p>
    <w:p>
      <w:pPr>
        <w:pStyle w:val="Heading3"/>
      </w:pPr>
      <w:bookmarkStart w:id="83" w:name="costos"/>
      <w:r>
        <w:t xml:space="preserve">Costos</w:t>
      </w:r>
      <w:bookmarkEnd w:id="83"/>
    </w:p>
    <w:p>
      <w:pPr>
        <w:numPr>
          <w:ilvl w:val="0"/>
          <w:numId w:val="1042"/>
        </w:numPr>
        <w:pStyle w:val="Compact"/>
      </w:pPr>
      <w:r>
        <w:t xml:space="preserve">Burn rate = Σ (salario × FTE)</w:t>
      </w:r>
    </w:p>
    <w:p>
      <w:pPr>
        <w:numPr>
          <w:ilvl w:val="0"/>
          <w:numId w:val="1042"/>
        </w:numPr>
        <w:pStyle w:val="Compact"/>
      </w:pPr>
      <w:r>
        <w:t xml:space="preserve">Costo por sprint = burn rate × (SPRINT_DAYS / MONTH_DAYS) = burn rate × (10/20)</w:t>
      </w:r>
    </w:p>
    <w:p>
      <w:pPr>
        <w:numPr>
          <w:ilvl w:val="0"/>
          <w:numId w:val="1042"/>
        </w:numPr>
        <w:pStyle w:val="Compact"/>
      </w:pPr>
      <w:r>
        <w:t xml:space="preserve">Sprints necesarios = CEILING(121 SP / velocidad 20 SP) = 7</w:t>
      </w:r>
    </w:p>
    <w:p>
      <w:pPr>
        <w:numPr>
          <w:ilvl w:val="0"/>
          <w:numId w:val="1042"/>
        </w:numPr>
        <w:pStyle w:val="Compact"/>
      </w:pPr>
      <w:r>
        <w:t xml:space="preserve">Sprints con buffer XP (10%) = CEILING(7 × 1.10) = 8</w:t>
      </w:r>
    </w:p>
    <w:p>
      <w:pPr>
        <w:numPr>
          <w:ilvl w:val="0"/>
          <w:numId w:val="1042"/>
        </w:numPr>
        <w:pStyle w:val="Compact"/>
      </w:pPr>
      <w:r>
        <w:t xml:space="preserve">Sprints con buffer estándar (25%) = CEILING(7 × 1.25) = 9</w:t>
      </w:r>
    </w:p>
    <w:p>
      <w:pPr>
        <w:numPr>
          <w:ilvl w:val="0"/>
          <w:numId w:val="1042"/>
        </w:numPr>
        <w:pStyle w:val="Compact"/>
      </w:pPr>
      <w:r>
        <w:t xml:space="preserve">Costo equipo (con buffer) = costo por sprint × sprints con buffer</w:t>
      </w:r>
    </w:p>
    <w:p>
      <w:pPr>
        <w:numPr>
          <w:ilvl w:val="0"/>
          <w:numId w:val="1042"/>
        </w:numPr>
        <w:pStyle w:val="Compact"/>
      </w:pPr>
      <w:r>
        <w:t xml:space="preserve">Inversión = costo equipo + costos adicionales + reserva de contingencia</w:t>
      </w:r>
    </w:p>
    <w:p>
      <w:pPr>
        <w:numPr>
          <w:ilvl w:val="0"/>
          <w:numId w:val="1042"/>
        </w:numPr>
        <w:pStyle w:val="Compact"/>
      </w:pPr>
      <w:r>
        <w:t xml:space="preserve">Precio exacto = inversión / (1 − margen) = inversión / 0.65</w:t>
      </w:r>
    </w:p>
    <w:p>
      <w:pPr>
        <w:numPr>
          <w:ilvl w:val="0"/>
          <w:numId w:val="1042"/>
        </w:numPr>
        <w:pStyle w:val="Compact"/>
      </w:pPr>
      <w:r>
        <w:t xml:space="preserve">Precio redondeado = CEILING(precio exacto / 1000) × 1000</w:t>
      </w:r>
    </w:p>
    <w:p>
      <w:pPr>
        <w:numPr>
          <w:ilvl w:val="0"/>
          <w:numId w:val="1042"/>
        </w:numPr>
        <w:pStyle w:val="Compact"/>
      </w:pPr>
      <w:r>
        <w:t xml:space="preserve">Beneficio neto = precio redondeado − inversión</w:t>
      </w:r>
    </w:p>
    <w:p>
      <w:pPr>
        <w:numPr>
          <w:ilvl w:val="0"/>
          <w:numId w:val="1042"/>
        </w:numPr>
        <w:pStyle w:val="Compact"/>
      </w:pPr>
      <w:r>
        <w:t xml:space="preserve">Margen efectivo = (precio − inversión) / precio</w:t>
      </w:r>
    </w:p>
    <w:p>
      <w:pPr>
        <w:numPr>
          <w:ilvl w:val="0"/>
          <w:numId w:val="1042"/>
        </w:numPr>
        <w:pStyle w:val="Compact"/>
      </w:pPr>
      <w:r>
        <w:t xml:space="preserve">Porcentaje de reserva = reserva / precio × 100</w:t>
      </w:r>
    </w:p>
    <w:p>
      <w:pPr>
        <w:pStyle w:val="Heading3"/>
      </w:pPr>
      <w:bookmarkStart w:id="84" w:name="rentabilidad"/>
      <w:r>
        <w:t xml:space="preserve">Rentabilidad</w:t>
      </w:r>
      <w:bookmarkEnd w:id="84"/>
    </w:p>
    <w:p>
      <w:pPr>
        <w:numPr>
          <w:ilvl w:val="0"/>
          <w:numId w:val="1043"/>
        </w:numPr>
        <w:pStyle w:val="Compact"/>
      </w:pPr>
      <w:r>
        <w:t xml:space="preserve">ROI = (beneficio neto / inversión) × 100</w:t>
      </w:r>
    </w:p>
    <w:p>
      <w:pPr>
        <w:numPr>
          <w:ilvl w:val="0"/>
          <w:numId w:val="1043"/>
        </w:numPr>
        <w:pStyle w:val="Compact"/>
      </w:pPr>
      <w:r>
        <w:t xml:space="preserve">ROA = beneficio neto / activos totales</w:t>
      </w:r>
    </w:p>
    <w:p>
      <w:pPr>
        <w:numPr>
          <w:ilvl w:val="0"/>
          <w:numId w:val="1043"/>
        </w:numPr>
        <w:pStyle w:val="Compact"/>
      </w:pPr>
      <w:r>
        <w:t xml:space="preserve">TMAR = inflación + prima de riesgo + rendimiento esperado = 5% + 10% + 20% = 35%</w:t>
      </w:r>
    </w:p>
    <w:p>
      <w:pPr>
        <w:numPr>
          <w:ilvl w:val="0"/>
          <w:numId w:val="1043"/>
        </w:numPr>
        <w:pStyle w:val="Compact"/>
      </w:pPr>
      <w:r>
        <w:t xml:space="preserve">ROI adverso = (beneficio − reserva) / (inversión + reserva)</w:t>
      </w:r>
    </w:p>
    <w:p>
      <w:pPr>
        <w:numPr>
          <w:ilvl w:val="0"/>
          <w:numId w:val="1043"/>
        </w:numPr>
        <w:pStyle w:val="Compact"/>
      </w:pPr>
      <w:r>
        <w:t xml:space="preserve">Payback = inversión / flujo de caja mensual</w:t>
      </w:r>
    </w:p>
    <w:p>
      <w:pPr>
        <w:numPr>
          <w:ilvl w:val="0"/>
          <w:numId w:val="1043"/>
        </w:numPr>
        <w:pStyle w:val="Compact"/>
      </w:pPr>
      <w:r>
        <w:t xml:space="preserve">Validación: ROI &gt; TMAR → proyecto viable</w:t>
      </w:r>
    </w:p>
    <w:p>
      <w:pPr>
        <w:pStyle w:val="Heading3"/>
      </w:pPr>
      <w:bookmarkStart w:id="85" w:name="riesgos"/>
      <w:r>
        <w:t xml:space="preserve">Riesgos</w:t>
      </w:r>
      <w:bookmarkEnd w:id="85"/>
    </w:p>
    <w:p>
      <w:pPr>
        <w:numPr>
          <w:ilvl w:val="0"/>
          <w:numId w:val="1044"/>
        </w:numPr>
        <w:pStyle w:val="Compact"/>
      </w:pPr>
      <w:r>
        <w:t xml:space="preserve">EMV de un riesgo = probabilidad × impacto económico</w:t>
      </w:r>
    </w:p>
    <w:p>
      <w:pPr>
        <w:numPr>
          <w:ilvl w:val="0"/>
          <w:numId w:val="1044"/>
        </w:numPr>
        <w:pStyle w:val="Compact"/>
      </w:pPr>
      <w:r>
        <w:t xml:space="preserve">Impacto económico = burn rate mensual × tiempo (meses)</w:t>
      </w:r>
    </w:p>
    <w:p>
      <w:pPr>
        <w:numPr>
          <w:ilvl w:val="0"/>
          <w:numId w:val="1044"/>
        </w:numPr>
        <w:pStyle w:val="Compact"/>
      </w:pPr>
      <w:r>
        <w:t xml:space="preserve">Reserva de contingencia = Σ EMV (R1 a R9)</w:t>
      </w:r>
    </w:p>
    <w:p>
      <w:pPr>
        <w:pStyle w:val="Heading3"/>
      </w:pPr>
      <w:bookmarkStart w:id="86" w:name="evm"/>
      <w:r>
        <w:t xml:space="preserve">EVM</w:t>
      </w:r>
      <w:bookmarkEnd w:id="86"/>
    </w:p>
    <w:p>
      <w:pPr>
        <w:numPr>
          <w:ilvl w:val="0"/>
          <w:numId w:val="1045"/>
        </w:numPr>
        <w:pStyle w:val="Compact"/>
      </w:pPr>
      <w:r>
        <w:t xml:space="preserve">PV = (SP planificados acumulados / 121) × BAC</w:t>
      </w:r>
    </w:p>
    <w:p>
      <w:pPr>
        <w:numPr>
          <w:ilvl w:val="0"/>
          <w:numId w:val="1045"/>
        </w:numPr>
        <w:pStyle w:val="Compact"/>
      </w:pPr>
      <w:r>
        <w:t xml:space="preserve">EV = (SP completados acumulados / 121) × BAC</w:t>
      </w:r>
    </w:p>
    <w:p>
      <w:pPr>
        <w:numPr>
          <w:ilvl w:val="0"/>
          <w:numId w:val="1045"/>
        </w:numPr>
        <w:pStyle w:val="Compact"/>
      </w:pPr>
      <w:r>
        <w:t xml:space="preserve">CV = EV − AC</w:t>
      </w:r>
    </w:p>
    <w:p>
      <w:pPr>
        <w:numPr>
          <w:ilvl w:val="0"/>
          <w:numId w:val="1045"/>
        </w:numPr>
        <w:pStyle w:val="Compact"/>
      </w:pPr>
      <w:r>
        <w:t xml:space="preserve">SV = EV − PV</w:t>
      </w:r>
    </w:p>
    <w:p>
      <w:pPr>
        <w:numPr>
          <w:ilvl w:val="0"/>
          <w:numId w:val="1045"/>
        </w:numPr>
        <w:pStyle w:val="Compact"/>
      </w:pPr>
      <w:r>
        <w:t xml:space="preserve">CPI = EV / AC</w:t>
      </w:r>
    </w:p>
    <w:p>
      <w:pPr>
        <w:numPr>
          <w:ilvl w:val="0"/>
          <w:numId w:val="1045"/>
        </w:numPr>
        <w:pStyle w:val="Compact"/>
      </w:pPr>
      <w:r>
        <w:t xml:space="preserve">SPI = EV / PV</w:t>
      </w:r>
    </w:p>
    <w:p>
      <w:pPr>
        <w:numPr>
          <w:ilvl w:val="0"/>
          <w:numId w:val="1045"/>
        </w:numPr>
        <w:pStyle w:val="Compact"/>
      </w:pPr>
      <w:r>
        <w:t xml:space="preserve">EAC = BAC / CPI</w:t>
      </w:r>
    </w:p>
    <w:p>
      <w:pPr>
        <w:numPr>
          <w:ilvl w:val="0"/>
          <w:numId w:val="1045"/>
        </w:numPr>
        <w:pStyle w:val="Compact"/>
      </w:pPr>
      <w:r>
        <w:t xml:space="preserve">ETC = EAC − AC</w:t>
      </w:r>
    </w:p>
    <w:p>
      <w:pPr>
        <w:numPr>
          <w:ilvl w:val="0"/>
          <w:numId w:val="1045"/>
        </w:numPr>
        <w:pStyle w:val="Compact"/>
      </w:pPr>
      <w:r>
        <w:t xml:space="preserve">VAC = BAC − EAC</w:t>
      </w:r>
    </w:p>
    <w:p>
      <w:pPr>
        <w:pStyle w:val="Heading3"/>
      </w:pPr>
      <w:bookmarkStart w:id="87" w:name="kanban-ley-de-little"/>
      <w:r>
        <w:t xml:space="preserve">Kanban (Ley de Little)</w:t>
      </w:r>
      <w:bookmarkEnd w:id="87"/>
    </w:p>
    <w:p>
      <w:pPr>
        <w:numPr>
          <w:ilvl w:val="0"/>
          <w:numId w:val="1046"/>
        </w:numPr>
        <w:pStyle w:val="Compact"/>
      </w:pPr>
      <w:r>
        <w:t xml:space="preserve">Lead Time = WIP / Throughput</w:t>
      </w:r>
    </w:p>
    <w:p>
      <w:pPr>
        <w:numPr>
          <w:ilvl w:val="0"/>
          <w:numId w:val="1046"/>
        </w:numPr>
        <w:pStyle w:val="Compact"/>
      </w:pPr>
      <w:r>
        <w:t xml:space="preserve">5.13 días = 4 / 0.78</w:t>
      </w:r>
    </w:p>
    <w:p>
      <w:pPr>
        <w:pStyle w:val="Heading2"/>
      </w:pPr>
      <w:bookmarkStart w:id="88" w:name="banco-de-preguntas-anticipadas"/>
      <w:r>
        <w:t xml:space="preserve">Banco de preguntas anticipadas</w:t>
      </w:r>
      <w:bookmarkEnd w:id="88"/>
    </w:p>
    <w:p>
      <w:pPr>
        <w:pStyle w:val="Heading3"/>
      </w:pPr>
      <w:bookmarkStart w:id="89" w:name="por-qué-eligieron-scrumban-xp"/>
      <w:r>
        <w:t xml:space="preserve">¿Por qué eligieron Scrumban + XP?</w:t>
      </w:r>
      <w:bookmarkEnd w:id="89"/>
    </w:p>
    <w:p>
      <w:pPr>
        <w:pStyle w:val="FirstParagraph"/>
      </w:pPr>
      <w:r>
        <w:t xml:space="preserve">Porque combina lo mejor de las tres familias: la cadencia y compromiso iterativo de Scrum, la visibilidad del flujo y los límites WIP de Kanban, y la disciplina técnica de XP (TDD, CI, Pair Programming). Además, el buffer se reduce de 25% a 10% gracias a las prácticas XP, lo que baja el precio de Q 820,000 a Q 814,000.</w:t>
      </w:r>
    </w:p>
    <w:p>
      <w:pPr>
        <w:pStyle w:val="Heading3"/>
      </w:pPr>
      <w:bookmarkStart w:id="90" w:name="Xf7a9d4f4d481010bcefacc723561404c8955fcb"/>
      <w:r>
        <w:t xml:space="preserve">¿Por qué el sprint dura 14 días si dicen 10 días hábiles?</w:t>
      </w:r>
      <w:bookmarkEnd w:id="90"/>
    </w:p>
    <w:p>
      <w:pPr>
        <w:pStyle w:val="FirstParagraph"/>
      </w:pPr>
      <w:r>
        <w:t xml:space="preserve">Un sprint cubre 2 semanas calendario = 14 días. De esos, sólo 10 son hábiles (lunes a viernes); los 4 restantes son fin de semana y no se trabajan. Ambas cifras describen el mismo sprint.</w:t>
      </w:r>
    </w:p>
    <w:p>
      <w:pPr>
        <w:pStyle w:val="Heading3"/>
      </w:pPr>
      <w:bookmarkStart w:id="91" w:name="Xc6160740037bc011bfd555cd2c9c17a2041f723"/>
      <w:r>
        <w:t xml:space="preserve">¿Por qué el MVP entrega el 22 de abril y no exactamente</w:t>
      </w:r>
      <w:r>
        <w:t xml:space="preserve"> </w:t>
      </w:r>
      <w:r>
        <w:t xml:space="preserve">“</w:t>
      </w:r>
      <w:r>
        <w:t xml:space="preserve">4 meses</w:t>
      </w:r>
      <w:r>
        <w:t xml:space="preserve">”</w:t>
      </w:r>
      <w:r>
        <w:t xml:space="preserve">?</w:t>
      </w:r>
      <w:bookmarkEnd w:id="91"/>
    </w:p>
    <w:p>
      <w:pPr>
        <w:pStyle w:val="FirstParagraph"/>
      </w:pPr>
      <w:r>
        <w:t xml:space="preserve">8 sprints × 14 días calendario = 112 días desde el 1 de enero → 22 abril 2027. La frase</w:t>
      </w:r>
      <w:r>
        <w:t xml:space="preserve"> </w:t>
      </w:r>
      <w:r>
        <w:t xml:space="preserve">“</w:t>
      </w:r>
      <w:r>
        <w:t xml:space="preserve">~4 meses</w:t>
      </w:r>
      <w:r>
        <w:t xml:space="preserve">”</w:t>
      </w:r>
      <w:r>
        <w:t xml:space="preserve"> </w:t>
      </w:r>
      <w:r>
        <w:t xml:space="preserve">es una aproximación; en exacto son ~3.7 meses calendario.</w:t>
      </w:r>
    </w:p>
    <w:p>
      <w:pPr>
        <w:pStyle w:val="Heading3"/>
      </w:pPr>
      <w:bookmarkStart w:id="92" w:name="X162c2e1c10f5920d08eb61c6ff53942b565b066"/>
      <w:r>
        <w:t xml:space="preserve">¿Por qué la reserva es Q 133,769.80 y no la del Excel base?</w:t>
      </w:r>
      <w:bookmarkEnd w:id="92"/>
    </w:p>
    <w:p>
      <w:pPr>
        <w:pStyle w:val="FirstParagraph"/>
      </w:pPr>
      <w:r>
        <w:t xml:space="preserve">Porque XP + Scrumban usa un equipo de 6 personas con burn rate Q 72,308, distinto al equipo estándar de 5 personas (Q 67,212). El impacto económico de los riesgos se calcula como burn rate × meses; al cambiar el burn rate cambia la reserva. Para las otras metodologías (5 personas) la reserva sigue siendo Q 124,342.20.</w:t>
      </w:r>
    </w:p>
    <w:p>
      <w:pPr>
        <w:pStyle w:val="Heading3"/>
      </w:pPr>
      <w:bookmarkStart w:id="93" w:name="X0ac1bc83c37de6a32e894077f8bb4e7e6717ee1"/>
      <w:r>
        <w:t xml:space="preserve">¿Por qué el ROI es el mismo (53.85%) en las cuatro metodologías?</w:t>
      </w:r>
      <w:bookmarkEnd w:id="93"/>
    </w:p>
    <w:p>
      <w:pPr>
        <w:pStyle w:val="FirstParagraph"/>
      </w:pPr>
      <w:r>
        <w:t xml:space="preserve">Porque el margen está fijado en 35% sobre inversión, y el redondeo CEILING al millar superior preserva ese margen casi intacto. Sólo XP + Scrumban llega a 53.91% por el efecto del redondeo sobre una inversión ligeramente distinta.</w:t>
      </w:r>
    </w:p>
    <w:p>
      <w:pPr>
        <w:pStyle w:val="Heading3"/>
      </w:pPr>
      <w:bookmarkStart w:id="94" w:name="Xc4e9552fc79a36c884318e2e3448ee3a8ca2665"/>
      <w:r>
        <w:t xml:space="preserve">¿Qué pasa si CPI o SPI caen por debajo de 0.90?</w:t>
      </w:r>
      <w:bookmarkEnd w:id="94"/>
    </w:p>
    <w:p>
      <w:pPr>
        <w:pStyle w:val="FirstParagraph"/>
      </w:pPr>
      <w:r>
        <w:t xml:space="preserve">Dos sprints consecutivos por debajo de 0.90 disparan la regla de escalamiento al Sponsor por canal C1, con análisis de causa y posible activación parcial de la reserva.</w:t>
      </w:r>
    </w:p>
    <w:p>
      <w:pPr>
        <w:pStyle w:val="Heading3"/>
      </w:pPr>
      <w:bookmarkStart w:id="95" w:name="por-qué-no-aplica-safe"/>
      <w:r>
        <w:t xml:space="preserve">¿Por qué no aplica SAFe?</w:t>
      </w:r>
      <w:bookmarkEnd w:id="95"/>
    </w:p>
    <w:p>
      <w:pPr>
        <w:pStyle w:val="FirstParagraph"/>
      </w:pPr>
      <w:r>
        <w:t xml:space="preserve">SAFe está diseñado para 3+ ARTs (Agile Release Trains). Este proyecto tiene un solo equipo de 6 personas. Aplicar SAFe sería sobredimensionamiento.</w:t>
      </w:r>
    </w:p>
    <w:p>
      <w:pPr>
        <w:pStyle w:val="Heading3"/>
      </w:pPr>
      <w:bookmarkStart w:id="96" w:name="qué-diferencia-hay-entre-qa-y-qc"/>
      <w:r>
        <w:t xml:space="preserve">¿Qué diferencia hay entre QA y QC?</w:t>
      </w:r>
      <w:bookmarkEnd w:id="96"/>
    </w:p>
    <w:p>
      <w:pPr>
        <w:pStyle w:val="FirstParagraph"/>
      </w:pPr>
      <w:r>
        <w:t xml:space="preserve">QA (Quality Assurance) es proactivo: define los procesos de calidad (DoR, DoD, criterios de aceptación). QC (Quality Control) es reactivo: verifica los entregables contra los estándares.</w:t>
      </w:r>
    </w:p>
    <w:p>
      <w:pPr>
        <w:pStyle w:val="Heading3"/>
      </w:pPr>
      <w:bookmarkStart w:id="97" w:name="qué-entra-y-qué-no-por-rom"/>
      <w:r>
        <w:t xml:space="preserve">¿Qué entra y qué no por ROM?</w:t>
      </w:r>
      <w:bookmarkEnd w:id="97"/>
    </w:p>
    <w:p>
      <w:pPr>
        <w:pStyle w:val="FirstParagraph"/>
      </w:pPr>
      <w:r>
        <w:t xml:space="preserve">Entra: defectos, ajustes técnicos, clarificaciones que requieren trabajo. No entra: expansión de alcance, nuevas épicas/historias (esos van por CR formal al CCB).</w:t>
      </w:r>
    </w:p>
    <w:p>
      <w:pPr>
        <w:pStyle w:val="Heading3"/>
      </w:pPr>
      <w:bookmarkStart w:id="98" w:name="X038631d7cd0e76794fea456f4622d482ef46677"/>
      <w:r>
        <w:t xml:space="preserve">¿Cómo se transfiere el riesgo R6 (proveedor cloud)?</w:t>
      </w:r>
      <w:bookmarkEnd w:id="98"/>
    </w:p>
    <w:p>
      <w:pPr>
        <w:pStyle w:val="FirstParagraph"/>
      </w:pPr>
      <w:r>
        <w:t xml:space="preserve">Mediante un SLA contractual con uptime ≥99.9%, RTO ≤4 horas para incidencias críticas y créditos de servicio por incumplimiento. Sin SLA es riesgo interno; con SLA es riesgo gestionado por el tercero.</w:t>
      </w:r>
    </w:p>
    <w:p>
      <w:pPr>
        <w:pStyle w:val="Heading3"/>
      </w:pPr>
      <w:bookmarkStart w:id="99" w:name="X1c0ad50b699ae51b600f1aa9c43753c399312ac"/>
      <w:r>
        <w:t xml:space="preserve">¿Qué pasa si el cliente abusa del canal ROM?</w:t>
      </w:r>
      <w:bookmarkEnd w:id="99"/>
    </w:p>
    <w:p>
      <w:pPr>
        <w:pStyle w:val="FirstParagraph"/>
      </w:pPr>
      <w:r>
        <w:t xml:space="preserve">El SLA cobra Q 3,000 por solicitud fuera del umbral del 20%. Y si la solicitud excede 5 SP o afecta hitos macro, va por CR formal al CCB Ampliado (PO + SM + Sponsor).</w:t>
      </w:r>
    </w:p>
    <w:p>
      <w:pPr>
        <w:pStyle w:val="Heading2"/>
      </w:pPr>
      <w:bookmarkStart w:id="100" w:name="Xa7464e41e31dd61fce24111835125fb1ba244e8"/>
      <w:r>
        <w:t xml:space="preserve">Banco extendido de preguntas (jurado / catedrático)</w:t>
      </w:r>
      <w:bookmarkEnd w:id="100"/>
    </w:p>
    <w:p>
      <w:pPr>
        <w:pStyle w:val="Heading3"/>
      </w:pPr>
      <w:bookmarkStart w:id="101" w:name="X32451feec9f8b704bf5b83d7576579eb61cf51a"/>
      <w:r>
        <w:t xml:space="preserve">Bloque A — Preguntas sobre la metodología y los marcos</w:t>
      </w:r>
      <w:bookmarkEnd w:id="101"/>
    </w:p>
    <w:p>
      <w:pPr>
        <w:pStyle w:val="Heading4"/>
      </w:pPr>
      <w:bookmarkStart w:id="102" w:name="Xe1d81e156e86966e2f6752abc325fb116ac3348"/>
      <w:r>
        <w:t xml:space="preserve">A1. ¿Qué es Water-Scrum-Fall y por qué lo aplican?</w:t>
      </w:r>
      <w:bookmarkEnd w:id="102"/>
    </w:p>
    <w:p>
      <w:pPr>
        <w:pStyle w:val="FirstParagraph"/>
      </w:pPr>
      <w:r>
        <w:t xml:space="preserve">Es un modelo macro híbrido en tres fases: una fase inicial tipo cascada (PMI / planificación documental con Charter, WBS, plan de riesgos, comunicaciones, EVM y adquisiciones), una fase central ágil (8 sprints Scrumban + XP) y una fase final tipo cascada (cierre formal, reporte EVM, lecciones aprendidas, Acta de Cierre H8). Lo aplicamos porque el cliente UVG es institucional y exige un contrato cerrado con alcance, fecha y precio fijos al inicio (cascada), pero internamente el desarrollo necesita iteraciones cortas y absorción de cambios (ágil). Water-Scrum-Fall reconcilia ambas presiones.</w:t>
      </w:r>
    </w:p>
    <w:p>
      <w:pPr>
        <w:pStyle w:val="Heading4"/>
      </w:pPr>
      <w:bookmarkStart w:id="103" w:name="X668e55170ff4ea8bffb568b80eff6b9d5a0e998"/>
      <w:r>
        <w:t xml:space="preserve">A2. ¿Qué pasa si se escala a Scrum de Scrums (como vimos en clase)?</w:t>
      </w:r>
      <w:bookmarkEnd w:id="103"/>
    </w:p>
    <w:p>
      <w:pPr>
        <w:pStyle w:val="FirstParagraph"/>
      </w:pPr>
      <w:r>
        <w:t xml:space="preserve">Scrum de Scrums es una técnica de escalamiento para múltiples equipos Scrum trabajando sobre el mismo producto: cada equipo envía un representante a un Daily de coordinación entre equipos. En nuestro proyecto no aplica porque tenemos un solo equipo de 6 personas. Si la UVG quisiera escalar el producto a varios módulos paralelos (Campus Central + Altiplano + Sur, por ejemplo), entonces se justificaría un segundo equipo y un Scrum de Scrums. A partir de 3+ equipos coordinados sí entraría SAFe con Agile Release Trains.</w:t>
      </w:r>
    </w:p>
    <w:p>
      <w:pPr>
        <w:pStyle w:val="Heading4"/>
      </w:pPr>
      <w:bookmarkStart w:id="104" w:name="a3.-por-qué-no-usaron-safe"/>
      <w:r>
        <w:t xml:space="preserve">A3. ¿Por qué no usaron SAFe?</w:t>
      </w:r>
      <w:bookmarkEnd w:id="104"/>
    </w:p>
    <w:p>
      <w:pPr>
        <w:pStyle w:val="FirstParagraph"/>
      </w:pPr>
      <w:r>
        <w:t xml:space="preserve">SAFe (Scaled Agile Framework) está diseñado para 3 o más ARTs (Agile Release Trains), típicamente 50–125 personas. Nuestro equipo es de 6 personas con roles fijos. Aplicar SAFe sería sobredimensionamiento metodológico: agregaría ceremonias (PI Planning, System Demo, Inspect &amp; Adapt) sin valor proporcional.</w:t>
      </w:r>
    </w:p>
    <w:p>
      <w:pPr>
        <w:pStyle w:val="Heading4"/>
      </w:pPr>
      <w:bookmarkStart w:id="105" w:name="X94e4013b9e3afcb0a5e3577b42254820c8fb990"/>
      <w:r>
        <w:t xml:space="preserve">A4. ¿Scrumban no es simplemente Scrum con tablero Kanban?</w:t>
      </w:r>
      <w:bookmarkEnd w:id="105"/>
    </w:p>
    <w:p>
      <w:pPr>
        <w:pStyle w:val="FirstParagraph"/>
      </w:pPr>
      <w:r>
        <w:t xml:space="preserve">No, y ese es el principal anti-patrón. Scrumban es un híbrido genuino: Scrum aporta cadencia y ceremonias, Kanban aporta límites WIP, métricas de flujo (cycle time, throughput, Ley de Little) y visualización del flujo. Si pones un tablero pero ignoras los límites WIP o no mides cycle time, no estás haciendo Scrumban, estás haciendo Scrum con cosmético visual.</w:t>
      </w:r>
    </w:p>
    <w:p>
      <w:pPr>
        <w:pStyle w:val="Heading4"/>
      </w:pPr>
      <w:bookmarkStart w:id="106" w:name="X891a3f904b3b624e9b4dcf075a22da4359022db"/>
      <w:r>
        <w:t xml:space="preserve">A5. ¿Por qué XP encima de Scrumban y no XP solo?</w:t>
      </w:r>
      <w:bookmarkEnd w:id="106"/>
    </w:p>
    <w:p>
      <w:pPr>
        <w:pStyle w:val="FirstParagraph"/>
      </w:pPr>
      <w:r>
        <w:t xml:space="preserve">XP por sí solo no prescribe la gestión de proyecto (planificación, comunicaciones, reportes). XP gestiona la técnica (cómo se escribe el código). Scrumban gestiona el proceso (cómo fluye el trabajo). Frase del docente:</w:t>
      </w:r>
      <w:r>
        <w:t xml:space="preserve"> </w:t>
      </w:r>
      <w:r>
        <w:t xml:space="preserve">“</w:t>
      </w:r>
      <w:r>
        <w:t xml:space="preserve">Scrum gestiona el proceso, XP gestiona la técnica</w:t>
      </w:r>
      <w:r>
        <w:t xml:space="preserve">”</w:t>
      </w:r>
      <w:r>
        <w:t xml:space="preserve">. Son capas complementarias.</w:t>
      </w:r>
    </w:p>
    <w:p>
      <w:pPr>
        <w:pStyle w:val="Heading4"/>
      </w:pPr>
      <w:bookmarkStart w:id="107" w:name="a6.-qué-es-pmbok"/>
      <w:r>
        <w:t xml:space="preserve">A6. ¿Qué es PMBOK?</w:t>
      </w:r>
      <w:bookmarkEnd w:id="107"/>
    </w:p>
    <w:p>
      <w:pPr>
        <w:pStyle w:val="FirstParagraph"/>
      </w:pPr>
      <w:r>
        <w:t xml:space="preserve">Project Management Body of Knowledge, el cuerpo de conocimiento del PMI (Project Management Institute). Define 10 áreas de conocimiento (Integración, Alcance, Cronograma, Costos, Calidad, Recursos, Comunicaciones, Riesgos, Adquisiciones, Stakeholders) y 5 grupos de procesos (Inicio, Planificación, Ejecución, Monitoreo y Control, Cierre).</w:t>
      </w:r>
    </w:p>
    <w:p>
      <w:pPr>
        <w:pStyle w:val="Heading4"/>
      </w:pPr>
      <w:bookmarkStart w:id="108" w:name="X17cb8c6467c0b7971e1df1dca76a8583390f5b4"/>
      <w:r>
        <w:t xml:space="preserve">A7. ¿Cuál es la diferencia entre DoR y DoD?</w:t>
      </w:r>
      <w:bookmarkEnd w:id="108"/>
    </w:p>
    <w:p>
      <w:pPr>
        <w:pStyle w:val="FirstParagraph"/>
      </w:pPr>
      <w:r>
        <w:t xml:space="preserve">DoR (Definition of Ready) es el filtro de entrada: una historia entra al sprint sólo si cumple 5 criterios (formato Como/Quiero/Para, criterios de aceptación verificables, SP estimados, sin dependencias bloqueantes, aprobada por el PO). DoD (Definition of Done) es el filtro de salida: la historia se considera terminada sólo si cumple los 7–10 criterios (código validado, persistencia, manejo de errores, responsive, UX, sin tiempos excesivos, tests pasando; en XP además TDD green, CI green, sin deuda técnica deliberada).</w:t>
      </w:r>
    </w:p>
    <w:p>
      <w:pPr>
        <w:pStyle w:val="Heading4"/>
      </w:pPr>
      <w:bookmarkStart w:id="109" w:name="a8.-qué-diferencia-hay-entre-qa-y-qc"/>
      <w:r>
        <w:t xml:space="preserve">A8. ¿Qué diferencia hay entre QA y QC?</w:t>
      </w:r>
      <w:bookmarkEnd w:id="109"/>
    </w:p>
    <w:p>
      <w:pPr>
        <w:pStyle w:val="FirstParagraph"/>
      </w:pPr>
      <w:r>
        <w:t xml:space="preserve">QA (Quality Assurance) es proactivo, define los procesos de calidad. QC (Quality Control) es reactivo, verifica los entregables. DoR y DoD son QA; los tests, revisiones y auditorías son QC.</w:t>
      </w:r>
    </w:p>
    <w:p>
      <w:pPr>
        <w:pStyle w:val="Heading3"/>
      </w:pPr>
      <w:bookmarkStart w:id="110" w:name="X42245377ad9027d979d45c4f3d05331f8a273d6"/>
      <w:r>
        <w:t xml:space="preserve">Bloque B — Preguntas financieras (lo más probable del jurado)</w:t>
      </w:r>
      <w:bookmarkEnd w:id="110"/>
    </w:p>
    <w:p>
      <w:pPr>
        <w:pStyle w:val="Heading4"/>
      </w:pPr>
      <w:bookmarkStart w:id="111" w:name="b1.-qué-es-roi"/>
      <w:r>
        <w:t xml:space="preserve">B1. ¿Qué es ROI?</w:t>
      </w:r>
      <w:bookmarkEnd w:id="111"/>
    </w:p>
    <w:p>
      <w:pPr>
        <w:pStyle w:val="FirstParagraph"/>
      </w:pPr>
      <w:r>
        <w:t xml:space="preserve">Return on Investment, retorno sobre la inversión. Mide cuánto beneficio se obtiene por cada unidad invertida. Fórmula: ROI = (beneficio neto / inversión) × 100. Nuestro ROI: 53.85%. Significa que por cada Q 100 invertidos, recuperamos Q 153.85 (los Q 100 originales más Q 53.85 de beneficio).</w:t>
      </w:r>
    </w:p>
    <w:p>
      <w:pPr>
        <w:pStyle w:val="Heading4"/>
      </w:pPr>
      <w:bookmarkStart w:id="112" w:name="b2.-cuándo-recupero-mi-inversión-payback"/>
      <w:r>
        <w:t xml:space="preserve">B2. ¿Cuándo recupero mi inversión? (Payback)</w:t>
      </w:r>
      <w:bookmarkEnd w:id="112"/>
    </w:p>
    <w:p>
      <w:pPr>
        <w:pStyle w:val="FirstParagraph"/>
      </w:pPr>
      <w:r>
        <w:t xml:space="preserve">El payback period es el tiempo necesario para recuperar la inversión a partir de los flujos de caja generados. Fórmula: Payback = Inversión / Flujo de caja mensual. Con inversión Q 528,871.80 y un flujo de Q 90,000/mes, el payback es ~5.9 meses post-entrega. Es decir, el proveedor recupera lo invertido aproximadamente en octubre 2027.</w:t>
      </w:r>
    </w:p>
    <w:p>
      <w:pPr>
        <w:pStyle w:val="Heading4"/>
      </w:pPr>
      <w:bookmarkStart w:id="113" w:name="b3.-qué-es-tmar-y-cómo-se-calcula"/>
      <w:r>
        <w:t xml:space="preserve">B3. ¿Qué es TMAR y cómo se calcula?</w:t>
      </w:r>
      <w:bookmarkEnd w:id="113"/>
    </w:p>
    <w:p>
      <w:pPr>
        <w:pStyle w:val="FirstParagraph"/>
      </w:pPr>
      <w:r>
        <w:t xml:space="preserve">Tasa Mínima Aceptable de Retorno (en inglés MARR, Minimum Acceptable Rate of Return). Es el umbral mínimo de rentabilidad que justifica invertir; por debajo de ese umbral, el dinero rinde más en otro lugar. Fórmula simple: TMAR = inflación + prima por riesgo del proyecto + rendimiento esperado = 5% + 10% + 20% = 35%. Si ROI &gt; TMAR → proyecto viable.</w:t>
      </w:r>
    </w:p>
    <w:p>
      <w:pPr>
        <w:pStyle w:val="Heading4"/>
      </w:pPr>
      <w:bookmarkStart w:id="114" w:name="b4.-por-qué-su-tmar-es-35"/>
      <w:r>
        <w:t xml:space="preserve">B4. ¿Por qué su TMAR es 35%?</w:t>
      </w:r>
      <w:bookmarkEnd w:id="114"/>
    </w:p>
    <w:p>
      <w:pPr>
        <w:pStyle w:val="FirstParagraph"/>
      </w:pPr>
      <w:r>
        <w:t xml:space="preserve">Por descomposición:</w:t>
      </w:r>
    </w:p>
    <w:p>
      <w:pPr>
        <w:numPr>
          <w:ilvl w:val="0"/>
          <w:numId w:val="1047"/>
        </w:numPr>
        <w:pStyle w:val="Compact"/>
      </w:pPr>
      <w:r>
        <w:t xml:space="preserve">5% inflación anual estimada en Guatemala</w:t>
      </w:r>
    </w:p>
    <w:p>
      <w:pPr>
        <w:numPr>
          <w:ilvl w:val="0"/>
          <w:numId w:val="1047"/>
        </w:numPr>
        <w:pStyle w:val="Compact"/>
      </w:pPr>
      <w:r>
        <w:t xml:space="preserve">10% prima por riesgo del proyecto (proyecto nuevo, cliente institucional, dependencias técnicas)</w:t>
      </w:r>
    </w:p>
    <w:p>
      <w:pPr>
        <w:numPr>
          <w:ilvl w:val="0"/>
          <w:numId w:val="1047"/>
        </w:numPr>
        <w:pStyle w:val="Compact"/>
      </w:pPr>
      <w:r>
        <w:t xml:space="preserve">20% retorno esperado sobre el capital del proveedor (alternativa a invertir en mercado o bonos)</w:t>
      </w:r>
    </w:p>
    <w:p>
      <w:pPr>
        <w:pStyle w:val="FirstParagraph"/>
      </w:pPr>
      <w:r>
        <w:t xml:space="preserve">Si lo cuestionan: la TMAR no es un valor fijo de mercado, es la tasa que el proveedor define como su umbral mínimo. Empresas conservadoras usan TMAR menores (15–20%); empresas de software boutique con alta demanda usan 30–40%.</w:t>
      </w:r>
    </w:p>
    <w:p>
      <w:pPr>
        <w:pStyle w:val="Heading4"/>
      </w:pPr>
      <w:bookmarkStart w:id="115" w:name="b5.-roi-53.85-no-es-demasiado-alto"/>
      <w:r>
        <w:t xml:space="preserve">B5. ¿ROI 53.85% no es demasiado alto?</w:t>
      </w:r>
      <w:bookmarkEnd w:id="115"/>
    </w:p>
    <w:p>
      <w:pPr>
        <w:pStyle w:val="FirstParagraph"/>
      </w:pPr>
      <w:r>
        <w:t xml:space="preserve">No, porque está aplicado sobre la inversión completa que incluye reserva de contingencia (Q 133,769.80, ~25% de la inversión). El ROI adverso (escenario donde la reserva se consume totalmente por riesgos materializados) baja a 24.26%, que todavía es positivo y refleja la robustez del modelo. Además, el 53.85% surge mecánicamente del margen del 35% sobre inversión, no de un cálculo arbitrario.</w:t>
      </w:r>
    </w:p>
    <w:p>
      <w:pPr>
        <w:pStyle w:val="Heading4"/>
      </w:pPr>
      <w:bookmarkStart w:id="116" w:name="Xb03b1ea3204ae8d5c64e051cea87f4f90e0e2ab"/>
      <w:r>
        <w:t xml:space="preserve">B6. ¿Qué es ROA y por qué lo separan del ROI?</w:t>
      </w:r>
      <w:bookmarkEnd w:id="116"/>
    </w:p>
    <w:p>
      <w:pPr>
        <w:pStyle w:val="FirstParagraph"/>
      </w:pPr>
      <w:r>
        <w:t xml:space="preserve">ROA (Return on Assets) = Beneficio neto / Activos totales. Es un indicador a nivel empresa proveedora, no por proyecto. Nuestros activos totales son Q 500,000 (laptops Q 120K + servidores Q 150K + licencias Q 30K + oficina Q 100K + equipo testing Q 20K + mobiliario Q 80K). El ROI se calcula por proyecto, el ROA se calcula sobre la empresa completa. Son métricas distintas.</w:t>
      </w:r>
    </w:p>
    <w:p>
      <w:pPr>
        <w:pStyle w:val="Heading4"/>
      </w:pPr>
      <w:bookmarkStart w:id="117" w:name="b7.-dónde-está-el-flujo-de-caja"/>
      <w:r>
        <w:t xml:space="preserve">B7. ¿Dónde está el flujo de caja?</w:t>
      </w:r>
      <w:bookmarkEnd w:id="117"/>
    </w:p>
    <w:p>
      <w:pPr>
        <w:pStyle w:val="FirstParagraph"/>
      </w:pPr>
      <w:r>
        <w:t xml:space="preserve">En la vista Financiero del dashboard mostramos el gráfico de payback: flujo de caja mensual acumulado con línea de breakeven. El flujo de entrada al proveedor sigue el esquema 30/40/30: Q 244,200 al 1 ene 2027, Q 325,600 al 25 feb 2027, Q 244,200 al 22 abr 2027. El flujo de salida sigue el burn rate mensual de Q 67,808 interno. En el modelo del dashboard se asume capacidad de flujo de Q 90,000/mes para el payback post-cierre.</w:t>
      </w:r>
    </w:p>
    <w:p>
      <w:pPr>
        <w:pStyle w:val="Heading4"/>
      </w:pPr>
      <w:bookmarkStart w:id="118" w:name="b8.-cómo-calcularon-el-precio-cliente"/>
      <w:r>
        <w:t xml:space="preserve">B8. ¿Cómo calcularon el precio cliente?</w:t>
      </w:r>
      <w:bookmarkEnd w:id="118"/>
    </w:p>
    <w:p>
      <w:pPr>
        <w:pStyle w:val="FirstParagraph"/>
      </w:pPr>
      <w:r>
        <w:t xml:space="preserve">En 4 pasos:</w:t>
      </w:r>
    </w:p>
    <w:p>
      <w:pPr>
        <w:numPr>
          <w:ilvl w:val="0"/>
          <w:numId w:val="1048"/>
        </w:numPr>
        <w:pStyle w:val="Compact"/>
      </w:pPr>
      <w:r>
        <w:t xml:space="preserve">Sumamos inversión total: costo equipo (Q 289,232) + costos adicionales 6m (Q 105,870) + reserva (Q 133,769.80) = Q 528,871.80</w:t>
      </w:r>
    </w:p>
    <w:p>
      <w:pPr>
        <w:numPr>
          <w:ilvl w:val="0"/>
          <w:numId w:val="1048"/>
        </w:numPr>
        <w:pStyle w:val="Compact"/>
      </w:pPr>
      <w:r>
        <w:t xml:space="preserve">Aplicamos margen del 35%: precio exacto = Q 528,871.80 / (1 − 0.35) = Q 528,871.80 / 0.65 = Q 813,648.92</w:t>
      </w:r>
    </w:p>
    <w:p>
      <w:pPr>
        <w:numPr>
          <w:ilvl w:val="0"/>
          <w:numId w:val="1048"/>
        </w:numPr>
        <w:pStyle w:val="Compact"/>
      </w:pPr>
      <w:r>
        <w:t xml:space="preserve">Redondeamos al millar superior (CEILING): Q 814,000</w:t>
      </w:r>
    </w:p>
    <w:p>
      <w:pPr>
        <w:numPr>
          <w:ilvl w:val="0"/>
          <w:numId w:val="1048"/>
        </w:numPr>
        <w:pStyle w:val="Compact"/>
      </w:pPr>
      <w:r>
        <w:t xml:space="preserve">Verificamos margen efectivo: (Q 814,000 − Q 528,871.80) / Q 814,000 = 35.03% (≥ 35% ✓)</w:t>
      </w:r>
    </w:p>
    <w:p>
      <w:pPr>
        <w:pStyle w:val="Heading4"/>
      </w:pPr>
      <w:bookmarkStart w:id="119" w:name="X1fbdcbb55f9bfe8d668e97288d9a1a029372a3d"/>
      <w:r>
        <w:t xml:space="preserve">B9. ¿Por qué redondean hacia arriba con CEILING en lugar de redondeo normal?</w:t>
      </w:r>
      <w:bookmarkEnd w:id="119"/>
    </w:p>
    <w:p>
      <w:pPr>
        <w:pStyle w:val="FirstParagraph"/>
      </w:pPr>
      <w:r>
        <w:t xml:space="preserve">Porque el redondeo hacia arriba protege el margen del 35%. Si redondeáramos hacia abajo o al más cercano, podríamos quedar por debajo del 35% por algunos quetzales. CEILING garantiza que el precio final preserva o supera el margen objetivo. Es una práctica defensiva.</w:t>
      </w:r>
    </w:p>
    <w:p>
      <w:pPr>
        <w:pStyle w:val="Heading4"/>
      </w:pPr>
      <w:bookmarkStart w:id="120" w:name="Xaa01731e9826b3b9539403fd2bb62b82afd209e"/>
      <w:r>
        <w:t xml:space="preserve">B10. ¿Qué es la reserva de contingencia y por qué Q 133,769.80?</w:t>
      </w:r>
      <w:bookmarkEnd w:id="120"/>
    </w:p>
    <w:p>
      <w:pPr>
        <w:pStyle w:val="FirstParagraph"/>
      </w:pPr>
      <w:r>
        <w:t xml:space="preserve">Es el monto que se reserva dentro del presupuesto para responder a riesgos identificados. Se calcula como la suma del EMV (Expected Monetary Value, valor monetario esperado) de cada riesgo. Cada riesgo tiene una probabilidad y un impacto económico; su EMV es probabilidad × impacto. La suma de los EMV de los 9 riesgos R1–R9 da Q 133,769.80. Esa cifra ya viene incluida en la inversión que cobramos al cliente.</w:t>
      </w:r>
    </w:p>
    <w:p>
      <w:pPr>
        <w:pStyle w:val="Heading4"/>
      </w:pPr>
      <w:bookmarkStart w:id="121" w:name="b11.-qué-pasa-si-la-reserva-no-se-usa"/>
      <w:r>
        <w:t xml:space="preserve">B11. ¿Qué pasa si la reserva no se usa?</w:t>
      </w:r>
      <w:bookmarkEnd w:id="121"/>
    </w:p>
    <w:p>
      <w:pPr>
        <w:pStyle w:val="FirstParagraph"/>
      </w:pPr>
      <w:r>
        <w:t xml:space="preserve">Si ningún riesgo se materializa, los Q 133,769.80 quedan como beneficio adicional para el proveedor. Si se usan parcialmente, lo no usado se queda como beneficio. Si se usan completamente, el ROI baja al 24.26% (ROI adverso) pero sigue siendo positivo.</w:t>
      </w:r>
    </w:p>
    <w:p>
      <w:pPr>
        <w:pStyle w:val="Heading4"/>
      </w:pPr>
      <w:bookmarkStart w:id="122" w:name="X5923f95b54d11011ac971046d9e9718556dd0ed"/>
      <w:r>
        <w:t xml:space="preserve">B12. ¿NPV / VPN del proyecto? ¿Por qué no lo calcularon?</w:t>
      </w:r>
      <w:bookmarkEnd w:id="122"/>
    </w:p>
    <w:p>
      <w:pPr>
        <w:pStyle w:val="FirstParagraph"/>
      </w:pPr>
      <w:r>
        <w:t xml:space="preserve">No usamos NPV explícitamente porque el proyecto tiene flujo en plazo corto (4 meses) y la inversión se recupera con el primer pago anticipado (30% = Q 244,200 al inicio). NPV es más relevante en proyectos de varios años donde la tasa de descuento cambia significativamente el resultado. En su lugar usamos ROI vs TMAR, que es el equivalente conceptual: si ROI &gt; TMAR entonces VPN &gt; 0 a esa tasa.</w:t>
      </w:r>
    </w:p>
    <w:p>
      <w:pPr>
        <w:pStyle w:val="Heading4"/>
      </w:pPr>
      <w:bookmarkStart w:id="123" w:name="X191b3d97427ca5e9a7079023974e8a802f10449"/>
      <w:r>
        <w:t xml:space="preserve">B13. ¿Por qué el precio interno (Q 786,000) es distinto al cliente (Q 814,000)?</w:t>
      </w:r>
      <w:bookmarkEnd w:id="123"/>
    </w:p>
    <w:p>
      <w:pPr>
        <w:pStyle w:val="FirstParagraph"/>
      </w:pPr>
      <w:r>
        <w:t xml:space="preserve">Porque la vista interna refleja el costo real con FTE 0.7 del PO (Josué Say dedica 70% al proyecto). La vista cliente factura 1.0 FTE para tener un contrato uniforme. La diferencia de Q 28,000 es el beneficio adicional que captura el proveedor por el FTE no facturado.</w:t>
      </w:r>
    </w:p>
    <w:p>
      <w:pPr>
        <w:pStyle w:val="Heading4"/>
      </w:pPr>
      <w:bookmarkStart w:id="124" w:name="X5eeb0a90bd2d27f0159e2948be5ad08c05755ee"/>
      <w:r>
        <w:t xml:space="preserve">B14. ¿Qué pasa si el cliente pide funciones extra durante el sprint?</w:t>
      </w:r>
      <w:bookmarkEnd w:id="124"/>
    </w:p>
    <w:p>
      <w:pPr>
        <w:pStyle w:val="FirstParagraph"/>
      </w:pPr>
      <w:r>
        <w:t xml:space="preserve">Si encajan en el 20% ROM (≤4 SP), entran sin cargo adicional al margen ROM. Si exceden los 5 SP o afectan hitos, van por proceso CR formal al CCB. Si son solicitudes pequeñas fuera del umbral ROM, se cobran a Q 3,000 por solicitud (SLA Scrumban).</w:t>
      </w:r>
    </w:p>
    <w:p>
      <w:pPr>
        <w:pStyle w:val="Heading4"/>
      </w:pPr>
      <w:bookmarkStart w:id="125" w:name="Xe2ce03bf3ef166e50c557d9655c73eab446e3bb"/>
      <w:r>
        <w:t xml:space="preserve">B15. ¿Cuál es el beneficio neto del proyecto?</w:t>
      </w:r>
      <w:bookmarkEnd w:id="125"/>
    </w:p>
    <w:p>
      <w:pPr>
        <w:pStyle w:val="FirstParagraph"/>
      </w:pPr>
      <w:r>
        <w:t xml:space="preserve">Beneficio neto = precio redondeado − inversión = Q 814,000 − Q 528,871.80 = Q 285,128.20. Si la reserva no se consume, el beneficio sube a Q 285,128.20 + Q 133,769.80 = Q 418,898.00.</w:t>
      </w:r>
    </w:p>
    <w:p>
      <w:pPr>
        <w:pStyle w:val="Heading4"/>
      </w:pPr>
      <w:bookmarkStart w:id="126" w:name="b16.-cómo-facturan-por-sprint-o-al-final"/>
      <w:r>
        <w:t xml:space="preserve">B16. ¿Cómo facturan? ¿Por sprint o al final?</w:t>
      </w:r>
      <w:bookmarkEnd w:id="126"/>
    </w:p>
    <w:p>
      <w:pPr>
        <w:pStyle w:val="FirstParagraph"/>
      </w:pPr>
      <w:r>
        <w:t xml:space="preserve">Esquema 30/40/30: 30% anticipo al firmar (1 ene 2027), 40% al cierre de S4 con hito H5 (25 feb 2027) y 30% al cierre con H7 (22 abr 2027). No es por sprint puro porque eso aumenta la fricción administrativa para el cliente institucional UVG.</w:t>
      </w:r>
    </w:p>
    <w:p>
      <w:pPr>
        <w:pStyle w:val="Heading3"/>
      </w:pPr>
      <w:bookmarkStart w:id="127" w:name="bloque-c-preguntas-trampa-de-costos"/>
      <w:r>
        <w:t xml:space="preserve">Bloque C — Preguntas trampa de costos</w:t>
      </w:r>
      <w:bookmarkEnd w:id="127"/>
    </w:p>
    <w:p>
      <w:pPr>
        <w:pStyle w:val="Heading4"/>
      </w:pPr>
      <w:bookmarkStart w:id="128" w:name="c1.-por-qué-su-precio-es-de-q-820000"/>
      <w:r>
        <w:t xml:space="preserve">C1.</w:t>
      </w:r>
      <w:r>
        <w:t xml:space="preserve"> </w:t>
      </w:r>
      <w:r>
        <w:t xml:space="preserve">“</w:t>
      </w:r>
      <w:r>
        <w:t xml:space="preserve">¿Por qué su precio es de Q 820,000?</w:t>
      </w:r>
      <w:r>
        <w:t xml:space="preserve">”</w:t>
      </w:r>
      <w:bookmarkEnd w:id="128"/>
    </w:p>
    <w:p>
      <w:pPr>
        <w:pStyle w:val="FirstParagraph"/>
      </w:pPr>
      <w:r>
        <w:t xml:space="preserve">Trampa: el precio actual es Q 814,000 (Scrumban + XP), no Q 820,000. Q 820,000 es el precio de Scrum o Scrumban puros (5 personas, buffer 25%, 9 sprints). La metodología elegida es Scrumban + XP, que con 6 personas y buffer 10% baja el precio a Q 814,000. La razón del cambio es la disciplina técnica XP (TDD, CI, Pair Programming) que reduce el buffer del 25% al 10%, ahorrando un sprint completo.</w:t>
      </w:r>
    </w:p>
    <w:p>
      <w:pPr>
        <w:pStyle w:val="Heading4"/>
      </w:pPr>
      <w:bookmarkStart w:id="129" w:name="Xca4a2bd632b4784238db1b81f77460162afc9ed"/>
      <w:r>
        <w:t xml:space="preserve">C2.</w:t>
      </w:r>
      <w:r>
        <w:t xml:space="preserve"> </w:t>
      </w:r>
      <w:r>
        <w:t xml:space="preserve">“</w:t>
      </w:r>
      <w:r>
        <w:t xml:space="preserve">Si XP reduce el buffer, ¿no debería ser MÁS barato porque hay menos sprints?</w:t>
      </w:r>
      <w:r>
        <w:t xml:space="preserve">”</w:t>
      </w:r>
      <w:bookmarkEnd w:id="129"/>
    </w:p>
    <w:p>
      <w:pPr>
        <w:pStyle w:val="FirstParagraph"/>
      </w:pPr>
      <w:r>
        <w:t xml:space="preserve">Sí, y lo es: 8 sprints en lugar de 9. Pero hay un efecto compensatorio: XP + Scrumban usa 6 personas (no 5), porque agrega 2 developers junior para sostener Pair Programming. El balance neto es Q 6,000 más barato (Q 820,000 → Q 814,000): el ahorro en sprints supera el costo de los dos juniors.</w:t>
      </w:r>
    </w:p>
    <w:p>
      <w:pPr>
        <w:pStyle w:val="Heading4"/>
      </w:pPr>
      <w:bookmarkStart w:id="130" w:name="Xe2236f8d54a00a934637df7eb8e623fe250a09a"/>
      <w:r>
        <w:t xml:space="preserve">C3.</w:t>
      </w:r>
      <w:r>
        <w:t xml:space="preserve"> </w:t>
      </w:r>
      <w:r>
        <w:t xml:space="preserve">“</w:t>
      </w:r>
      <w:r>
        <w:t xml:space="preserve">Si la reserva es Σ EMV ¿no están duplicando? ¿No es eso pesimista?</w:t>
      </w:r>
      <w:r>
        <w:t xml:space="preserve">”</w:t>
      </w:r>
      <w:bookmarkEnd w:id="130"/>
    </w:p>
    <w:p>
      <w:pPr>
        <w:pStyle w:val="FirstParagraph"/>
      </w:pPr>
      <w:r>
        <w:t xml:space="preserve">No es duplicación, es PMBOK estándar. EMV es probabilidad × impacto, no impacto crudo. Por construcción ya descuenta la probabilidad de que el riesgo no se materialice. Sumar EMVs es la fórmula formal de la reserva de contingencia en PMI. Sí, es pesimista en el sentido de que asume que TODOS los riesgos pueden materializarse parcialmente al mismo tiempo, pero ese es el propósito: dar un colchón seguro.</w:t>
      </w:r>
    </w:p>
    <w:p>
      <w:pPr>
        <w:pStyle w:val="Heading4"/>
      </w:pPr>
      <w:bookmarkStart w:id="131" w:name="Xfd145e58ebe8d9aa9f99bdd58657a43296306a7"/>
      <w:r>
        <w:t xml:space="preserve">C4.</w:t>
      </w:r>
      <w:r>
        <w:t xml:space="preserve"> </w:t>
      </w:r>
      <w:r>
        <w:t xml:space="preserve">“</w:t>
      </w:r>
      <w:r>
        <w:t xml:space="preserve">¿Por qué el burn rate en sus riesgos es Q 72,308 y no Q 67,212 como el equipo base?</w:t>
      </w:r>
      <w:r>
        <w:t xml:space="preserve">”</w:t>
      </w:r>
      <w:bookmarkEnd w:id="131"/>
    </w:p>
    <w:p>
      <w:pPr>
        <w:pStyle w:val="FirstParagraph"/>
      </w:pPr>
      <w:r>
        <w:t xml:space="preserve">Trampa intencional para ver si distinguen entre equipos. Porque la metodología elegida es XP + Scrumban con 6 personas. El impacto económico de un riesgo se calcula como burn rate × meses; debe usarse el burn rate del equipo que ejecutará el proyecto, no el académico de 5 personas. Q 67,212 aplica si la metodología elegida fuera Scrum, Kanban o Scrumban puros (5 personas).</w:t>
      </w:r>
    </w:p>
    <w:p>
      <w:pPr>
        <w:pStyle w:val="Heading4"/>
      </w:pPr>
      <w:bookmarkStart w:id="132" w:name="Xb720a6c6fa763c37d5d3dc9dcfba455865575bd"/>
      <w:r>
        <w:t xml:space="preserve">C5.</w:t>
      </w:r>
      <w:r>
        <w:t xml:space="preserve"> </w:t>
      </w:r>
      <w:r>
        <w:t xml:space="preserve">“</w:t>
      </w:r>
      <w:r>
        <w:t xml:space="preserve">Su ROI es 53.85% pero su margen es 35%. ¿No deberían coincidir?</w:t>
      </w:r>
      <w:r>
        <w:t xml:space="preserve">”</w:t>
      </w:r>
      <w:bookmarkEnd w:id="132"/>
    </w:p>
    <w:p>
      <w:pPr>
        <w:pStyle w:val="FirstParagraph"/>
      </w:pPr>
      <w:r>
        <w:t xml:space="preserve">Trampa de aritmética. No coinciden porque se calculan sobre bases distintas:</w:t>
      </w:r>
    </w:p>
    <w:p>
      <w:pPr>
        <w:numPr>
          <w:ilvl w:val="0"/>
          <w:numId w:val="1049"/>
        </w:numPr>
        <w:pStyle w:val="Compact"/>
      </w:pPr>
      <w:r>
        <w:t xml:space="preserve">Margen bruto = beneficio / precio = Q 285,128.20 / Q 814,000 = 35.03%</w:t>
      </w:r>
    </w:p>
    <w:p>
      <w:pPr>
        <w:numPr>
          <w:ilvl w:val="0"/>
          <w:numId w:val="1049"/>
        </w:numPr>
        <w:pStyle w:val="Compact"/>
      </w:pPr>
      <w:r>
        <w:t xml:space="preserve">ROI = beneficio / inversión = Q 285,128.20 / Q 528,871.80 = 53.91% (53.85% nominal con redondeo)</w:t>
      </w:r>
    </w:p>
    <w:p>
      <w:pPr>
        <w:pStyle w:val="FirstParagraph"/>
      </w:pPr>
      <w:r>
        <w:t xml:space="preserve">La fórmula que los relaciona: ROI = margen / (1 − margen) = 0.35 / 0.65 = 53.85%.</w:t>
      </w:r>
    </w:p>
    <w:p>
      <w:pPr>
        <w:pStyle w:val="Heading4"/>
      </w:pPr>
      <w:bookmarkStart w:id="133" w:name="X18e1bd16009f3eeac97e620f41c1f1cf3a7935c"/>
      <w:r>
        <w:t xml:space="preserve">C6.</w:t>
      </w:r>
      <w:r>
        <w:t xml:space="preserve"> </w:t>
      </w:r>
      <w:r>
        <w:t xml:space="preserve">“</w:t>
      </w:r>
      <w:r>
        <w:t xml:space="preserve">Si todas las metodologías tienen ROI 53.85%, ¿da igual cuál elijan?</w:t>
      </w:r>
      <w:r>
        <w:t xml:space="preserve">”</w:t>
      </w:r>
      <w:bookmarkEnd w:id="133"/>
    </w:p>
    <w:p>
      <w:pPr>
        <w:pStyle w:val="FirstParagraph"/>
      </w:pPr>
      <w:r>
        <w:t xml:space="preserve">No. El ROI relativo es idéntico por construcción del margen fijo del 35%, pero los ROI absolutos en quetzales y el cronograma cambian:</w:t>
      </w:r>
    </w:p>
    <w:p>
      <w:pPr>
        <w:numPr>
          <w:ilvl w:val="0"/>
          <w:numId w:val="1050"/>
        </w:numPr>
        <w:pStyle w:val="Compact"/>
      </w:pPr>
      <w:r>
        <w:t xml:space="preserve">Kanban: precio Q 1,577,000, duración 11 meses (caro y largo)</w:t>
      </w:r>
    </w:p>
    <w:p>
      <w:pPr>
        <w:numPr>
          <w:ilvl w:val="0"/>
          <w:numId w:val="1050"/>
        </w:numPr>
        <w:pStyle w:val="Compact"/>
      </w:pPr>
      <w:r>
        <w:t xml:space="preserve">Scrum y Scrumban: precio Q 820,000, duración 9 sprints (~4.5 meses)</w:t>
      </w:r>
    </w:p>
    <w:p>
      <w:pPr>
        <w:numPr>
          <w:ilvl w:val="0"/>
          <w:numId w:val="1050"/>
        </w:numPr>
        <w:pStyle w:val="Compact"/>
      </w:pPr>
      <w:r>
        <w:t xml:space="preserve">Scrumban + XP: precio Q 814,000, duración 8 sprints (~4 meses) ← más rápido, más barato</w:t>
      </w:r>
    </w:p>
    <w:p>
      <w:pPr>
        <w:pStyle w:val="Heading4"/>
      </w:pPr>
      <w:bookmarkStart w:id="134" w:name="c7.-qué-pasa-con-el-roa-del-proyecto"/>
      <w:r>
        <w:t xml:space="preserve">C7.</w:t>
      </w:r>
      <w:r>
        <w:t xml:space="preserve"> </w:t>
      </w:r>
      <w:r>
        <w:t xml:space="preserve">“</w:t>
      </w:r>
      <w:r>
        <w:t xml:space="preserve">¿Qué pasa con el ROA del proyecto?</w:t>
      </w:r>
      <w:r>
        <w:t xml:space="preserve">”</w:t>
      </w:r>
      <w:bookmarkEnd w:id="134"/>
    </w:p>
    <w:p>
      <w:pPr>
        <w:pStyle w:val="FirstParagraph"/>
      </w:pPr>
      <w:r>
        <w:t xml:space="preserve">Trampa: el ROA no es por proyecto, es por empresa. Sobre el proyecto se mide ROI. ROA = Beneficio neto / Activos totales de la empresa (Q 500,000). Si el proyecto contribuye con Q 285,128.20 de beneficio, contribuye al ROA corporativo con +57% antes de impuestos. Pero el ROA</w:t>
      </w:r>
      <w:r>
        <w:t xml:space="preserve"> </w:t>
      </w:r>
      <w:r>
        <w:t xml:space="preserve">“</w:t>
      </w:r>
      <w:r>
        <w:t xml:space="preserve">del proyecto</w:t>
      </w:r>
      <w:r>
        <w:t xml:space="preserve">”</w:t>
      </w:r>
      <w:r>
        <w:t xml:space="preserve"> </w:t>
      </w:r>
      <w:r>
        <w:t xml:space="preserve">como cifra única no existe.</w:t>
      </w:r>
    </w:p>
    <w:p>
      <w:pPr>
        <w:pStyle w:val="Heading4"/>
      </w:pPr>
      <w:bookmarkStart w:id="135" w:name="Xff37efa1c66af9ff17d399b612471e4a43babaa"/>
      <w:r>
        <w:t xml:space="preserve">C8.</w:t>
      </w:r>
      <w:r>
        <w:t xml:space="preserve"> </w:t>
      </w:r>
      <w:r>
        <w:t xml:space="preserve">“</w:t>
      </w:r>
      <w:r>
        <w:t xml:space="preserve">El equipo de cómputo cuesta Q 51,000. ¿Por qué lo cobran si dura más de un proyecto?</w:t>
      </w:r>
      <w:r>
        <w:t xml:space="preserve">”</w:t>
      </w:r>
      <w:bookmarkEnd w:id="135"/>
    </w:p>
    <w:p>
      <w:pPr>
        <w:pStyle w:val="FirstParagraph"/>
      </w:pPr>
      <w:r>
        <w:t xml:space="preserve">Buena pregunta de capex vs opex. Lo cobramos como costo directo del proyecto porque es una compra única dedicada (3 dev + 2 ejecutivo). Si la empresa proveedora amortizara el hardware en varios proyectos, el costo se distribuiría. En este modelo simple, el cliente UVG paga el hardware completo en el proyecto, lo cual es transparente y defendible. Una alternativa sería amortizarlo (Q 51,000 / 3 años = Q 17,000/año), pero la práctica del modelo es asignación directa.</w:t>
      </w:r>
    </w:p>
    <w:p>
      <w:pPr>
        <w:pStyle w:val="Heading4"/>
      </w:pPr>
      <w:bookmarkStart w:id="136" w:name="Xf6d36da181ea3ed6fe436e07f4870b907b62c28"/>
      <w:r>
        <w:t xml:space="preserve">C9.</w:t>
      </w:r>
      <w:r>
        <w:t xml:space="preserve"> </w:t>
      </w:r>
      <w:r>
        <w:t xml:space="preserve">“</w:t>
      </w:r>
      <w:r>
        <w:t xml:space="preserve">¿Por qué pagan Claude Team Pro? ¿No es un gasto evitable?</w:t>
      </w:r>
      <w:r>
        <w:t xml:space="preserve">”</w:t>
      </w:r>
      <w:bookmarkEnd w:id="136"/>
    </w:p>
    <w:p>
      <w:pPr>
        <w:pStyle w:val="FirstParagraph"/>
      </w:pPr>
      <w:r>
        <w:t xml:space="preserve">No. Claude Team Pro es la herramienta de productividad de IA que usa el equipo (auditoría, generación de código, documentación). Cuesta Q 4,500 en 6 meses, ~0.85% del precio cliente. Quitarlo no genera ahorro material y sí reduce productividad. Es un costo defendible bajo</w:t>
      </w:r>
      <w:r>
        <w:t xml:space="preserve"> </w:t>
      </w:r>
      <w:r>
        <w:t xml:space="preserve">“</w:t>
      </w:r>
      <w:r>
        <w:t xml:space="preserve">herramientas habilitadoras</w:t>
      </w:r>
      <w:r>
        <w:t xml:space="preserve">”</w:t>
      </w:r>
      <w:r>
        <w:t xml:space="preserve">.</w:t>
      </w:r>
    </w:p>
    <w:p>
      <w:pPr>
        <w:pStyle w:val="Heading4"/>
      </w:pPr>
      <w:bookmarkStart w:id="137" w:name="X3d5f9a210a6ab68aed7d279847da4879ea1d795"/>
      <w:r>
        <w:t xml:space="preserve">C10.</w:t>
      </w:r>
      <w:r>
        <w:t xml:space="preserve"> </w:t>
      </w:r>
      <w:r>
        <w:t xml:space="preserve">“</w:t>
      </w:r>
      <w:r>
        <w:t xml:space="preserve">Si XP exige Pair Programming, ¿no pagan a dos personas por una tarea?</w:t>
      </w:r>
      <w:r>
        <w:t xml:space="preserve">”</w:t>
      </w:r>
      <w:bookmarkEnd w:id="137"/>
    </w:p>
    <w:p>
      <w:pPr>
        <w:pStyle w:val="FirstParagraph"/>
      </w:pPr>
      <w:r>
        <w:t xml:space="preserve">Sí, y eso es deliberado. Pair Programming intercambia</w:t>
      </w:r>
      <w:r>
        <w:t xml:space="preserve"> </w:t>
      </w:r>
      <w:r>
        <w:t xml:space="preserve">“</w:t>
      </w:r>
      <w:r>
        <w:t xml:space="preserve">horas-hombre por tarea</w:t>
      </w:r>
      <w:r>
        <w:t xml:space="preserve">”</w:t>
      </w:r>
      <w:r>
        <w:t xml:space="preserve"> </w:t>
      </w:r>
      <w:r>
        <w:t xml:space="preserve">por</w:t>
      </w:r>
      <w:r>
        <w:t xml:space="preserve"> </w:t>
      </w:r>
      <w:r>
        <w:t xml:space="preserve">“</w:t>
      </w:r>
      <w:r>
        <w:t xml:space="preserve">menos defectos en producción + menor cycle time + mejor diseño</w:t>
      </w:r>
      <w:r>
        <w:t xml:space="preserve">”</w:t>
      </w:r>
      <w:r>
        <w:t xml:space="preserve">. Un defecto encontrado en TDD cuesta minutos; el mismo defecto en producción cuesta horas o días. La evidencia histórica muestra que Pair Programming en módulos críticos (motor de recomendación, seguridad) reduce defectos un 15–50%. Sólo es obligatorio en módulos de alto riesgo (EP04, EP05, módulos de seguridad de EP01).</w:t>
      </w:r>
    </w:p>
    <w:p>
      <w:pPr>
        <w:pStyle w:val="Heading4"/>
      </w:pPr>
      <w:bookmarkStart w:id="138" w:name="c11.-por-qué-no-cobran-por-hora"/>
      <w:r>
        <w:t xml:space="preserve">C11.</w:t>
      </w:r>
      <w:r>
        <w:t xml:space="preserve"> </w:t>
      </w:r>
      <w:r>
        <w:t xml:space="preserve">“</w:t>
      </w:r>
      <w:r>
        <w:t xml:space="preserve">¿Por qué no cobran por hora?</w:t>
      </w:r>
      <w:r>
        <w:t xml:space="preserve">”</w:t>
      </w:r>
      <w:bookmarkEnd w:id="138"/>
    </w:p>
    <w:p>
      <w:pPr>
        <w:pStyle w:val="FirstParagraph"/>
      </w:pPr>
      <w:r>
        <w:t xml:space="preserve">Porque el contrato es a precio fijo (Fixed Price). Es lo que pide el cliente institucional UVG: certidumbre presupuestaria. Cobrar por hora trasladaría todo el riesgo de estimación al cliente, lo cual no acepta. Internamente sí razonamos en burn rate (Q 67,808/mes), pero externamente cobramos precio fijo.</w:t>
      </w:r>
    </w:p>
    <w:p>
      <w:pPr>
        <w:pStyle w:val="Heading4"/>
      </w:pPr>
      <w:bookmarkStart w:id="139" w:name="Xc2fdcd82a9468e0e69035658c88c77d4715827a"/>
      <w:r>
        <w:t xml:space="preserve">C12.</w:t>
      </w:r>
      <w:r>
        <w:t xml:space="preserve"> </w:t>
      </w:r>
      <w:r>
        <w:t xml:space="preserve">“</w:t>
      </w:r>
      <w:r>
        <w:t xml:space="preserve">¿Pueden bajar el margen al 25% para ganar el contrato?</w:t>
      </w:r>
      <w:r>
        <w:t xml:space="preserve">”</w:t>
      </w:r>
      <w:bookmarkEnd w:id="139"/>
    </w:p>
    <w:p>
      <w:pPr>
        <w:pStyle w:val="FirstParagraph"/>
      </w:pPr>
      <w:r>
        <w:t xml:space="preserve">Trampa de negociación. No sin renegociar la TMAR o la reserva. Margen 25% implica precio Q 705,162 (= Q 528,871.80 / 0.75), ROI = 33.3%, que es menor a la TMAR (35%). Por debajo de TMAR el proyecto deja de ser viable financieramente. Si la UVG pide rebaja, hay tres caminos: bajar alcance (sacar épicas no críticas del MVP), bajar reserva (asumir más riesgo), o subir flujo (aceptar plazo mayor por menor presión).</w:t>
      </w:r>
    </w:p>
    <w:p>
      <w:pPr>
        <w:pStyle w:val="Heading4"/>
      </w:pPr>
      <w:bookmarkStart w:id="140" w:name="Xb7fc6e82fd8946513756f7765fbd7a3337c4ab9"/>
      <w:r>
        <w:t xml:space="preserve">C13.</w:t>
      </w:r>
      <w:r>
        <w:t xml:space="preserve"> </w:t>
      </w:r>
      <w:r>
        <w:t xml:space="preserve">“</w:t>
      </w:r>
      <w:r>
        <w:t xml:space="preserve">Su precio es Q 814,000 redondeado, pero el exacto es Q 813,648.92. ¿Quién se queda esos Q 351.08?</w:t>
      </w:r>
      <w:r>
        <w:t xml:space="preserve">”</w:t>
      </w:r>
      <w:bookmarkEnd w:id="140"/>
    </w:p>
    <w:p>
      <w:pPr>
        <w:pStyle w:val="FirstParagraph"/>
      </w:pPr>
      <w:r>
        <w:t xml:space="preserve">El proveedor, como holgura defensiva. Es el efecto del CEILING. En la práctica son Q 351.08 que protegen contra micro-desviaciones de costos. No es un sobrecargo al cliente, es un colchón mínimo de prudencia (menos del 0.05% del precio).</w:t>
      </w:r>
    </w:p>
    <w:p>
      <w:pPr>
        <w:pStyle w:val="Heading4"/>
      </w:pPr>
      <w:bookmarkStart w:id="141" w:name="Xa62bd6915ecd61f2340f081b5477779038daf52"/>
      <w:r>
        <w:t xml:space="preserve">C14.</w:t>
      </w:r>
      <w:r>
        <w:t xml:space="preserve"> </w:t>
      </w:r>
      <w:r>
        <w:t xml:space="preserve">“</w:t>
      </w:r>
      <w:r>
        <w:t xml:space="preserve">Si el sprint dura 14 días, ¿por qué no cobran 14 días?</w:t>
      </w:r>
      <w:r>
        <w:t xml:space="preserve">”</w:t>
      </w:r>
      <w:bookmarkEnd w:id="141"/>
    </w:p>
    <w:p>
      <w:pPr>
        <w:pStyle w:val="FirstParagraph"/>
      </w:pPr>
      <w:r>
        <w:t xml:space="preserve">Trampa de definición. Cobramos por capacidad de trabajo, no por días calendario. El equipo trabaja 10 días hábiles por sprint (de los 14 calendario, 4 son fin de semana). Cobrar por 14 días sería cobrar por días no trabajados. Por eso costo por sprint = burn rate mensual × (10 / 20 días hábiles por mes) = Q 36,154.</w:t>
      </w:r>
    </w:p>
    <w:p>
      <w:pPr>
        <w:pStyle w:val="Heading4"/>
      </w:pPr>
      <w:bookmarkStart w:id="142" w:name="c15.-cuánto-cobran-por-hora-real"/>
      <w:r>
        <w:t xml:space="preserve">C15.</w:t>
      </w:r>
      <w:r>
        <w:t xml:space="preserve"> </w:t>
      </w:r>
      <w:r>
        <w:t xml:space="preserve">“</w:t>
      </w:r>
      <w:r>
        <w:t xml:space="preserve">¿Cuánto cobran por hora real?</w:t>
      </w:r>
      <w:r>
        <w:t xml:space="preserve">”</w:t>
      </w:r>
      <w:bookmarkEnd w:id="142"/>
    </w:p>
    <w:p>
      <w:pPr>
        <w:pStyle w:val="FirstParagraph"/>
      </w:pPr>
      <w:r>
        <w:t xml:space="preserve">Cliente: Q 72,308 mensual / (10 días × 8 horas × 6 personas × 4 sprints/mes) = ~Q 37.66/hora-persona facturada. Interno: ~Q 35.32/hora-persona. Pero insistimos: el contrato es a precio fijo, no por hora.</w:t>
      </w:r>
    </w:p>
    <w:p>
      <w:pPr>
        <w:pStyle w:val="Heading4"/>
      </w:pPr>
      <w:bookmarkStart w:id="143" w:name="Xac7fe35b58a388f932341030ec5585463e37fb1"/>
      <w:r>
        <w:t xml:space="preserve">C16.</w:t>
      </w:r>
      <w:r>
        <w:t xml:space="preserve"> </w:t>
      </w:r>
      <w:r>
        <w:t xml:space="preserve">“</w:t>
      </w:r>
      <w:r>
        <w:t xml:space="preserve">¿Qué pasa si terminan el proyecto en 6 sprints?</w:t>
      </w:r>
      <w:r>
        <w:t xml:space="preserve">”</w:t>
      </w:r>
      <w:bookmarkEnd w:id="143"/>
    </w:p>
    <w:p>
      <w:pPr>
        <w:pStyle w:val="FirstParagraph"/>
      </w:pPr>
      <w:r>
        <w:t xml:space="preserve">El precio fijo no cambia. El beneficio del proveedor sube porque ahorra 2 sprints × Q 36,154 = Q 72,308. Es uno de los incentivos del precio fijo: terminar más rápido beneficia al proveedor. Pero el alcance debe cumplirse igual (32 HU en estado Done según DoD).</w:t>
      </w:r>
    </w:p>
    <w:p>
      <w:pPr>
        <w:pStyle w:val="Heading4"/>
      </w:pPr>
      <w:bookmarkStart w:id="144" w:name="c17.-y-si-se-atrasan"/>
      <w:r>
        <w:t xml:space="preserve">C17.</w:t>
      </w:r>
      <w:r>
        <w:t xml:space="preserve"> </w:t>
      </w:r>
      <w:r>
        <w:t xml:space="preserve">“</w:t>
      </w:r>
      <w:r>
        <w:t xml:space="preserve">¿Y si se atrasan?</w:t>
      </w:r>
      <w:r>
        <w:t xml:space="preserve">”</w:t>
      </w:r>
      <w:bookmarkEnd w:id="144"/>
    </w:p>
    <w:p>
      <w:pPr>
        <w:pStyle w:val="FirstParagraph"/>
      </w:pPr>
      <w:r>
        <w:t xml:space="preserve">Penalización del 5% por sprint con retraso del MVP (SLA). Y el costo extra de equipo lo absorbe el proveedor (no se le cobra al cliente). Es el otro lado del precio fijo: el riesgo de overrun queda en el proveedor.</w:t>
      </w:r>
    </w:p>
    <w:p>
      <w:pPr>
        <w:pStyle w:val="Heading3"/>
      </w:pPr>
      <w:bookmarkStart w:id="145" w:name="bloque-d-preguntas-trampa-teóricas"/>
      <w:r>
        <w:t xml:space="preserve">Bloque D — Preguntas trampa teóricas</w:t>
      </w:r>
      <w:bookmarkEnd w:id="145"/>
    </w:p>
    <w:p>
      <w:pPr>
        <w:pStyle w:val="Heading4"/>
      </w:pPr>
      <w:bookmarkStart w:id="146" w:name="X604f7ac69e8acbcde79dbc37cd0ac410ef2e94f"/>
      <w:r>
        <w:t xml:space="preserve">D1.</w:t>
      </w:r>
      <w:r>
        <w:t xml:space="preserve"> </w:t>
      </w:r>
      <w:r>
        <w:t xml:space="preserve">“</w:t>
      </w:r>
      <w:r>
        <w:t xml:space="preserve">¿La velocidad de 20 SP/sprint es lo mismo que productividad?</w:t>
      </w:r>
      <w:r>
        <w:t xml:space="preserve">”</w:t>
      </w:r>
      <w:bookmarkEnd w:id="146"/>
    </w:p>
    <w:p>
      <w:pPr>
        <w:pStyle w:val="FirstParagraph"/>
      </w:pPr>
      <w:r>
        <w:t xml:space="preserve">Trampa clásica. NO. Velocidad es una métrica de capacidad de planificación, no de productividad. Sirve para predecir cuánto va a entrar en el próximo sprint. Comparar velocidades entre equipos no tiene sentido (cada equipo calibra sus SP a su escala). Manipular SP para</w:t>
      </w:r>
      <w:r>
        <w:t xml:space="preserve"> </w:t>
      </w:r>
      <w:r>
        <w:t xml:space="preserve">“</w:t>
      </w:r>
      <w:r>
        <w:t xml:space="preserve">subir velocidad</w:t>
      </w:r>
      <w:r>
        <w:t xml:space="preserve">”</w:t>
      </w:r>
      <w:r>
        <w:t xml:space="preserve"> </w:t>
      </w:r>
      <w:r>
        <w:t xml:space="preserve">es un anti-patrón.</w:t>
      </w:r>
    </w:p>
    <w:p>
      <w:pPr>
        <w:pStyle w:val="Heading4"/>
      </w:pPr>
      <w:bookmarkStart w:id="147" w:name="d2.-story-points-son-horas"/>
      <w:r>
        <w:t xml:space="preserve">D2.</w:t>
      </w:r>
      <w:r>
        <w:t xml:space="preserve"> </w:t>
      </w:r>
      <w:r>
        <w:t xml:space="preserve">“</w:t>
      </w:r>
      <w:r>
        <w:t xml:space="preserve">¿Story Points son horas?</w:t>
      </w:r>
      <w:r>
        <w:t xml:space="preserve">”</w:t>
      </w:r>
      <w:bookmarkEnd w:id="147"/>
    </w:p>
    <w:p>
      <w:pPr>
        <w:pStyle w:val="FirstParagraph"/>
      </w:pPr>
      <w:r>
        <w:t xml:space="preserve">NO. Story Points son unidades relativas de esfuerzo + complejidad + incertidumbre. No se mapean linealmente a horas. Una HU de 8 SP no necesariamente toma el doble que una de 4 SP. Por eso usamos Fibonacci (1, 2, 3, 5, 8, 13): refleja la no-linealidad de la incertidumbre.</w:t>
      </w:r>
    </w:p>
    <w:p>
      <w:pPr>
        <w:pStyle w:val="Heading4"/>
      </w:pPr>
      <w:bookmarkStart w:id="148" w:name="X533f522ea4749b56bb5121c57c2357c6a2e1cde"/>
      <w:r>
        <w:t xml:space="preserve">D3.</w:t>
      </w:r>
      <w:r>
        <w:t xml:space="preserve"> </w:t>
      </w:r>
      <w:r>
        <w:t xml:space="preserve">“</w:t>
      </w:r>
      <w:r>
        <w:t xml:space="preserve">¿Cuántas horas trabaja un developer al día?</w:t>
      </w:r>
      <w:r>
        <w:t xml:space="preserve">”</w:t>
      </w:r>
      <w:bookmarkEnd w:id="148"/>
    </w:p>
    <w:p>
      <w:pPr>
        <w:pStyle w:val="FirstParagraph"/>
      </w:pPr>
      <w:r>
        <w:t xml:space="preserve">8 horas hábiles. Pero en Pair Programming</w:t>
      </w:r>
      <w:r>
        <w:t xml:space="preserve"> </w:t>
      </w:r>
      <w:r>
        <w:t xml:space="preserve">“</w:t>
      </w:r>
      <w:r>
        <w:t xml:space="preserve">trabajan</w:t>
      </w:r>
      <w:r>
        <w:t xml:space="preserve">”</w:t>
      </w:r>
      <w:r>
        <w:t xml:space="preserve"> </w:t>
      </w:r>
      <w:r>
        <w:t xml:space="preserve">2 personas por 8 horas = 16 horas-persona, no 8. El sustainable pace de XP prohíbe horas extra sistemáticas.</w:t>
      </w:r>
    </w:p>
    <w:p>
      <w:pPr>
        <w:pStyle w:val="Heading4"/>
      </w:pPr>
      <w:bookmarkStart w:id="149" w:name="X4710e50ae73bc74a34dc66d2ac96ff89a7e639d"/>
      <w:r>
        <w:t xml:space="preserve">D4.</w:t>
      </w:r>
      <w:r>
        <w:t xml:space="preserve"> </w:t>
      </w:r>
      <w:r>
        <w:t xml:space="preserve">“</w:t>
      </w:r>
      <w:r>
        <w:t xml:space="preserve">Si el PO tiene FTE 0.7, ¿no se rompe Scrum?</w:t>
      </w:r>
      <w:r>
        <w:t xml:space="preserve">”</w:t>
      </w:r>
      <w:bookmarkEnd w:id="149"/>
    </w:p>
    <w:p>
      <w:pPr>
        <w:pStyle w:val="FirstParagraph"/>
      </w:pPr>
      <w:r>
        <w:t xml:space="preserve">Trampa. Scrum no prescribe FTE 1.0; prescribe que el PO sea</w:t>
      </w:r>
      <w:r>
        <w:t xml:space="preserve"> </w:t>
      </w:r>
      <w:r>
        <w:t xml:space="preserve">“</w:t>
      </w:r>
      <w:r>
        <w:t xml:space="preserve">dedicado y disponible</w:t>
      </w:r>
      <w:r>
        <w:t xml:space="preserve">”</w:t>
      </w:r>
      <w:r>
        <w:t xml:space="preserve">. FTE 0.7 funciona si el PO está disponible cuando se le necesita (Sprint Planning, Sprint Review, decisiones de aceptación). Lo que rompe Scrum no es FTE bajo sino disponibilidad impredecible. Por eso facturamos 1.0 al cliente: refleja la disponibilidad efectiva.</w:t>
      </w:r>
    </w:p>
    <w:p>
      <w:pPr>
        <w:pStyle w:val="Heading4"/>
      </w:pPr>
      <w:bookmarkStart w:id="150" w:name="d5.-daily-scrum-es-una-reunión-de-status"/>
      <w:r>
        <w:t xml:space="preserve">D5.</w:t>
      </w:r>
      <w:r>
        <w:t xml:space="preserve"> </w:t>
      </w:r>
      <w:r>
        <w:t xml:space="preserve">“</w:t>
      </w:r>
      <w:r>
        <w:t xml:space="preserve">¿Daily Scrum es una reunión de status?</w:t>
      </w:r>
      <w:r>
        <w:t xml:space="preserve">”</w:t>
      </w:r>
      <w:bookmarkEnd w:id="150"/>
    </w:p>
    <w:p>
      <w:pPr>
        <w:pStyle w:val="FirstParagraph"/>
      </w:pPr>
      <w:r>
        <w:t xml:space="preserve">NO, y este es un anti-patrón muy común. Daily Scrum es para sincronización del equipo, no para reportar al jefe. Las 3 preguntas (¿qué hice?, ¿qué haré?, ¿bloqueos?) se responden al equipo, no al SM ni al PO. El SM facilita pero no</w:t>
      </w:r>
      <w:r>
        <w:t xml:space="preserve"> </w:t>
      </w:r>
      <w:r>
        <w:t xml:space="preserve">“</w:t>
      </w:r>
      <w:r>
        <w:t xml:space="preserve">preside</w:t>
      </w:r>
      <w:r>
        <w:t xml:space="preserve">”</w:t>
      </w:r>
      <w:r>
        <w:t xml:space="preserve">.</w:t>
      </w:r>
    </w:p>
    <w:p>
      <w:pPr>
        <w:pStyle w:val="Heading4"/>
      </w:pPr>
      <w:bookmarkStart w:id="151" w:name="d6.-la-retrospectiva-es-opcional"/>
      <w:r>
        <w:t xml:space="preserve">D6.</w:t>
      </w:r>
      <w:r>
        <w:t xml:space="preserve"> </w:t>
      </w:r>
      <w:r>
        <w:t xml:space="preserve">“</w:t>
      </w:r>
      <w:r>
        <w:t xml:space="preserve">¿La Retrospectiva es opcional?</w:t>
      </w:r>
      <w:r>
        <w:t xml:space="preserve">”</w:t>
      </w:r>
      <w:bookmarkEnd w:id="151"/>
    </w:p>
    <w:p>
      <w:pPr>
        <w:pStyle w:val="FirstParagraph"/>
      </w:pPr>
      <w:r>
        <w:t xml:space="preserve">NO. Es la única ceremonia donde el proceso mejora. Saltarse Retros es uno de los anti-patrones más caros: equipos que no inspeccionan-y-adaptan acumulan deuda de proceso.</w:t>
      </w:r>
    </w:p>
    <w:p>
      <w:pPr>
        <w:pStyle w:val="Heading4"/>
      </w:pPr>
      <w:bookmarkStart w:id="152" w:name="X895f0908eab7df20eb283355c1edf460d683f48"/>
      <w:r>
        <w:t xml:space="preserve">D7.</w:t>
      </w:r>
      <w:r>
        <w:t xml:space="preserve"> </w:t>
      </w:r>
      <w:r>
        <w:t xml:space="preserve">“</w:t>
      </w:r>
      <w:r>
        <w:t xml:space="preserve">¿Pueden modificar el Sprint Backlog durante el sprint?</w:t>
      </w:r>
      <w:r>
        <w:t xml:space="preserve">”</w:t>
      </w:r>
      <w:bookmarkEnd w:id="152"/>
    </w:p>
    <w:p>
      <w:pPr>
        <w:pStyle w:val="FirstParagraph"/>
      </w:pPr>
      <w:r>
        <w:t xml:space="preserve">Scrum puro: NO, salvo emergencia. Scrumban: SÍ, pero sólo vía el 20% ROM con aprobación del PO. Cualquier cambio fuera del ROM (&gt;5 SP o nuevas épicas) va por CR formal al CCB. Esta es una de las ventajas formales de Scrumban sobre Scrum puro.</w:t>
      </w:r>
    </w:p>
    <w:p>
      <w:pPr>
        <w:pStyle w:val="Heading4"/>
      </w:pPr>
      <w:bookmarkStart w:id="153" w:name="d8.-qué-pasa-si-cpi-0.85-en-1-sprint"/>
      <w:r>
        <w:t xml:space="preserve">D8.</w:t>
      </w:r>
      <w:r>
        <w:t xml:space="preserve"> </w:t>
      </w:r>
      <w:r>
        <w:t xml:space="preserve">“</w:t>
      </w:r>
      <w:r>
        <w:t xml:space="preserve">¿Qué pasa si CPI = 0.85 en 1 sprint?</w:t>
      </w:r>
      <w:r>
        <w:t xml:space="preserve">”</w:t>
      </w:r>
      <w:bookmarkEnd w:id="153"/>
    </w:p>
    <w:p>
      <w:pPr>
        <w:pStyle w:val="FirstParagraph"/>
      </w:pPr>
      <w:r>
        <w:t xml:space="preserve">Nada automático. La regla de escalamiento dice</w:t>
      </w:r>
      <w:r>
        <w:t xml:space="preserve"> </w:t>
      </w:r>
      <w:r>
        <w:t xml:space="preserve">“</w:t>
      </w:r>
      <w:r>
        <w:t xml:space="preserve">2 sprints consecutivos por debajo de 0.90</w:t>
      </w:r>
      <w:r>
        <w:t xml:space="preserve">”</w:t>
      </w:r>
      <w:r>
        <w:t xml:space="preserve">. Un sprint aislado en 0.85 se discute en la Retrospectiva y se ajusta el plan, pero no escala al Sponsor.</w:t>
      </w:r>
    </w:p>
    <w:p>
      <w:pPr>
        <w:pStyle w:val="Heading4"/>
      </w:pPr>
      <w:bookmarkStart w:id="154" w:name="d9.-wip-4-es-para-todo-el-tablero"/>
      <w:r>
        <w:t xml:space="preserve">D9.</w:t>
      </w:r>
      <w:r>
        <w:t xml:space="preserve"> </w:t>
      </w:r>
      <w:r>
        <w:t xml:space="preserve">“</w:t>
      </w:r>
      <w:r>
        <w:t xml:space="preserve">¿WIP = 4 es para todo el tablero?</w:t>
      </w:r>
      <w:r>
        <w:t xml:space="preserve">”</w:t>
      </w:r>
      <w:bookmarkEnd w:id="154"/>
    </w:p>
    <w:p>
      <w:pPr>
        <w:pStyle w:val="FirstParagraph"/>
      </w:pPr>
      <w:r>
        <w:t xml:space="preserve">NO. WIP es por columna. Backlog y Done no tienen límite. To Do = 8, In Progress = 4, Testing = 4, Code Review = 2, Review = 2. El WIP global no se suma, se respeta por columna.</w:t>
      </w:r>
    </w:p>
    <w:p>
      <w:pPr>
        <w:pStyle w:val="Heading4"/>
      </w:pPr>
      <w:bookmarkStart w:id="155" w:name="Xd4f8625a00e90c81ef21fc1002a8cb25530593b"/>
      <w:r>
        <w:t xml:space="preserve">D10.</w:t>
      </w:r>
      <w:r>
        <w:t xml:space="preserve"> </w:t>
      </w:r>
      <w:r>
        <w:t xml:space="preserve">“</w:t>
      </w:r>
      <w:r>
        <w:t xml:space="preserve">¿La Ley de Little aplica si el WIP varía?</w:t>
      </w:r>
      <w:r>
        <w:t xml:space="preserve">”</w:t>
      </w:r>
      <w:bookmarkEnd w:id="155"/>
    </w:p>
    <w:p>
      <w:pPr>
        <w:pStyle w:val="FirstParagraph"/>
      </w:pPr>
      <w:r>
        <w:t xml:space="preserve">Aplica en régimen estable. Si el WIP varía mucho, Lead Time = WIP / Throughput es una aproximación, no una igualdad. Por eso medimos el cycle time directo además de calcularlo, como verificación.</w:t>
      </w:r>
    </w:p>
    <w:p>
      <w:pPr>
        <w:pStyle w:val="Heading4"/>
      </w:pPr>
      <w:bookmarkStart w:id="156" w:name="d11.-por-qué-kanban-no-tiene-roles"/>
      <w:r>
        <w:t xml:space="preserve">D11.</w:t>
      </w:r>
      <w:r>
        <w:t xml:space="preserve"> </w:t>
      </w:r>
      <w:r>
        <w:t xml:space="preserve">“</w:t>
      </w:r>
      <w:r>
        <w:t xml:space="preserve">¿Por qué Kanban no tiene roles?</w:t>
      </w:r>
      <w:r>
        <w:t xml:space="preserve">”</w:t>
      </w:r>
      <w:bookmarkEnd w:id="156"/>
    </w:p>
    <w:p>
      <w:pPr>
        <w:pStyle w:val="FirstParagraph"/>
      </w:pPr>
      <w:r>
        <w:t xml:space="preserve">Kanban prescribe principios, no roles. Funciona sobre la estructura existente del equipo. Esto es una fortaleza para soporte/operaciones (no requiere reorganizar) y una debilidad para construir productos nuevos (sin alguien claramente responsable de priorizar, el flujo se atasca). Por eso elegimos Scrumban (roles Scrum) sobre Kanban puro.</w:t>
      </w:r>
    </w:p>
    <w:p>
      <w:pPr>
        <w:pStyle w:val="Heading4"/>
      </w:pPr>
      <w:bookmarkStart w:id="157" w:name="Xd9aae58fa622d69ec031b6f26c72b13654ece68"/>
      <w:r>
        <w:t xml:space="preserve">D12.</w:t>
      </w:r>
      <w:r>
        <w:t xml:space="preserve"> </w:t>
      </w:r>
      <w:r>
        <w:t xml:space="preserve">“</w:t>
      </w:r>
      <w:r>
        <w:t xml:space="preserve">¿La cobertura del 70% en XP no es baja?</w:t>
      </w:r>
      <w:r>
        <w:t xml:space="preserve">”</w:t>
      </w:r>
      <w:bookmarkEnd w:id="157"/>
    </w:p>
    <w:p>
      <w:pPr>
        <w:pStyle w:val="FirstParagraph"/>
      </w:pPr>
      <w:r>
        <w:t xml:space="preserve">Es el mínimo. La meta real es 85–90% en módulos críticos (motor de recomendación EP04, autenticación EP01). 70% es el umbral DoD que dispara alerta. Cobertura 100% es contraproducente: paga rendimientos decrecientes y obliga a probar getters/setters triviales.</w:t>
      </w:r>
    </w:p>
    <w:p>
      <w:pPr>
        <w:pStyle w:val="Heading4"/>
      </w:pPr>
      <w:bookmarkStart w:id="158" w:name="d13.-tdd-garantiza-cero-defectos"/>
      <w:r>
        <w:t xml:space="preserve">D13.</w:t>
      </w:r>
      <w:r>
        <w:t xml:space="preserve"> </w:t>
      </w:r>
      <w:r>
        <w:t xml:space="preserve">“</w:t>
      </w:r>
      <w:r>
        <w:t xml:space="preserve">¿TDD garantiza cero defectos?</w:t>
      </w:r>
      <w:r>
        <w:t xml:space="preserve">”</w:t>
      </w:r>
      <w:bookmarkEnd w:id="158"/>
    </w:p>
    <w:p>
      <w:pPr>
        <w:pStyle w:val="FirstParagraph"/>
      </w:pPr>
      <w:r>
        <w:t xml:space="preserve">NO. TDD reduce defectos pero no los elimina. Mitiga errores de implementación (¿el código hace lo que dice?), no errores de diseño (¿está construido lo correcto?) ni errores de integración (¿funciona con sistemas externos?). Por eso XP combina TDD con Pair Programming, CI, Sprint Review y pruebas de usabilidad.</w:t>
      </w:r>
    </w:p>
    <w:p>
      <w:pPr>
        <w:pStyle w:val="Heading4"/>
      </w:pPr>
      <w:bookmarkStart w:id="159" w:name="X7f3b15f51eed0136b428427b46ba0e1ea7a0e33"/>
      <w:r>
        <w:t xml:space="preserve">D14.</w:t>
      </w:r>
      <w:r>
        <w:t xml:space="preserve"> </w:t>
      </w:r>
      <w:r>
        <w:t xml:space="preserve">“</w:t>
      </w:r>
      <w:r>
        <w:t xml:space="preserve">Si Refactoring no cambia comportamiento, ¿para qué lo hacen?</w:t>
      </w:r>
      <w:r>
        <w:t xml:space="preserve">”</w:t>
      </w:r>
      <w:bookmarkEnd w:id="159"/>
    </w:p>
    <w:p>
      <w:pPr>
        <w:pStyle w:val="FirstParagraph"/>
      </w:pPr>
      <w:r>
        <w:t xml:space="preserve">Refactoring mejora la estructura interna del código: legibilidad, mantenibilidad, extensibilidad. No cambia QUÉ hace el código, cambia CÓMO lo hace. Sin refactoring continuo, la deuda técnica se acumula y el costo de cada cambio futuro crece exponencialmente.</w:t>
      </w:r>
    </w:p>
    <w:p>
      <w:pPr>
        <w:pStyle w:val="Heading4"/>
      </w:pPr>
      <w:bookmarkStart w:id="160" w:name="X45bb9688d90ab6915a9f56a9fe8977964555e40"/>
      <w:r>
        <w:t xml:space="preserve">D15.</w:t>
      </w:r>
      <w:r>
        <w:t xml:space="preserve"> </w:t>
      </w:r>
      <w:r>
        <w:t xml:space="preserve">“</w:t>
      </w:r>
      <w:r>
        <w:t xml:space="preserve">¿El Sprint Goal es lo mismo que el Sprint Backlog?</w:t>
      </w:r>
      <w:r>
        <w:t xml:space="preserve">”</w:t>
      </w:r>
      <w:bookmarkEnd w:id="160"/>
    </w:p>
    <w:p>
      <w:pPr>
        <w:pStyle w:val="FirstParagraph"/>
      </w:pPr>
      <w:r>
        <w:t xml:space="preserve">NO. Sprint Goal es un objetivo de negocio para el sprint (</w:t>
      </w:r>
      <w:r>
        <w:t xml:space="preserve">“</w:t>
      </w:r>
      <w:r>
        <w:t xml:space="preserve">entregar el flujo de registro y perfiles funcional</w:t>
      </w:r>
      <w:r>
        <w:t xml:space="preserve">”</w:t>
      </w:r>
      <w:r>
        <w:t xml:space="preserve">). Sprint Backlog es la lista concreta de HU y tareas que se compromete. Goal explica el</w:t>
      </w:r>
      <w:r>
        <w:t xml:space="preserve"> </w:t>
      </w:r>
      <w:r>
        <w:t xml:space="preserve">“</w:t>
      </w:r>
      <w:r>
        <w:t xml:space="preserve">por qué</w:t>
      </w:r>
      <w:r>
        <w:t xml:space="preserve">”</w:t>
      </w:r>
      <w:r>
        <w:t xml:space="preserve">; Backlog detalla el</w:t>
      </w:r>
      <w:r>
        <w:t xml:space="preserve"> </w:t>
      </w:r>
      <w:r>
        <w:t xml:space="preserve">“</w:t>
      </w:r>
      <w:r>
        <w:t xml:space="preserve">qué</w:t>
      </w:r>
      <w:r>
        <w:t xml:space="preserve">”</w:t>
      </w:r>
      <w:r>
        <w:t xml:space="preserve">.</w:t>
      </w:r>
    </w:p>
    <w:p>
      <w:pPr>
        <w:pStyle w:val="Heading4"/>
      </w:pPr>
      <w:bookmarkStart w:id="161" w:name="X9054f50d31916c0e9e5443f8ee1f5878d3e5752"/>
      <w:r>
        <w:t xml:space="preserve">D16.</w:t>
      </w:r>
      <w:r>
        <w:t xml:space="preserve"> </w:t>
      </w:r>
      <w:r>
        <w:t xml:space="preserve">“</w:t>
      </w:r>
      <w:r>
        <w:t xml:space="preserve">¿Qué pasa si una HU pasa Code Review pero falla la Sprint Review?</w:t>
      </w:r>
      <w:r>
        <w:t xml:space="preserve">”</w:t>
      </w:r>
      <w:bookmarkEnd w:id="161"/>
    </w:p>
    <w:p>
      <w:pPr>
        <w:pStyle w:val="FirstParagraph"/>
      </w:pPr>
      <w:r>
        <w:t xml:space="preserve">Regresa al backlog para retrabajo. Code Review valida la implementación técnica; Sprint Review valida la aceptación de negocio por el PO. Si el PO rechaza, la HU no cuenta como Done aunque el código esté limpio.</w:t>
      </w:r>
    </w:p>
    <w:p>
      <w:pPr>
        <w:pStyle w:val="Heading4"/>
      </w:pPr>
      <w:bookmarkStart w:id="162" w:name="X8d7d328de19e4cbcd0cc698cf66baf794b408d7"/>
      <w:r>
        <w:t xml:space="preserve">D17.</w:t>
      </w:r>
      <w:r>
        <w:t xml:space="preserve"> </w:t>
      </w:r>
      <w:r>
        <w:t xml:space="preserve">“</w:t>
      </w:r>
      <w:r>
        <w:t xml:space="preserve">¿Acta de Cierre y Entrega del MVP son lo mismo?</w:t>
      </w:r>
      <w:r>
        <w:t xml:space="preserve">”</w:t>
      </w:r>
      <w:bookmarkEnd w:id="162"/>
    </w:p>
    <w:p>
      <w:pPr>
        <w:pStyle w:val="FirstParagraph"/>
      </w:pPr>
      <w:r>
        <w:t xml:space="preserve">NO. H7 (22 abr 2027) es la entrega técnica del MVP. H8 es la firma del Acta de Cierre, que puede ser posterior. Principio:</w:t>
      </w:r>
      <w:r>
        <w:t xml:space="preserve"> </w:t>
      </w:r>
      <w:r>
        <w:t xml:space="preserve">“</w:t>
      </w:r>
      <w:r>
        <w:t xml:space="preserve">Sin acta firmada, el proyecto no está cerrado.</w:t>
      </w:r>
      <w:r>
        <w:t xml:space="preserve">”</w:t>
      </w:r>
      <w:r>
        <w:t xml:space="preserve"> </w:t>
      </w:r>
      <w:r>
        <w:t xml:space="preserve">La entrega técnica satisface el alcance; el cierre formal satisface el contrato.</w:t>
      </w:r>
    </w:p>
    <w:p>
      <w:pPr>
        <w:pStyle w:val="Heading4"/>
      </w:pPr>
      <w:bookmarkStart w:id="163" w:name="X7727ec483d3d77207def9d6529b3dd26ab07411"/>
      <w:r>
        <w:t xml:space="preserve">D18.</w:t>
      </w:r>
      <w:r>
        <w:t xml:space="preserve"> </w:t>
      </w:r>
      <w:r>
        <w:t xml:space="preserve">“</w:t>
      </w:r>
      <w:r>
        <w:t xml:space="preserve">¿Stakeholder de bajo poder/bajo interés puede ignorarse?</w:t>
      </w:r>
      <w:r>
        <w:t xml:space="preserve">”</w:t>
      </w:r>
      <w:bookmarkEnd w:id="163"/>
    </w:p>
    <w:p>
      <w:pPr>
        <w:pStyle w:val="FirstParagraph"/>
      </w:pPr>
      <w:r>
        <w:t xml:space="preserve">NO. Se monitorea (estrategia</w:t>
      </w:r>
      <w:r>
        <w:t xml:space="preserve"> </w:t>
      </w:r>
      <w:r>
        <w:t xml:space="preserve">“</w:t>
      </w:r>
      <w:r>
        <w:t xml:space="preserve">Monitor</w:t>
      </w:r>
      <w:r>
        <w:t xml:space="preserve">”</w:t>
      </w:r>
      <w:r>
        <w:t xml:space="preserve">). Stakeholders en cuadrante IV (bajo/bajo) hoy pueden cambiar de cuadrante si las condiciones cambian (un proveedor cloud con baja relevancia que se vuelve crítico tras un incidente). Anti-patrón clásico: ignorarlos hasta que se conviertan en problema.</w:t>
      </w:r>
    </w:p>
    <w:p>
      <w:pPr>
        <w:pStyle w:val="Heading4"/>
      </w:pPr>
      <w:bookmarkStart w:id="164" w:name="X943103d6f7232cc7c3f7ab8931377260fde5e65"/>
      <w:r>
        <w:t xml:space="preserve">D19.</w:t>
      </w:r>
      <w:r>
        <w:t xml:space="preserve"> </w:t>
      </w:r>
      <w:r>
        <w:t xml:space="preserve">“</w:t>
      </w:r>
      <w:r>
        <w:t xml:space="preserve">¿La fase de planificación de 9 meses (mar 2026 – dic 2026) no es excesiva?</w:t>
      </w:r>
      <w:r>
        <w:t xml:space="preserve">”</w:t>
      </w:r>
      <w:bookmarkEnd w:id="164"/>
    </w:p>
    <w:p>
      <w:pPr>
        <w:pStyle w:val="FirstParagraph"/>
      </w:pPr>
      <w:r>
        <w:t xml:space="preserve">Trampa interesante. Es la fase de Water-Scrum-Fall, no son 9 meses de full-time dedicado. Se trabaja part-time durante 2026 mientras se cierran adquisiciones (SLA cloud), se aprueban presupuestos UVG, se firma el contrato y se preparan los 10 documentos PMI. El equipo ágil arranca a tiempo completo el 1 ene 2027.</w:t>
      </w:r>
    </w:p>
    <w:p>
      <w:pPr>
        <w:pStyle w:val="Heading4"/>
      </w:pPr>
      <w:bookmarkStart w:id="165" w:name="Xe0c67551b98e5a11163eb0ba14b35fdaa5d6cd7"/>
      <w:r>
        <w:t xml:space="preserve">D20.</w:t>
      </w:r>
      <w:r>
        <w:t xml:space="preserve"> </w:t>
      </w:r>
      <w:r>
        <w:t xml:space="preserve">“</w:t>
      </w:r>
      <w:r>
        <w:t xml:space="preserve">¿El PO puede aceptar una HU que no pase el DoD?</w:t>
      </w:r>
      <w:r>
        <w:t xml:space="preserve">”</w:t>
      </w:r>
      <w:bookmarkEnd w:id="165"/>
    </w:p>
    <w:p>
      <w:pPr>
        <w:pStyle w:val="FirstParagraph"/>
      </w:pPr>
      <w:r>
        <w:t xml:space="preserve">NO. El DoD es no-negociable para el equipo. El PO puede rechazar una HU que pasó DoD si no satisface criterios de aceptación, pero no puede aceptar una HU que no cumplió DoD. Esto protege la calidad técnica del incremento.</w:t>
      </w:r>
    </w:p>
    <w:p>
      <w:pPr>
        <w:pStyle w:val="Heading3"/>
      </w:pPr>
      <w:bookmarkStart w:id="166" w:name="bloque-e-preguntas-sobre-el-dashboard"/>
      <w:r>
        <w:t xml:space="preserve">Bloque E — Preguntas sobre el dashboard</w:t>
      </w:r>
      <w:bookmarkEnd w:id="166"/>
    </w:p>
    <w:p>
      <w:pPr>
        <w:pStyle w:val="Heading4"/>
      </w:pPr>
      <w:bookmarkStart w:id="167" w:name="X9af0e3fee83fc912d8517e01728c664770d1621"/>
      <w:r>
        <w:t xml:space="preserve">E1.</w:t>
      </w:r>
      <w:r>
        <w:t xml:space="preserve"> </w:t>
      </w:r>
      <w:r>
        <w:t xml:space="preserve">“</w:t>
      </w:r>
      <w:r>
        <w:t xml:space="preserve">¿El dashboard es parte del entregable al cliente?</w:t>
      </w:r>
      <w:r>
        <w:t xml:space="preserve">”</w:t>
      </w:r>
      <w:bookmarkEnd w:id="167"/>
    </w:p>
    <w:p>
      <w:pPr>
        <w:pStyle w:val="FirstParagraph"/>
      </w:pPr>
      <w:r>
        <w:t xml:space="preserve">NO. El dashboard es la herramienta de presentación interna y para Sponsor Marroquín. El entregable al cliente UVG es el sistema de recomendación de carreras (32 HU en estado Done). El dashboard documenta el proyecto pero no es el producto.</w:t>
      </w:r>
    </w:p>
    <w:p>
      <w:pPr>
        <w:pStyle w:val="Heading4"/>
      </w:pPr>
      <w:bookmarkStart w:id="168" w:name="Xf054bd833d26558702c53e5241b12b5ca36a447"/>
      <w:r>
        <w:t xml:space="preserve">E2.</w:t>
      </w:r>
      <w:r>
        <w:t xml:space="preserve"> </w:t>
      </w:r>
      <w:r>
        <w:t xml:space="preserve">“</w:t>
      </w:r>
      <w:r>
        <w:t xml:space="preserve">¿La vista financiera con sliders permite negociar el precio en vivo?</w:t>
      </w:r>
      <w:r>
        <w:t xml:space="preserve">”</w:t>
      </w:r>
      <w:bookmarkEnd w:id="168"/>
    </w:p>
    <w:p>
      <w:pPr>
        <w:pStyle w:val="FirstParagraph"/>
      </w:pPr>
      <w:r>
        <w:t xml:space="preserve">Conceptualmente sí, pero es un sandbox educativo. Mover sliders muestra cómo cambian ROI, payback y precio. No es la herramienta oficial de negociación contractual (esa es el Excel maestro firmado).</w:t>
      </w:r>
    </w:p>
    <w:p>
      <w:pPr>
        <w:pStyle w:val="Heading4"/>
      </w:pPr>
      <w:bookmarkStart w:id="169" w:name="Xa49d359652a5364970efbd0504bf30c096dd405"/>
      <w:r>
        <w:t xml:space="preserve">E3.</w:t>
      </w:r>
      <w:r>
        <w:t xml:space="preserve"> </w:t>
      </w:r>
      <w:r>
        <w:t xml:space="preserve">“</w:t>
      </w:r>
      <w:r>
        <w:t xml:space="preserve">Si el precio cliente cambia en el dashboard, ¿cambia el contrato?</w:t>
      </w:r>
      <w:r>
        <w:t xml:space="preserve">”</w:t>
      </w:r>
      <w:bookmarkEnd w:id="169"/>
    </w:p>
    <w:p>
      <w:pPr>
        <w:pStyle w:val="FirstParagraph"/>
      </w:pPr>
      <w:r>
        <w:t xml:space="preserve">NO. El contrato firmado fija el precio en Q 814,000. Los sliders del dashboard son educativos, no contractuales.</w:t>
      </w:r>
    </w:p>
    <w:p>
      <w:pPr>
        <w:pStyle w:val="Heading4"/>
      </w:pPr>
      <w:bookmarkStart w:id="170" w:name="X5508c65c4949007b339557d311b5a7f921ac76d"/>
      <w:r>
        <w:t xml:space="preserve">E4.</w:t>
      </w:r>
      <w:r>
        <w:t xml:space="preserve"> </w:t>
      </w:r>
      <w:r>
        <w:t xml:space="preserve">“</w:t>
      </w:r>
      <w:r>
        <w:t xml:space="preserve">¿Por qué hay vista cliente y vista interna?</w:t>
      </w:r>
      <w:r>
        <w:t xml:space="preserve">”</w:t>
      </w:r>
      <w:bookmarkEnd w:id="170"/>
    </w:p>
    <w:p>
      <w:pPr>
        <w:pStyle w:val="FirstParagraph"/>
      </w:pPr>
      <w:r>
        <w:t xml:space="preserve">Porque el contrato exige uniformidad (FTE 1.0 para todos, precio cerrado), pero internamente la operación real difiere (PO al 0.7 FTE). La vista interna refleja el costo real con el que la empresa paga al equipo; la vista cliente refleja lo que se factura. La diferencia (Q 28,000) es beneficio adicional capturado por el FTE no facturado.</w:t>
      </w:r>
    </w:p>
    <w:p>
      <w:pPr>
        <w:pStyle w:val="Heading4"/>
      </w:pPr>
      <w:bookmarkStart w:id="171" w:name="e5.-qué-muestra-el-diagrama-sankey"/>
      <w:r>
        <w:t xml:space="preserve">E5.</w:t>
      </w:r>
      <w:r>
        <w:t xml:space="preserve"> </w:t>
      </w:r>
      <w:r>
        <w:t xml:space="preserve">“</w:t>
      </w:r>
      <w:r>
        <w:t xml:space="preserve">¿Qué muestra el diagrama Sankey?</w:t>
      </w:r>
      <w:r>
        <w:t xml:space="preserve">”</w:t>
      </w:r>
      <w:bookmarkEnd w:id="171"/>
    </w:p>
    <w:p>
      <w:pPr>
        <w:pStyle w:val="FirstParagraph"/>
      </w:pPr>
      <w:r>
        <w:t xml:space="preserve">El flujo de dinero desde los componentes de inversión (costo equipo, costos adicionales, reserva) hasta el precio final, pasando por la suma como inversión total y la aplicación del margen del 35% y el redondeo CEILING. Visualiza cómo Q 528,871.80 de inversión se convierten en Q 814,000 de precio.</w:t>
      </w:r>
    </w:p>
    <w:p>
      <w:pPr>
        <w:pStyle w:val="Heading4"/>
      </w:pPr>
      <w:bookmarkStart w:id="172" w:name="X8e919d50315b950d095b65406cd6b8561fd54a2"/>
      <w:r>
        <w:t xml:space="preserve">E6.</w:t>
      </w:r>
      <w:r>
        <w:t xml:space="preserve"> </w:t>
      </w:r>
      <w:r>
        <w:t xml:space="preserve">“</w:t>
      </w:r>
      <w:r>
        <w:t xml:space="preserve">¿Qué información da la matriz Poder-Interés?</w:t>
      </w:r>
      <w:r>
        <w:t xml:space="preserve">”</w:t>
      </w:r>
      <w:bookmarkEnd w:id="172"/>
    </w:p>
    <w:p>
      <w:pPr>
        <w:pStyle w:val="FirstParagraph"/>
      </w:pPr>
      <w:r>
        <w:t xml:space="preserve">Cómo tratar a cada stakeholder. Cuadrante I (alto/alto, Sponsor Marroquín y Admisiones): gestionar de cerca, informes quincenales. Cuadrante II (alto/bajo, TI UVG): mantener satisfecho. Cuadrante III (bajo/alto, estudiantes): mantener informado. Cuadrante IV (bajo/bajo, proveedor cloud): monitorear. Define la estrategia del plan de comunicaciones C1–C8.</w:t>
      </w:r>
    </w:p>
    <w:p>
      <w:pPr>
        <w:pStyle w:val="Heading3"/>
      </w:pPr>
      <w:bookmarkStart w:id="173" w:name="bloque-f-preguntas-sobre-riesgos"/>
      <w:r>
        <w:t xml:space="preserve">Bloque F — Preguntas sobre riesgos</w:t>
      </w:r>
      <w:bookmarkEnd w:id="173"/>
    </w:p>
    <w:p>
      <w:pPr>
        <w:pStyle w:val="Heading4"/>
      </w:pPr>
      <w:bookmarkStart w:id="174" w:name="f1.-cómo-identificaron-los-9-riesgos"/>
      <w:r>
        <w:t xml:space="preserve">F1.</w:t>
      </w:r>
      <w:r>
        <w:t xml:space="preserve"> </w:t>
      </w:r>
      <w:r>
        <w:t xml:space="preserve">“</w:t>
      </w:r>
      <w:r>
        <w:t xml:space="preserve">¿Cómo identificaron los 9 riesgos?</w:t>
      </w:r>
      <w:r>
        <w:t xml:space="preserve">”</w:t>
      </w:r>
      <w:bookmarkEnd w:id="174"/>
    </w:p>
    <w:p>
      <w:pPr>
        <w:pStyle w:val="FirstParagraph"/>
      </w:pPr>
      <w:r>
        <w:t xml:space="preserve">Por sesión estructurada cubriendo las categorías PMI: alcance (R1, R4, R9), tiempo (R2), comunicación (R3), personal (R5), proveedor (R6), cliente/usuario (R7), técnico/legal (R8). Cada riesgo se clasificó por categoría, probabilidad (escala 0.20/0.40/0.70) e impacto en meses de burn rate.</w:t>
      </w:r>
    </w:p>
    <w:p>
      <w:pPr>
        <w:pStyle w:val="Heading4"/>
      </w:pPr>
      <w:bookmarkStart w:id="175" w:name="Xcee3edd0d8cec4a8fed7fc408a0f124348016a2"/>
      <w:r>
        <w:t xml:space="preserve">F2.</w:t>
      </w:r>
      <w:r>
        <w:t xml:space="preserve"> </w:t>
      </w:r>
      <w:r>
        <w:t xml:space="preserve">“</w:t>
      </w:r>
      <w:r>
        <w:t xml:space="preserve">¿Por qué la probabilidad Alta es sólo 0.70 y no 0.90?</w:t>
      </w:r>
      <w:r>
        <w:t xml:space="preserve">”</w:t>
      </w:r>
      <w:bookmarkEnd w:id="175"/>
    </w:p>
    <w:p>
      <w:pPr>
        <w:pStyle w:val="FirstParagraph"/>
      </w:pPr>
      <w:r>
        <w:t xml:space="preserve">Porque un riesgo con probabilidad 0.90 es prácticamente una certeza y debería gestionarse como issue, no como riesgo. La escala PMI tradicional usa Alta = 0.70 como umbral para</w:t>
      </w:r>
      <w:r>
        <w:t xml:space="preserve"> </w:t>
      </w:r>
      <w:r>
        <w:t xml:space="preserve">“</w:t>
      </w:r>
      <w:r>
        <w:t xml:space="preserve">muy probable pero no seguro</w:t>
      </w:r>
      <w:r>
        <w:t xml:space="preserve">”</w:t>
      </w:r>
      <w:r>
        <w:t xml:space="preserve">. Es convención del campo.</w:t>
      </w:r>
    </w:p>
    <w:p>
      <w:pPr>
        <w:pStyle w:val="Heading4"/>
      </w:pPr>
      <w:bookmarkStart w:id="176" w:name="Xa41887600e9cd80f232bd2f171203fb9e1816f0"/>
      <w:r>
        <w:t xml:space="preserve">F3.</w:t>
      </w:r>
      <w:r>
        <w:t xml:space="preserve"> </w:t>
      </w:r>
      <w:r>
        <w:t xml:space="preserve">“</w:t>
      </w:r>
      <w:r>
        <w:t xml:space="preserve">Trampa: ¿La reserva de Q 133,769.80 cubre los 9 riesgos materializándose al mismo tiempo?</w:t>
      </w:r>
      <w:r>
        <w:t xml:space="preserve">”</w:t>
      </w:r>
      <w:bookmarkEnd w:id="176"/>
    </w:p>
    <w:p>
      <w:pPr>
        <w:pStyle w:val="FirstParagraph"/>
      </w:pPr>
      <w:r>
        <w:t xml:space="preserve">NO. Cubre el EMV, que ya descuenta probabilidad. Si los 9 riesgos se materializaran al 100% al mismo tiempo, el impacto crudo total sería ~Q 562,654, no Q 133,769.80. La reserva cubre el escenario esperado (probabilísticamente ponderado), no el peor caso absoluto.</w:t>
      </w:r>
    </w:p>
    <w:p>
      <w:pPr>
        <w:pStyle w:val="Heading4"/>
      </w:pPr>
      <w:bookmarkStart w:id="177" w:name="Xf1f2f5322ebb2eb4d66053b6de0fb2bd08a22dc"/>
      <w:r>
        <w:t xml:space="preserve">F4.</w:t>
      </w:r>
      <w:r>
        <w:t xml:space="preserve"> </w:t>
      </w:r>
      <w:r>
        <w:t xml:space="preserve">“</w:t>
      </w:r>
      <w:r>
        <w:t xml:space="preserve">¿Qué hacen si un riesgo no previsto se materializa?</w:t>
      </w:r>
      <w:r>
        <w:t xml:space="preserve">”</w:t>
      </w:r>
      <w:bookmarkEnd w:id="177"/>
    </w:p>
    <w:p>
      <w:pPr>
        <w:pStyle w:val="FirstParagraph"/>
      </w:pPr>
      <w:r>
        <w:t xml:space="preserve">Se documenta como issue, se evalúa impacto y se gestiona vía CR formal al CCB. Si requiere fondos, se evalúa si la reserva de contingencia cubre; si no, se solicita reserva de gestión adicional al Sponsor.</w:t>
      </w:r>
    </w:p>
    <w:p>
      <w:pPr>
        <w:pStyle w:val="Heading4"/>
      </w:pPr>
      <w:bookmarkStart w:id="178" w:name="X5eb3f009aef957867150856bd786769a9dff97d"/>
      <w:r>
        <w:t xml:space="preserve">F5.</w:t>
      </w:r>
      <w:r>
        <w:t xml:space="preserve"> </w:t>
      </w:r>
      <w:r>
        <w:t xml:space="preserve">“</w:t>
      </w:r>
      <w:r>
        <w:t xml:space="preserve">¿Diferencia entre reserva de contingencia y reserva de gestión?</w:t>
      </w:r>
      <w:r>
        <w:t xml:space="preserve">”</w:t>
      </w:r>
      <w:bookmarkEnd w:id="178"/>
    </w:p>
    <w:p>
      <w:pPr>
        <w:numPr>
          <w:ilvl w:val="0"/>
          <w:numId w:val="1051"/>
        </w:numPr>
        <w:pStyle w:val="Compact"/>
      </w:pPr>
      <w:r>
        <w:t xml:space="preserve">Contingencia: cubre riesgos identificados (R1–R9). La maneja el PO. Está incluida en la inversión.</w:t>
      </w:r>
    </w:p>
    <w:p>
      <w:pPr>
        <w:numPr>
          <w:ilvl w:val="0"/>
          <w:numId w:val="1051"/>
        </w:numPr>
        <w:pStyle w:val="Compact"/>
      </w:pPr>
      <w:r>
        <w:t xml:space="preserve">Gestión: cubre riesgos no identificados (unknown unknowns). La autoriza el Sponsor. No está incluida en el modelo porque el cliente exige precio fijo.</w:t>
      </w:r>
    </w:p>
    <w:p>
      <w:pPr>
        <w:pStyle w:val="Heading4"/>
      </w:pPr>
      <w:bookmarkStart w:id="179" w:name="Xc9e97de046e40c86d746abcf9e07f5405c693de"/>
      <w:r>
        <w:t xml:space="preserve">F6.</w:t>
      </w:r>
      <w:r>
        <w:t xml:space="preserve"> </w:t>
      </w:r>
      <w:r>
        <w:t xml:space="preserve">“</w:t>
      </w:r>
      <w:r>
        <w:t xml:space="preserve">¿Por qué R8 (datos personales) se Evita en lugar de Mitigar?</w:t>
      </w:r>
      <w:r>
        <w:t xml:space="preserve">”</w:t>
      </w:r>
      <w:bookmarkEnd w:id="179"/>
    </w:p>
    <w:p>
      <w:pPr>
        <w:pStyle w:val="FirstParagraph"/>
      </w:pPr>
      <w:r>
        <w:t xml:space="preserve">Porque las consecuencias legales y reputacionales de una fuga de datos de menores son catastróficas e irreversibles. Mitigar reduce probabilidad/impacto pero no a cero. Evitar implica diseñar la arquitectura para que el riesgo no exista: cifrado en tránsito y reposo, minimización de datos sensibles, revisión de seguridad por sprint, NDA firmados.</w:t>
      </w:r>
    </w:p>
    <w:p>
      <w:pPr>
        <w:pStyle w:val="Heading4"/>
      </w:pPr>
      <w:bookmarkStart w:id="180" w:name="Xf0d4684929e5ddfaedd64a277695c5fbd5a6597"/>
      <w:r>
        <w:t xml:space="preserve">F7.</w:t>
      </w:r>
      <w:r>
        <w:t xml:space="preserve"> </w:t>
      </w:r>
      <w:r>
        <w:t xml:space="preserve">“</w:t>
      </w:r>
      <w:r>
        <w:t xml:space="preserve">R6 lo transfieren al proveedor cloud. ¿Y si el proveedor incumple?</w:t>
      </w:r>
      <w:r>
        <w:t xml:space="preserve">”</w:t>
      </w:r>
      <w:bookmarkEnd w:id="180"/>
    </w:p>
    <w:p>
      <w:pPr>
        <w:pStyle w:val="FirstParagraph"/>
      </w:pPr>
      <w:r>
        <w:t xml:space="preserve">El SLA contractual incluye créditos de servicio y RTO ≤4 horas. Si el incumplimiento es grave, se activa el plan de contingencia con segundo proveedor. Aun así, el proveedor cloud no asume el daño reputacional ante UVG: ese sigue siendo del proveedor. Por eso decimos transferencia</w:t>
      </w:r>
      <w:r>
        <w:t xml:space="preserve"> </w:t>
      </w:r>
      <w:r>
        <w:t xml:space="preserve">“</w:t>
      </w:r>
      <w:r>
        <w:t xml:space="preserve">operativa</w:t>
      </w:r>
      <w:r>
        <w:t xml:space="preserve">”</w:t>
      </w:r>
      <w:r>
        <w:t xml:space="preserve">, no total.</w:t>
      </w:r>
    </w:p>
    <w:p>
      <w:pPr>
        <w:pStyle w:val="Heading3"/>
      </w:pPr>
      <w:bookmarkStart w:id="181" w:name="X614bfd378ad22f5687b7dc9ab86fb2e63fa7a06"/>
      <w:r>
        <w:t xml:space="preserve">Bloque G — Trampa final: preguntas con premisa falsa</w:t>
      </w:r>
      <w:bookmarkEnd w:id="181"/>
    </w:p>
    <w:p>
      <w:pPr>
        <w:pStyle w:val="Heading4"/>
      </w:pPr>
      <w:bookmarkStart w:id="182" w:name="X452b55f781b0ed2bbdeca6f97ddf7ff64291ce4"/>
      <w:r>
        <w:t xml:space="preserve">G1.</w:t>
      </w:r>
      <w:r>
        <w:t xml:space="preserve"> </w:t>
      </w:r>
      <w:r>
        <w:t xml:space="preserve">“</w:t>
      </w:r>
      <w:r>
        <w:t xml:space="preserve">¿Por qué incluyeron NPV en su análisis?</w:t>
      </w:r>
      <w:r>
        <w:t xml:space="preserve">”</w:t>
      </w:r>
      <w:bookmarkEnd w:id="182"/>
    </w:p>
    <w:p>
      <w:pPr>
        <w:pStyle w:val="FirstParagraph"/>
      </w:pPr>
      <w:r>
        <w:t xml:space="preserve">Trampa. NO incluimos NPV explícito. Usamos ROI vs TMAR como equivalente para un proyecto de plazo corto. Si lo pidieran, se calcularía descontando los flujos del esquema 30/40/30 a la TMAR.</w:t>
      </w:r>
    </w:p>
    <w:p>
      <w:pPr>
        <w:pStyle w:val="Heading4"/>
      </w:pPr>
      <w:bookmarkStart w:id="183" w:name="g2.-cuál-es-el-wacc-del-proyecto"/>
      <w:r>
        <w:t xml:space="preserve">G2.</w:t>
      </w:r>
      <w:r>
        <w:t xml:space="preserve"> </w:t>
      </w:r>
      <w:r>
        <w:t xml:space="preserve">“</w:t>
      </w:r>
      <w:r>
        <w:t xml:space="preserve">¿Cuál es el WACC del proyecto?</w:t>
      </w:r>
      <w:r>
        <w:t xml:space="preserve">”</w:t>
      </w:r>
      <w:bookmarkEnd w:id="183"/>
    </w:p>
    <w:p>
      <w:pPr>
        <w:pStyle w:val="FirstParagraph"/>
      </w:pPr>
      <w:r>
        <w:t xml:space="preserve">Trampa. WACC (Weighted Average Cost of Capital) es métrica corporativa, no por proyecto. Usamos TMAR (35%) que cumple el rol equivalente: umbral mínimo incluyendo costo de capital y prima de riesgo.</w:t>
      </w:r>
    </w:p>
    <w:p>
      <w:pPr>
        <w:pStyle w:val="Heading4"/>
      </w:pPr>
      <w:bookmarkStart w:id="184" w:name="X2c9f33946f20f7c386815ebeb48a96eb11e1a94"/>
      <w:r>
        <w:t xml:space="preserve">G3.</w:t>
      </w:r>
      <w:r>
        <w:t xml:space="preserve"> </w:t>
      </w:r>
      <w:r>
        <w:t xml:space="preserve">“</w:t>
      </w:r>
      <w:r>
        <w:t xml:space="preserve">¿Su buffer del 10% es suficiente para 8 sprints?</w:t>
      </w:r>
      <w:r>
        <w:t xml:space="preserve">”</w:t>
      </w:r>
      <w:bookmarkEnd w:id="184"/>
    </w:p>
    <w:p>
      <w:pPr>
        <w:pStyle w:val="FirstParagraph"/>
      </w:pPr>
      <w:r>
        <w:t xml:space="preserve">Sí, justificado específicamente por XP: TDD detecta defectos en minutos, CI en horas, Pair Programming previene errores en línea. Sin XP, mantendríamos buffer 25%.</w:t>
      </w:r>
    </w:p>
    <w:p>
      <w:pPr>
        <w:pStyle w:val="Heading4"/>
      </w:pPr>
      <w:bookmarkStart w:id="185" w:name="X1040d2f08fb451d12d5c1c6962399483ee6c796"/>
      <w:r>
        <w:t xml:space="preserve">G4.</w:t>
      </w:r>
      <w:r>
        <w:t xml:space="preserve"> </w:t>
      </w:r>
      <w:r>
        <w:t xml:space="preserve">“</w:t>
      </w:r>
      <w:r>
        <w:t xml:space="preserve">Si el alcance crece 20%, ¿qué pasa con el precio?</w:t>
      </w:r>
      <w:r>
        <w:t xml:space="preserve">”</w:t>
      </w:r>
      <w:bookmarkEnd w:id="185"/>
    </w:p>
    <w:p>
      <w:pPr>
        <w:pStyle w:val="FirstParagraph"/>
      </w:pPr>
      <w:r>
        <w:t xml:space="preserve">Si entra por ROM (≤4 SP, sin afectar hitos), no cambia el precio. Si excede ROM o afecta hitos, va por CR formal al CCB Ampliado. Si se aprueba, se re-cotiza incrementalmente: precio adicional = inversión adicional / 0.65, redondeado al millar.</w:t>
      </w:r>
    </w:p>
    <w:p>
      <w:pPr>
        <w:pStyle w:val="Heading4"/>
      </w:pPr>
      <w:bookmarkStart w:id="186" w:name="g5.-la-velocidad-de-20-sp-es-alta-o-baja"/>
      <w:r>
        <w:t xml:space="preserve">G5.</w:t>
      </w:r>
      <w:r>
        <w:t xml:space="preserve"> </w:t>
      </w:r>
      <w:r>
        <w:t xml:space="preserve">“</w:t>
      </w:r>
      <w:r>
        <w:t xml:space="preserve">¿La velocidad de 20 SP es alta o baja?</w:t>
      </w:r>
      <w:r>
        <w:t xml:space="preserve">”</w:t>
      </w:r>
      <w:bookmarkEnd w:id="186"/>
    </w:p>
    <w:p>
      <w:pPr>
        <w:pStyle w:val="FirstParagraph"/>
      </w:pPr>
      <w:r>
        <w:t xml:space="preserve">Trampa: velocidad es relativa, no absoluta. 20 SP con HUs máximo 8 SP significa ~3–5 HU por sprint, razonable para 6 personas en 10 días hábiles. Comparar con otros equipos no aplica.</w:t>
      </w:r>
    </w:p>
    <w:p>
      <w:pPr>
        <w:pStyle w:val="Heading4"/>
      </w:pPr>
      <w:bookmarkStart w:id="187" w:name="Xd42f2afab3f45b4a7eba5138bd2796148255dce"/>
      <w:r>
        <w:t xml:space="preserve">G6.</w:t>
      </w:r>
      <w:r>
        <w:t xml:space="preserve"> </w:t>
      </w:r>
      <w:r>
        <w:t xml:space="preserve">“</w:t>
      </w:r>
      <w:r>
        <w:t xml:space="preserve">¿Por qué no usaron COCOMO o Function Points?</w:t>
      </w:r>
      <w:r>
        <w:t xml:space="preserve">”</w:t>
      </w:r>
      <w:bookmarkEnd w:id="187"/>
    </w:p>
    <w:p>
      <w:pPr>
        <w:pStyle w:val="FirstParagraph"/>
      </w:pPr>
      <w:r>
        <w:t xml:space="preserve">COCOMO II y Function Points son paramétricas y top-down. Las usamos implícitamente al dimensionar los 121 SP. Para el día a día usamos Planning Poker con Fibonacci porque refleja mejor incertidumbre y es incremental.</w:t>
      </w:r>
    </w:p>
    <w:p>
      <w:pPr>
        <w:pStyle w:val="Heading4"/>
      </w:pPr>
      <w:bookmarkStart w:id="188" w:name="X9d46a9575b2ae1f4f752c42c762eea2928b434c"/>
      <w:r>
        <w:t xml:space="preserve">G7.</w:t>
      </w:r>
      <w:r>
        <w:t xml:space="preserve"> </w:t>
      </w:r>
      <w:r>
        <w:t xml:space="preserve">“</w:t>
      </w:r>
      <w:r>
        <w:t xml:space="preserve">¿La empresa quebraría si todos los riesgos se materializan?</w:t>
      </w:r>
      <w:r>
        <w:t xml:space="preserve">”</w:t>
      </w:r>
      <w:bookmarkEnd w:id="188"/>
    </w:p>
    <w:p>
      <w:pPr>
        <w:pStyle w:val="FirstParagraph"/>
      </w:pPr>
      <w:r>
        <w:t xml:space="preserve">No. ROI adverso cae a 24.26%, sigue positivo. El umbral de quiebra estaría en ROI &lt; 0, lo cual requeriría riesgos por encima de Q 285,128.20 (beneficio neto), aproximadamente el doble de la reserva.</w:t>
      </w:r>
    </w:p>
    <w:p>
      <w:pPr>
        <w:pStyle w:val="Heading4"/>
      </w:pPr>
      <w:bookmarkStart w:id="189" w:name="X456bfefd4b85e0dd98f082bced40379c482c516"/>
      <w:r>
        <w:t xml:space="preserve">G8.</w:t>
      </w:r>
      <w:r>
        <w:t xml:space="preserve"> </w:t>
      </w:r>
      <w:r>
        <w:t xml:space="preserve">“</w:t>
      </w:r>
      <w:r>
        <w:t xml:space="preserve">¿Su CPI cómo lo van a medir si no han ejecutado?</w:t>
      </w:r>
      <w:r>
        <w:t xml:space="preserve">”</w:t>
      </w:r>
      <w:bookmarkEnd w:id="189"/>
    </w:p>
    <w:p>
      <w:pPr>
        <w:pStyle w:val="FirstParagraph"/>
      </w:pPr>
      <w:r>
        <w:t xml:space="preserve">CPI se mide en ejecución. Hoy sólo tenemos PV planificado por sprint (Q 87,500 → Q 814,000). Al arrancar el 1 ene 2027 mediremos AC y EV y reportaremos CPI/SPI sprint por sprint en el informe C1.</w:t>
      </w:r>
    </w:p>
    <w:p>
      <w:pPr>
        <w:pStyle w:val="Heading4"/>
      </w:pPr>
      <w:bookmarkStart w:id="190" w:name="Xfc56d5547430687cf9148594ac9d4b9040559dd"/>
      <w:r>
        <w:t xml:space="preserve">G9.</w:t>
      </w:r>
      <w:r>
        <w:t xml:space="preserve"> </w:t>
      </w:r>
      <w:r>
        <w:t xml:space="preserve">“</w:t>
      </w:r>
      <w:r>
        <w:t xml:space="preserve">Si el ROI es 53.85%, ¿por qué no piden TMAR del 50%?</w:t>
      </w:r>
      <w:r>
        <w:t xml:space="preserve">”</w:t>
      </w:r>
      <w:bookmarkEnd w:id="190"/>
    </w:p>
    <w:p>
      <w:pPr>
        <w:pStyle w:val="FirstParagraph"/>
      </w:pPr>
      <w:r>
        <w:t xml:space="preserve">Porque la TMAR refleja las alternativas de inversión del proveedor, no el ROI del proyecto. Subirla artificialmente diría que el proyecto no es viable, lo cual sería falso: el proyecto supera el umbral honesto del 35%.</w:t>
      </w:r>
    </w:p>
    <w:p>
      <w:pPr>
        <w:pStyle w:val="Heading4"/>
      </w:pPr>
      <w:bookmarkStart w:id="191" w:name="X748a23be69df2513b75b140990c4e9249fa13c4"/>
      <w:r>
        <w:t xml:space="preserve">G10.</w:t>
      </w:r>
      <w:r>
        <w:t xml:space="preserve"> </w:t>
      </w:r>
      <w:r>
        <w:t xml:space="preserve">“</w:t>
      </w:r>
      <w:r>
        <w:t xml:space="preserve">¿El proyecto cuánto aporta al ROA corporativo?</w:t>
      </w:r>
      <w:r>
        <w:t xml:space="preserve">”</w:t>
      </w:r>
      <w:bookmarkEnd w:id="191"/>
    </w:p>
    <w:p>
      <w:pPr>
        <w:pStyle w:val="FirstParagraph"/>
      </w:pPr>
      <w:r>
        <w:t xml:space="preserve">Sobre activos de Q 500,000 y beneficio Q 285,128.20, contribuye con +57 pp al ROA antes de impuestos. El ROA real depende de cuántos proyectos paralelos compartan los mismos activos.</w:t>
      </w:r>
    </w:p>
    <w:p>
      <w:pPr>
        <w:pStyle w:val="Heading3"/>
      </w:pPr>
      <w:bookmarkStart w:id="192" w:name="X784c7049c9bbaf1f5924ff054b390aaf6db61af"/>
      <w:r>
        <w:t xml:space="preserve">Bloque H — Preguntas sobre comunicaciones, cierre y trampas finales</w:t>
      </w:r>
      <w:bookmarkEnd w:id="192"/>
    </w:p>
    <w:p>
      <w:pPr>
        <w:pStyle w:val="Heading4"/>
      </w:pPr>
      <w:bookmarkStart w:id="193" w:name="Xecc29964677d03f1ae8d7b6658773020df25106"/>
      <w:r>
        <w:t xml:space="preserve">H1.</w:t>
      </w:r>
      <w:r>
        <w:t xml:space="preserve"> </w:t>
      </w:r>
      <w:r>
        <w:t xml:space="preserve">“</w:t>
      </w:r>
      <w:r>
        <w:t xml:space="preserve">¿Qué pasa en una comunicación de pasillo sin acta?</w:t>
      </w:r>
      <w:r>
        <w:t xml:space="preserve">”</w:t>
      </w:r>
      <w:bookmarkEnd w:id="193"/>
    </w:p>
    <w:p>
      <w:pPr>
        <w:pStyle w:val="FirstParagraph"/>
      </w:pPr>
      <w:r>
        <w:t xml:space="preserve">Es uno de los 4 anti-patrones de comunicaciones. Toda decisión que afecte alcance, costo, cronograma o calidad debe pasar a acta. Si no está documentada, no existe ante el Sponsor.</w:t>
      </w:r>
    </w:p>
    <w:p>
      <w:pPr>
        <w:pStyle w:val="Heading4"/>
      </w:pPr>
      <w:bookmarkStart w:id="194" w:name="X74a9e01d4ceb310d0fd32b776e260bd46ccf22c"/>
      <w:r>
        <w:t xml:space="preserve">H2.</w:t>
      </w:r>
      <w:r>
        <w:t xml:space="preserve"> </w:t>
      </w:r>
      <w:r>
        <w:t xml:space="preserve">“</w:t>
      </w:r>
      <w:r>
        <w:t xml:space="preserve">¿Por qué C8 es una sola comunicación al final?</w:t>
      </w:r>
      <w:r>
        <w:t xml:space="preserve">”</w:t>
      </w:r>
      <w:bookmarkEnd w:id="194"/>
    </w:p>
    <w:p>
      <w:pPr>
        <w:pStyle w:val="FirstParagraph"/>
      </w:pPr>
      <w:r>
        <w:t xml:space="preserve">Porque C8 es el Acta de Cierre al cuadrante I (Sponsor, UVG, Admisiones, PO, SM). Su naturaleza es de cierre formal del proyecto (H8), no de comunicación operativa. Las comunicaciones operativas son C1 (quincenal Sponsor) y C2 (por hito Admisiones).</w:t>
      </w:r>
    </w:p>
    <w:p>
      <w:pPr>
        <w:pStyle w:val="Heading4"/>
      </w:pPr>
      <w:bookmarkStart w:id="195" w:name="Xbd7441e1f2235e1428337ec728ab0bccdbdb981"/>
      <w:r>
        <w:t xml:space="preserve">H3.</w:t>
      </w:r>
      <w:r>
        <w:t xml:space="preserve"> </w:t>
      </w:r>
      <w:r>
        <w:t xml:space="preserve">“</w:t>
      </w:r>
      <w:r>
        <w:t xml:space="preserve">¿Qué pasa entre H7 (22 abr) y H8 (firma del Acta)?</w:t>
      </w:r>
      <w:r>
        <w:t xml:space="preserve">”</w:t>
      </w:r>
      <w:bookmarkEnd w:id="195"/>
    </w:p>
    <w:p>
      <w:pPr>
        <w:pStyle w:val="FirstParagraph"/>
      </w:pPr>
      <w:r>
        <w:t xml:space="preserve">Periodo de validación post-entrega. El cliente revisa el MVP, levanta observaciones menores que se resuelven, se prepara el reporte EVM final y las lecciones aprendidas. Termina con la firma formal del Acta de Cierre. Sin esa firma, el proyecto no está cerrado.</w:t>
      </w:r>
    </w:p>
    <w:p>
      <w:pPr>
        <w:pStyle w:val="Heading4"/>
      </w:pPr>
      <w:bookmarkStart w:id="196" w:name="Xcab243ba392235b7fdbd7a0709d55b5c931e599"/>
      <w:r>
        <w:t xml:space="preserve">H4.</w:t>
      </w:r>
      <w:r>
        <w:t xml:space="preserve"> </w:t>
      </w:r>
      <w:r>
        <w:t xml:space="preserve">“</w:t>
      </w:r>
      <w:r>
        <w:t xml:space="preserve">¿La planificación de 9 meses (mar–dic 2026) no es excesiva?</w:t>
      </w:r>
      <w:r>
        <w:t xml:space="preserve">”</w:t>
      </w:r>
      <w:bookmarkEnd w:id="196"/>
    </w:p>
    <w:p>
      <w:pPr>
        <w:pStyle w:val="FirstParagraph"/>
      </w:pPr>
      <w:r>
        <w:t xml:space="preserve">No es full-time. Se trabaja part-time mientras se cierran adquisiciones (SLA cloud), se aprueba el presupuesto UVG, se firma el contrato y se preparan los 10 documentos PMI. El equipo arranca a tiempo completo el 1 ene 2027.</w:t>
      </w:r>
    </w:p>
    <w:p>
      <w:pPr>
        <w:pStyle w:val="Heading4"/>
      </w:pPr>
      <w:bookmarkStart w:id="197" w:name="X3488d4d1d2775ea3d6bdd132503901e2715c943"/>
      <w:r>
        <w:t xml:space="preserve">H5.</w:t>
      </w:r>
      <w:r>
        <w:t xml:space="preserve"> </w:t>
      </w:r>
      <w:r>
        <w:t xml:space="preserve">“</w:t>
      </w:r>
      <w:r>
        <w:t xml:space="preserve">¿Qué documentos PMI entregan al inicio?</w:t>
      </w:r>
      <w:r>
        <w:t xml:space="preserve">”</w:t>
      </w:r>
      <w:bookmarkEnd w:id="197"/>
    </w:p>
    <w:p>
      <w:pPr>
        <w:pStyle w:val="FirstParagraph"/>
      </w:pPr>
      <w:r>
        <w:t xml:space="preserve">10 documentos codificados SITPS-PMI-2026-01 a SITPS-PMI-2026-15: Project Charter, WBS, plan de riesgos, plan de comunicaciones C1–C8, plan de adquisiciones con SLA, registro de stakeholders, Gantt H1–H8 + 8 sprints, plan de calidad, control integrado de cambios, plan EVM.</w:t>
      </w:r>
    </w:p>
    <w:p>
      <w:pPr>
        <w:pStyle w:val="Heading4"/>
      </w:pPr>
      <w:bookmarkStart w:id="198" w:name="h6.-si-el-sponsor-cambia-qué-pasa"/>
      <w:r>
        <w:t xml:space="preserve">H6.</w:t>
      </w:r>
      <w:r>
        <w:t xml:space="preserve"> </w:t>
      </w:r>
      <w:r>
        <w:t xml:space="preserve">“</w:t>
      </w:r>
      <w:r>
        <w:t xml:space="preserve">Si el Sponsor cambia, ¿qué pasa?</w:t>
      </w:r>
      <w:r>
        <w:t xml:space="preserve">”</w:t>
      </w:r>
      <w:bookmarkEnd w:id="198"/>
    </w:p>
    <w:p>
      <w:pPr>
        <w:pStyle w:val="FirstParagraph"/>
      </w:pPr>
      <w:r>
        <w:t xml:space="preserve">Es un cambio de stakeholder de cuadrante I (alto/alto). Se activa C1 extraordinario, se documenta el cambio en el registro de stakeholders, se evalúa si el nuevo Sponsor mantiene las decisiones clave (alcance, presupuesto, hitos). Si modifica, se procesan como CR al CCB Ampliado.</w:t>
      </w:r>
    </w:p>
    <w:p>
      <w:pPr>
        <w:pStyle w:val="Heading4"/>
      </w:pPr>
      <w:bookmarkStart w:id="199" w:name="X86f28300fb07d59142d75dd72deb0a384ef5c31"/>
      <w:r>
        <w:t xml:space="preserve">H7.</w:t>
      </w:r>
      <w:r>
        <w:t xml:space="preserve"> </w:t>
      </w:r>
      <w:r>
        <w:t xml:space="preserve">“</w:t>
      </w:r>
      <w:r>
        <w:t xml:space="preserve">¿Las lecciones aprendidas son sólo documentación al final?</w:t>
      </w:r>
      <w:r>
        <w:t xml:space="preserve">”</w:t>
      </w:r>
      <w:bookmarkEnd w:id="199"/>
    </w:p>
    <w:p>
      <w:pPr>
        <w:pStyle w:val="FirstParagraph"/>
      </w:pPr>
      <w:r>
        <w:t xml:space="preserve">NO. Son input para el siguiente proyecto y para la madurez metodológica de la empresa. Las 3 lecciones documentadas son: (1) validar temprano el catálogo con stakeholders externos, (2) planificar el buffer en el Charter en lugar de improvisarlo, (3) redirigir solicitudes de cambio al PO no al developer.</w:t>
      </w:r>
    </w:p>
    <w:p>
      <w:pPr>
        <w:pStyle w:val="Heading4"/>
      </w:pPr>
      <w:bookmarkStart w:id="200" w:name="X4d48ce36c0611777c8698537a5c18843b169d65"/>
      <w:r>
        <w:t xml:space="preserve">H8.</w:t>
      </w:r>
      <w:r>
        <w:t xml:space="preserve"> </w:t>
      </w:r>
      <w:r>
        <w:t xml:space="preserve">“</w:t>
      </w:r>
      <w:r>
        <w:t xml:space="preserve">¿Qué prueba documentalmente que se cumplió cada hito?</w:t>
      </w:r>
      <w:r>
        <w:t xml:space="preserve">”</w:t>
      </w:r>
      <w:bookmarkEnd w:id="200"/>
    </w:p>
    <w:p>
      <w:pPr>
        <w:pStyle w:val="FirstParagraph"/>
      </w:pPr>
      <w:r>
        <w:t xml:space="preserve">H4: acta firmada por Admisiones (catálogo validado). H5: demo del motor funcional registrada. H6: informe de pruebas de usabilidad con ≥70% sin asistencia. H7: 32 HU en estado Done con DoD verificado. H8: Acta de Cierre firmada por Sponsor.</w:t>
      </w:r>
    </w:p>
    <w:p>
      <w:pPr>
        <w:pStyle w:val="Heading4"/>
      </w:pPr>
      <w:bookmarkStart w:id="201" w:name="X77105d93d2995e5676cc1a7f89261934f965eb8"/>
      <w:r>
        <w:t xml:space="preserve">H9.</w:t>
      </w:r>
      <w:r>
        <w:t xml:space="preserve"> </w:t>
      </w:r>
      <w:r>
        <w:t xml:space="preserve">“</w:t>
      </w:r>
      <w:r>
        <w:t xml:space="preserve">Trampa: ¿Si el Sponsor no firma el Acta de Cierre, el proyecto está cerrado?</w:t>
      </w:r>
      <w:r>
        <w:t xml:space="preserve">”</w:t>
      </w:r>
      <w:bookmarkEnd w:id="201"/>
    </w:p>
    <w:p>
      <w:pPr>
        <w:pStyle w:val="FirstParagraph"/>
      </w:pPr>
      <w:r>
        <w:t xml:space="preserve">NO. Sin firma, el proyecto sigue abierto formalmente aunque la entrega técnica esté hecha. Esa es la diferencia entre H7 (entrega técnica) y H8 (cierre formal). Es uno de los aprendizajes documentados.</w:t>
      </w:r>
    </w:p>
    <w:p>
      <w:pPr>
        <w:pStyle w:val="Heading4"/>
      </w:pPr>
      <w:bookmarkStart w:id="202" w:name="X883565016cfc0889a251da87239abe50ed06308"/>
      <w:r>
        <w:t xml:space="preserve">H10.</w:t>
      </w:r>
      <w:r>
        <w:t xml:space="preserve"> </w:t>
      </w:r>
      <w:r>
        <w:t xml:space="preserve">“</w:t>
      </w:r>
      <w:r>
        <w:t xml:space="preserve">Trampa final: ¿Pueden bajar el precio a Q 700,000?</w:t>
      </w:r>
      <w:r>
        <w:t xml:space="preserve">”</w:t>
      </w:r>
      <w:bookmarkEnd w:id="202"/>
    </w:p>
    <w:p>
      <w:pPr>
        <w:pStyle w:val="FirstParagraph"/>
      </w:pPr>
      <w:r>
        <w:t xml:space="preserve">No con el margen y reserva actuales. Cualquier rebaja debe negociar uno de tres caminos: (a) bajar alcance (sacar EP05 o EP06 parciales), (b) bajar reserva (asumir más riesgo, ROI adverso peor), o (c) bajar margen (precio Q 700K implica margen ~24.4%, debajo de la TMAR del 35%, proyecto no viable). El precio Q 814,000 es el mínimo viable bajo el modelo actual.</w:t>
      </w:r>
    </w:p>
    <w:p>
      <w:pPr>
        <w:pStyle w:val="Heading2"/>
      </w:pPr>
      <w:bookmarkStart w:id="203" w:name="notas-para-el-expositor-pronunciación"/>
      <w:r>
        <w:t xml:space="preserve">Notas para el expositor — pronunciación</w:t>
      </w:r>
      <w:bookmarkEnd w:id="203"/>
    </w:p>
    <w:p>
      <w:pPr>
        <w:pStyle w:val="FirstParagraph"/>
      </w:pPr>
      <w:r>
        <w:t xml:space="preserve">Los siguientes términos se pronuncian en inglés durante la exposición:</w:t>
      </w:r>
    </w:p>
    <w:p>
      <w:pPr>
        <w:numPr>
          <w:ilvl w:val="0"/>
          <w:numId w:val="1052"/>
        </w:numPr>
        <w:pStyle w:val="Compact"/>
      </w:pPr>
      <w:r>
        <w:t xml:space="preserve">WIP —</w:t>
      </w:r>
      <w:r>
        <w:t xml:space="preserve"> </w:t>
      </w:r>
      <w:r>
        <w:t xml:space="preserve">“</w:t>
      </w:r>
      <w:r>
        <w:t xml:space="preserve">uip</w:t>
      </w:r>
      <w:r>
        <w:t xml:space="preserve">”</w:t>
      </w:r>
      <w:r>
        <w:t xml:space="preserve"> </w:t>
      </w:r>
      <w:r>
        <w:t xml:space="preserve">o</w:t>
      </w:r>
      <w:r>
        <w:t xml:space="preserve"> </w:t>
      </w:r>
      <w:r>
        <w:t xml:space="preserve">“</w:t>
      </w:r>
      <w:r>
        <w:t xml:space="preserve">uve-i-pe</w:t>
      </w:r>
      <w:r>
        <w:t xml:space="preserve">”</w:t>
      </w:r>
    </w:p>
    <w:p>
      <w:pPr>
        <w:numPr>
          <w:ilvl w:val="0"/>
          <w:numId w:val="1052"/>
        </w:numPr>
        <w:pStyle w:val="Compact"/>
      </w:pPr>
      <w:r>
        <w:t xml:space="preserve">Scrum, Sprint, Backlog, Burndown, Burnup — tal cual en inglés</w:t>
      </w:r>
    </w:p>
    <w:p>
      <w:pPr>
        <w:numPr>
          <w:ilvl w:val="0"/>
          <w:numId w:val="1052"/>
        </w:numPr>
        <w:pStyle w:val="Compact"/>
      </w:pPr>
      <w:r>
        <w:t xml:space="preserve">Kanban — del japonés,</w:t>
      </w:r>
      <w:r>
        <w:t xml:space="preserve"> </w:t>
      </w:r>
      <w:r>
        <w:t xml:space="preserve">“</w:t>
      </w:r>
      <w:r>
        <w:t xml:space="preserve">kanban</w:t>
      </w:r>
      <w:r>
        <w:t xml:space="preserve">”</w:t>
      </w:r>
    </w:p>
    <w:p>
      <w:pPr>
        <w:numPr>
          <w:ilvl w:val="0"/>
          <w:numId w:val="1052"/>
        </w:numPr>
        <w:pStyle w:val="Compact"/>
      </w:pPr>
      <w:r>
        <w:t xml:space="preserve">XP —</w:t>
      </w:r>
      <w:r>
        <w:t xml:space="preserve"> </w:t>
      </w:r>
      <w:r>
        <w:t xml:space="preserve">“</w:t>
      </w:r>
      <w:r>
        <w:t xml:space="preserve">Extreme Programming</w:t>
      </w:r>
      <w:r>
        <w:t xml:space="preserve">”</w:t>
      </w:r>
      <w:r>
        <w:t xml:space="preserve"> </w:t>
      </w:r>
      <w:r>
        <w:t xml:space="preserve">o</w:t>
      </w:r>
      <w:r>
        <w:t xml:space="preserve"> </w:t>
      </w:r>
      <w:r>
        <w:t xml:space="preserve">“</w:t>
      </w:r>
      <w:r>
        <w:t xml:space="preserve">equis-pe</w:t>
      </w:r>
      <w:r>
        <w:t xml:space="preserve">”</w:t>
      </w:r>
    </w:p>
    <w:p>
      <w:pPr>
        <w:numPr>
          <w:ilvl w:val="0"/>
          <w:numId w:val="1052"/>
        </w:numPr>
        <w:pStyle w:val="Compact"/>
      </w:pPr>
      <w:r>
        <w:t xml:space="preserve">TDD —</w:t>
      </w:r>
      <w:r>
        <w:t xml:space="preserve"> </w:t>
      </w:r>
      <w:r>
        <w:t xml:space="preserve">“</w:t>
      </w:r>
      <w:r>
        <w:t xml:space="preserve">te-de-de</w:t>
      </w:r>
      <w:r>
        <w:t xml:space="preserve">”</w:t>
      </w:r>
    </w:p>
    <w:p>
      <w:pPr>
        <w:numPr>
          <w:ilvl w:val="0"/>
          <w:numId w:val="1052"/>
        </w:numPr>
        <w:pStyle w:val="Compact"/>
      </w:pPr>
      <w:r>
        <w:t xml:space="preserve">CI/CD —</w:t>
      </w:r>
      <w:r>
        <w:t xml:space="preserve"> </w:t>
      </w:r>
      <w:r>
        <w:t xml:space="preserve">“</w:t>
      </w:r>
      <w:r>
        <w:t xml:space="preserve">si-ai / si-di</w:t>
      </w:r>
      <w:r>
        <w:t xml:space="preserve">”</w:t>
      </w:r>
    </w:p>
    <w:p>
      <w:pPr>
        <w:numPr>
          <w:ilvl w:val="0"/>
          <w:numId w:val="1052"/>
        </w:numPr>
        <w:pStyle w:val="Compact"/>
      </w:pPr>
      <w:r>
        <w:t xml:space="preserve">TMAR —</w:t>
      </w:r>
      <w:r>
        <w:t xml:space="preserve"> </w:t>
      </w:r>
      <w:r>
        <w:t xml:space="preserve">“</w:t>
      </w:r>
      <w:r>
        <w:t xml:space="preserve">te-mar</w:t>
      </w:r>
      <w:r>
        <w:t xml:space="preserve">”</w:t>
      </w:r>
    </w:p>
    <w:p>
      <w:pPr>
        <w:numPr>
          <w:ilvl w:val="0"/>
          <w:numId w:val="1052"/>
        </w:numPr>
        <w:pStyle w:val="Compact"/>
      </w:pPr>
      <w:r>
        <w:t xml:space="preserve">ROI —</w:t>
      </w:r>
      <w:r>
        <w:t xml:space="preserve"> </w:t>
      </w:r>
      <w:r>
        <w:t xml:space="preserve">“</w:t>
      </w:r>
      <w:r>
        <w:t xml:space="preserve">roi</w:t>
      </w:r>
      <w:r>
        <w:t xml:space="preserve">”</w:t>
      </w:r>
      <w:r>
        <w:t xml:space="preserve"> </w:t>
      </w:r>
      <w:r>
        <w:t xml:space="preserve">o</w:t>
      </w:r>
      <w:r>
        <w:t xml:space="preserve"> </w:t>
      </w:r>
      <w:r>
        <w:t xml:space="preserve">“</w:t>
      </w:r>
      <w:r>
        <w:t xml:space="preserve">ar-o-ai</w:t>
      </w:r>
      <w:r>
        <w:t xml:space="preserve">”</w:t>
      </w:r>
    </w:p>
    <w:p>
      <w:pPr>
        <w:numPr>
          <w:ilvl w:val="0"/>
          <w:numId w:val="1052"/>
        </w:numPr>
        <w:pStyle w:val="Compact"/>
      </w:pPr>
      <w:r>
        <w:t xml:space="preserve">EVM —</w:t>
      </w:r>
      <w:r>
        <w:t xml:space="preserve"> </w:t>
      </w:r>
      <w:r>
        <w:t xml:space="preserve">“</w:t>
      </w:r>
      <w:r>
        <w:t xml:space="preserve">Earned Value Management</w:t>
      </w:r>
      <w:r>
        <w:t xml:space="preserve">”</w:t>
      </w:r>
      <w:r>
        <w:t xml:space="preserve"> </w:t>
      </w:r>
      <w:r>
        <w:t xml:space="preserve">o</w:t>
      </w:r>
      <w:r>
        <w:t xml:space="preserve"> </w:t>
      </w:r>
      <w:r>
        <w:t xml:space="preserve">“</w:t>
      </w:r>
      <w:r>
        <w:t xml:space="preserve">e-ve-eme</w:t>
      </w:r>
      <w:r>
        <w:t xml:space="preserve">”</w:t>
      </w:r>
    </w:p>
    <w:p>
      <w:pPr>
        <w:numPr>
          <w:ilvl w:val="0"/>
          <w:numId w:val="1052"/>
        </w:numPr>
        <w:pStyle w:val="Compact"/>
      </w:pPr>
      <w:r>
        <w:t xml:space="preserve">CPI, SPI, EAC, BAC, PV, EV, AC — deletreados en inglés</w:t>
      </w:r>
    </w:p>
    <w:p>
      <w:pPr>
        <w:numPr>
          <w:ilvl w:val="0"/>
          <w:numId w:val="1052"/>
        </w:numPr>
        <w:pStyle w:val="Compact"/>
      </w:pPr>
      <w:r>
        <w:t xml:space="preserve">BID, ROM —</w:t>
      </w:r>
      <w:r>
        <w:t xml:space="preserve"> </w:t>
      </w:r>
      <w:r>
        <w:t xml:space="preserve">“</w:t>
      </w:r>
      <w:r>
        <w:t xml:space="preserve">bid</w:t>
      </w:r>
      <w:r>
        <w:t xml:space="preserve">”</w:t>
      </w:r>
      <w:r>
        <w:t xml:space="preserve">,</w:t>
      </w:r>
      <w:r>
        <w:t xml:space="preserve"> </w:t>
      </w:r>
      <w:r>
        <w:t xml:space="preserve">“</w:t>
      </w:r>
      <w:r>
        <w:t xml:space="preserve">rom</w:t>
      </w:r>
      <w:r>
        <w:t xml:space="preserve">”</w:t>
      </w:r>
      <w:r>
        <w:t xml:space="preserve"> </w:t>
      </w:r>
      <w:r>
        <w:t xml:space="preserve">(acrónimo)</w:t>
      </w:r>
    </w:p>
    <w:p>
      <w:pPr>
        <w:numPr>
          <w:ilvl w:val="0"/>
          <w:numId w:val="1052"/>
        </w:numPr>
        <w:pStyle w:val="Compact"/>
      </w:pPr>
      <w:r>
        <w:t xml:space="preserve">DoD, DoR —</w:t>
      </w:r>
      <w:r>
        <w:t xml:space="preserve"> </w:t>
      </w:r>
      <w:r>
        <w:t xml:space="preserve">“</w:t>
      </w:r>
      <w:r>
        <w:t xml:space="preserve">di-o-di</w:t>
      </w:r>
      <w:r>
        <w:t xml:space="preserve">”</w:t>
      </w:r>
      <w:r>
        <w:t xml:space="preserve">,</w:t>
      </w:r>
      <w:r>
        <w:t xml:space="preserve"> </w:t>
      </w:r>
      <w:r>
        <w:t xml:space="preserve">“</w:t>
      </w:r>
      <w:r>
        <w:t xml:space="preserve">di-o-ar</w:t>
      </w:r>
      <w:r>
        <w:t xml:space="preserve">”</w:t>
      </w:r>
    </w:p>
    <w:p>
      <w:pPr>
        <w:numPr>
          <w:ilvl w:val="0"/>
          <w:numId w:val="1052"/>
        </w:numPr>
        <w:pStyle w:val="Compact"/>
      </w:pPr>
      <w:r>
        <w:t xml:space="preserve">CCB, CR —</w:t>
      </w:r>
      <w:r>
        <w:t xml:space="preserve"> </w:t>
      </w:r>
      <w:r>
        <w:t xml:space="preserve">“</w:t>
      </w:r>
      <w:r>
        <w:t xml:space="preserve">si-si-bi</w:t>
      </w:r>
      <w:r>
        <w:t xml:space="preserve">”</w:t>
      </w:r>
      <w:r>
        <w:t xml:space="preserve">,</w:t>
      </w:r>
      <w:r>
        <w:t xml:space="preserve"> </w:t>
      </w:r>
      <w:r>
        <w:t xml:space="preserve">“</w:t>
      </w:r>
      <w:r>
        <w:t xml:space="preserve">si-ar</w:t>
      </w:r>
      <w:r>
        <w:t xml:space="preserve">”</w:t>
      </w:r>
    </w:p>
    <w:p>
      <w:pPr>
        <w:numPr>
          <w:ilvl w:val="0"/>
          <w:numId w:val="1052"/>
        </w:numPr>
        <w:pStyle w:val="Compact"/>
      </w:pPr>
      <w:r>
        <w:t xml:space="preserve">MVP —</w:t>
      </w:r>
      <w:r>
        <w:t xml:space="preserve"> </w:t>
      </w:r>
      <w:r>
        <w:t xml:space="preserve">“</w:t>
      </w:r>
      <w:r>
        <w:t xml:space="preserve">eme-uve-pe</w:t>
      </w:r>
      <w:r>
        <w:t xml:space="preserve">”</w:t>
      </w:r>
      <w:r>
        <w:t xml:space="preserve"> </w:t>
      </w:r>
      <w:r>
        <w:t xml:space="preserve">o</w:t>
      </w:r>
      <w:r>
        <w:t xml:space="preserve"> </w:t>
      </w:r>
      <w:r>
        <w:t xml:space="preserve">“</w:t>
      </w:r>
      <w:r>
        <w:t xml:space="preserve">mei-vi-pi</w:t>
      </w:r>
      <w:r>
        <w:t xml:space="preserve">”</w:t>
      </w:r>
    </w:p>
    <w:p>
      <w:pPr>
        <w:numPr>
          <w:ilvl w:val="0"/>
          <w:numId w:val="1052"/>
        </w:numPr>
        <w:pStyle w:val="Compact"/>
      </w:pPr>
      <w:r>
        <w:t xml:space="preserve">SLA —</w:t>
      </w:r>
      <w:r>
        <w:t xml:space="preserve"> </w:t>
      </w:r>
      <w:r>
        <w:t xml:space="preserve">“</w:t>
      </w:r>
      <w:r>
        <w:t xml:space="preserve">ese-ele-a</w:t>
      </w:r>
      <w:r>
        <w:t xml:space="preserve">”</w:t>
      </w:r>
      <w:r>
        <w:t xml:space="preserve"> </w:t>
      </w:r>
      <w:r>
        <w:t xml:space="preserve">o</w:t>
      </w:r>
      <w:r>
        <w:t xml:space="preserve"> </w:t>
      </w:r>
      <w:r>
        <w:t xml:space="preserve">“</w:t>
      </w:r>
      <w:r>
        <w:t xml:space="preserve">es-el-ei</w:t>
      </w:r>
      <w:r>
        <w:t xml:space="preserve">”</w:t>
      </w:r>
    </w:p>
    <w:p>
      <w:pPr>
        <w:numPr>
          <w:ilvl w:val="0"/>
          <w:numId w:val="1052"/>
        </w:numPr>
        <w:pStyle w:val="Compact"/>
      </w:pPr>
      <w:r>
        <w:t xml:space="preserve">SAFe —</w:t>
      </w:r>
      <w:r>
        <w:t xml:space="preserve"> </w:t>
      </w:r>
      <w:r>
        <w:t xml:space="preserve">“</w:t>
      </w:r>
      <w:r>
        <w:t xml:space="preserve">seif</w:t>
      </w:r>
      <w:r>
        <w:t xml:space="preserve">”</w:t>
      </w:r>
    </w:p>
    <w:p>
      <w:pPr>
        <w:numPr>
          <w:ilvl w:val="0"/>
          <w:numId w:val="1052"/>
        </w:numPr>
        <w:pStyle w:val="Compact"/>
      </w:pPr>
      <w:r>
        <w:t xml:space="preserve">YAGNI —</w:t>
      </w:r>
      <w:r>
        <w:t xml:space="preserve"> </w:t>
      </w:r>
      <w:r>
        <w:t xml:space="preserve">“</w:t>
      </w:r>
      <w:r>
        <w:t xml:space="preserve">iag-ni</w:t>
      </w:r>
      <w:r>
        <w:t xml:space="preserve">”</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Exposición — Guion, glosario y términos del proyecto</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Exposición — Guion, glosario y términos del proyecto</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SITPS-DEF-2026-02</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2026-05-18T22:26:44Z</dcterms:created>
  <dcterms:modified xsi:type="dcterms:W3CDTF">2026-05-18T22:26:44Z</dcterms:modified>
</cp:coreProperties>
</file>

<file path=docProps/custom.xml><?xml version="1.0" encoding="utf-8"?>
<Properties xmlns="http://schemas.openxmlformats.org/officeDocument/2006/custom-properties" xmlns:vt="http://schemas.openxmlformats.org/officeDocument/2006/docPropsVTypes"/>
</file>