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360"/>
      </w:tblGrid>
      <w:tr>
        <w:tc>
          <w:tcPr>
            <w:tcW w:type="dxa" w:w="9360"/>
            <w:shd w:val="clear" w:color="auto" w:fill="0E2841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200" w:after="80"/>
            </w:pPr>
            <w:r>
              <w:rPr>
                <w:rFonts w:ascii="Calibri" w:hAnsi="Calibri"/>
                <w:b/>
                <w:color w:val="FFFFFF"/>
                <w:sz w:val="36"/>
              </w:rPr>
              <w:t>Strategic IT Project Solutions</w:t>
            </w:r>
          </w:p>
          <w:p>
            <w:pPr>
              <w:spacing w:before="0" w:after="200"/>
            </w:pPr>
            <w:r>
              <w:rPr>
                <w:rFonts w:ascii="Calibri" w:hAnsi="Calibri"/>
                <w:b w:val="0"/>
                <w:color w:val="E97132"/>
                <w:sz w:val="22"/>
              </w:rPr>
              <w:t>Agile &amp; Project Management Advisory</w:t>
            </w:r>
          </w:p>
        </w:tc>
      </w:tr>
    </w:tbl>
    <w:p>
      <w:pPr>
        <w:spacing w:before="280" w:after="160"/>
        <w:jc w:val="center"/>
      </w:pPr>
      <w:r>
        <w:rPr>
          <w:rFonts w:ascii="Calibri" w:hAnsi="Calibri"/>
          <w:b/>
          <w:color w:val="AAAAAA"/>
          <w:sz w:val="18"/>
        </w:rPr>
        <w:t>SITPS-FIN-2026-01</w:t>
      </w:r>
    </w:p>
    <w:p>
      <w:pPr>
        <w:spacing w:before="0" w:after="240"/>
        <w:pBdr>
          <w:bottom w:val="single" w:sz="16" w:space="1" w:color="E97132"/>
        </w:pBdr>
      </w:pPr>
    </w:p>
    <w:p>
      <w:pPr>
        <w:spacing w:before="0" w:after="200"/>
        <w:jc w:val="center"/>
      </w:pPr>
      <w:r>
        <w:rPr>
          <w:rFonts w:ascii="Calibri" w:hAnsi="Calibri"/>
          <w:b/>
          <w:color w:val="0E2841"/>
          <w:sz w:val="44"/>
        </w:rPr>
        <w:t>Costos consolidados del proyecto</w:t>
      </w:r>
    </w:p>
    <w:p>
      <w:pPr>
        <w:spacing w:before="0" w:after="80"/>
        <w:jc w:val="center"/>
      </w:pPr>
      <w:r>
        <w:rPr>
          <w:rFonts w:ascii="Calibri" w:hAnsi="Calibri"/>
          <w:b w:val="0"/>
          <w:color w:val="0E6251"/>
          <w:sz w:val="24"/>
        </w:rPr>
        <w:t>Sistema de Recomendación de Carrera Universitaria</w:t>
      </w:r>
    </w:p>
    <w:p>
      <w:pPr>
        <w:spacing w:before="0" w:after="280"/>
        <w:jc w:val="center"/>
      </w:pPr>
      <w:r>
        <w:rPr>
          <w:rFonts w:ascii="Calibri" w:hAnsi="Calibri"/>
          <w:b w:val="0"/>
          <w:color w:val="AAAAAA"/>
          <w:sz w:val="20"/>
        </w:rPr>
        <w:t>UVG Campus Central — 2026</w:t>
      </w:r>
    </w:p>
    <w:p>
      <w:pPr>
        <w:spacing w:before="0" w:after="240"/>
        <w:pBdr>
          <w:bottom w:val="single" w:sz="8" w:space="1" w:color="E8E8E8"/>
        </w:pBdr>
      </w:pPr>
    </w:p>
    <w:tbl>
      <w:tblPr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1814"/>
        <w:gridCol w:w="7258"/>
      </w:tblGrid>
      <w:tr>
        <w:tc>
          <w:tcPr>
            <w:tcW w:w="1814" w:type="dx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AAAAAA"/>
                <w:sz w:val="20"/>
              </w:rPr>
              <w:t>Proyecto</w:t>
            </w:r>
          </w:p>
        </w:tc>
        <w:tc>
          <w:tcPr>
            <w:tcW w:w="7258" w:type="dxa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color w:val="0E2841"/>
                <w:sz w:val="20"/>
              </w:rPr>
              <w:t>Sistema de Recomendación Vocacional</w:t>
            </w:r>
          </w:p>
        </w:tc>
      </w:tr>
      <w:tr>
        <w:tc>
          <w:tcPr>
            <w:tcW w:w="1814" w:type="dx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AAAAAA"/>
                <w:sz w:val="20"/>
              </w:rPr>
              <w:t>Cliente</w:t>
            </w:r>
          </w:p>
        </w:tc>
        <w:tc>
          <w:tcPr>
            <w:tcW w:w="7258" w:type="dxa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color w:val="0E2841"/>
                <w:sz w:val="20"/>
              </w:rPr>
              <w:t>UVG Campus Central — Admisiones</w:t>
            </w:r>
          </w:p>
        </w:tc>
      </w:tr>
      <w:tr>
        <w:tc>
          <w:tcPr>
            <w:tcW w:w="1814" w:type="dx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AAAAAA"/>
                <w:sz w:val="20"/>
              </w:rPr>
              <w:t>Product Owner</w:t>
            </w:r>
          </w:p>
        </w:tc>
        <w:tc>
          <w:tcPr>
            <w:tcW w:w="7258" w:type="dxa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color w:val="0E2841"/>
                <w:sz w:val="20"/>
              </w:rPr>
              <w:t>Josué Say</w:t>
            </w:r>
          </w:p>
        </w:tc>
      </w:tr>
      <w:tr>
        <w:tc>
          <w:tcPr>
            <w:tcW w:w="1814" w:type="dx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AAAAAA"/>
                <w:sz w:val="20"/>
              </w:rPr>
              <w:t>Sponsor</w:t>
            </w:r>
          </w:p>
        </w:tc>
        <w:tc>
          <w:tcPr>
            <w:tcW w:w="7258" w:type="dxa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color w:val="0E2841"/>
                <w:sz w:val="20"/>
              </w:rPr>
              <w:t>Erick Oswaldo Marroquín Zamora</w:t>
            </w:r>
          </w:p>
        </w:tc>
      </w:tr>
      <w:tr>
        <w:tc>
          <w:tcPr>
            <w:tcW w:w="1814" w:type="dx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AAAAAA"/>
                <w:sz w:val="20"/>
              </w:rPr>
              <w:t>Fecha</w:t>
            </w:r>
          </w:p>
        </w:tc>
        <w:tc>
          <w:tcPr>
            <w:tcW w:w="7258" w:type="dxa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color w:val="0E2841"/>
                <w:sz w:val="20"/>
              </w:rPr>
              <w:t>Mayo 2026</w:t>
            </w:r>
          </w:p>
        </w:tc>
      </w:tr>
      <w:tr>
        <w:tc>
          <w:tcPr>
            <w:tcW w:w="1814" w:type="dx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AAAAAA"/>
                <w:sz w:val="20"/>
              </w:rPr>
              <w:t>Versión</w:t>
            </w:r>
          </w:p>
        </w:tc>
        <w:tc>
          <w:tcPr>
            <w:tcW w:w="7258" w:type="dxa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color w:val="0E2841"/>
                <w:sz w:val="20"/>
              </w:rPr>
              <w:t>1.0</w:t>
            </w:r>
          </w:p>
        </w:tc>
      </w:tr>
    </w:tbl>
    <w:p>
      <w:pPr>
        <w:spacing w:before="280" w:after="200"/>
        <w:pBdr>
          <w:bottom w:val="single" w:sz="16" w:space="1" w:color="E97132"/>
        </w:pBdr>
      </w:pPr>
    </w:p>
    <w:tbl>
      <w:tblPr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360"/>
      </w:tblGrid>
      <w:tr>
        <w:tc>
          <w:tcPr>
            <w:tcW w:type="dxa" w:w="9360"/>
            <w:shd w:val="clear" w:color="auto" w:fill="E8E8E8"/>
            <w:tcBorders>
              <w:top w:val="none"/>
              <w:bottom w:val="none"/>
              <w:right w:val="none"/>
              <w:left w:val="single" w:sz="18" w:space="0" w:color="0E6251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>
            <w:pPr>
              <w:spacing w:before="120" w:after="120"/>
            </w:pPr>
            <w:r>
              <w:rPr>
                <w:rFonts w:ascii="Calibri" w:hAnsi="Calibri"/>
                <w:b/>
                <w:color w:val="0E2841"/>
                <w:sz w:val="20"/>
              </w:rPr>
              <w:t xml:space="preserve">Área PMI: </w:t>
            </w:r>
            <w:r>
              <w:rPr>
                <w:rFonts w:ascii="Calibri" w:hAnsi="Calibri"/>
                <w:b w:val="0"/>
                <w:color w:val="0E2841"/>
                <w:sz w:val="20"/>
              </w:rPr>
              <w:t>Finanzas — Costos y Presupuesto Consolidado</w:t>
            </w:r>
          </w:p>
        </w:tc>
      </w:tr>
    </w:tbl>
    <w:p>
      <w:pPr>
        <w:spacing w:before="400" w:after="0"/>
      </w:pPr>
    </w:p>
    <w:p>
      <w:pPr>
        <w:spacing w:before="0" w:after="80"/>
        <w:pBdr>
          <w:bottom w:val="single" w:sz="6" w:space="1" w:color="E8E8E8"/>
        </w:pBdr>
      </w:pPr>
    </w:p>
    <w:p>
      <w:pPr>
        <w:spacing w:before="80" w:after="0"/>
        <w:tabs>
          <w:tab w:val="right" w:pos="9360"/>
        </w:tabs>
      </w:pPr>
      <w:r>
        <w:rPr>
          <w:rFonts w:ascii="Calibri" w:hAnsi="Calibri"/>
          <w:b w:val="0"/>
          <w:color w:val="AAAAAA"/>
          <w:sz w:val="16"/>
        </w:rPr>
        <w:t>Documento de uso interno — Strategic IT Project Solutions</w:t>
      </w:r>
      <w:r>
        <w:rPr>
          <w:rFonts w:ascii="Calibri" w:hAnsi="Calibri"/>
          <w:b w:val="0"/>
          <w:color w:val="AAAAAA"/>
          <w:sz w:val="16"/>
        </w:rPr>
        <w:tab/>
        <w:t>SITPS-FIN-2026-01 — v1.0</w:t>
      </w:r>
    </w:p>
    <w:p>
      <w:r>
        <w:br w:type="page"/>
      </w:r>
    </w:p>
    <w:p>
      <w:pPr>
        <w:pStyle w:val="Heading1"/>
      </w:pPr>
      <w:bookmarkStart w:id="20" w:name="costos-consolidados-del-proyecto"/>
      <w:r>
        <w:t xml:space="preserve">Costos consolidados del proyecto</w:t>
      </w:r>
      <w:bookmarkEnd w:id="20"/>
    </w:p>
    <w:p>
      <w:pPr>
        <w:pStyle w:val="FirstParagraph"/>
      </w:pPr>
      <w:r>
        <w:t xml:space="preserve">Valores del modelo financiero para las cuatro metodologías evaluadas. Los montos se expresan en quetzales (Q). Las fórmulas que producen estos valores se encuentran en</w:t>
      </w:r>
      <w:r>
        <w:t xml:space="preserve"> </w:t>
      </w:r>
      <w:hyperlink r:id="rId21">
        <w:r>
          <w:rPr>
            <w:rStyle w:val="Hyperlink"/>
          </w:rPr>
          <w:t xml:space="preserve">costos-formulas.md</w:t>
        </w:r>
      </w:hyperlink>
      <w:r>
        <w:t xml:space="preserve">.</w:t>
      </w:r>
    </w:p>
    <w:p>
      <w:pPr>
        <w:pStyle w:val="BodyText"/>
      </w:pPr>
      <w:r>
        <w:t xml:space="preserve">Fuente:</w:t>
      </w:r>
      <w:r>
        <w:t xml:space="preserve"> </w:t>
      </w:r>
      <w:r>
        <w:rPr>
          <w:rStyle w:val="VerbatimChar"/>
        </w:rPr>
        <w:t xml:space="preserve">knowledge/proyecto/costos/UVG-Admon-TI-Costos-Unificado.xlsx</w:t>
      </w:r>
      <w:r>
        <w:t xml:space="preserve"> </w:t>
      </w:r>
      <w:r>
        <w:t xml:space="preserve">— hoja Inputs, hojas de metodología, hoja Riesgos y hoja Costos adicionales.</w:t>
      </w:r>
    </w:p>
    <w:p>
      <w:pPr>
        <w:pStyle w:val="Heading2"/>
      </w:pPr>
      <w:bookmarkStart w:id="22" w:name="equipo-del-proyecto"/>
      <w:r>
        <w:t xml:space="preserve">Equipo del proyecto</w:t>
      </w:r>
      <w:bookmarkEnd w:id="22"/>
    </w:p>
    <w:p>
      <w:pPr>
        <w:pStyle w:val="Heading3"/>
      </w:pPr>
      <w:bookmarkStart w:id="23" w:name="scrum-kanban-scrumban-5-personas"/>
      <w:r>
        <w:t xml:space="preserve">Scrum / Kanban / Scrumban (5 personas)</w:t>
      </w:r>
      <w:bookmarkEnd w:id="23"/>
    </w:p>
    <w:tbl>
      <w:tblPr>
        <w:tblStyle w:val="Table"/>
        <w:tblW w:type="pct" w:w="5000.0"/>
        <w:tblLook w:firstRow="1"/>
        <w:tblBorders>
          <w:top w:val="single" w:sz="4" w:space="0" w:color="0E6251"/>
          <w:left w:val="single" w:sz="4" w:space="0" w:color="0E6251"/>
          <w:bottom w:val="single" w:sz="4" w:space="0" w:color="0E6251"/>
          <w:right w:val="single" w:sz="4" w:space="0" w:color="0E6251"/>
          <w:insideH w:val="single" w:sz="4" w:space="0" w:color="0E6251"/>
          <w:insideV w:val="single" w:sz="4" w:space="0" w:color="0E6251"/>
        </w:tblBorders>
      </w:tblPr>
      <w:tblGrid>
        <w:gridCol w:w="913"/>
        <w:gridCol w:w="913"/>
        <w:gridCol w:w="1218"/>
        <w:gridCol w:w="1218"/>
        <w:gridCol w:w="1218"/>
        <w:gridCol w:w="1218"/>
        <w:gridCol w:w="121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0E2841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Rol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0E2841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Nombre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0E2841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FTE cliente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0E2841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FTE interno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0E2841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Salario mensual (Q)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0E2841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Costo mensual cliente (Q)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0E2841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Costo mensual interno (Q)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Product Owner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Josué Emanuel Say Garcia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1.0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0.7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15,000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15,000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10,500</w:t>
            </w:r>
          </w:p>
        </w:tc>
      </w:tr>
      <w:tr>
        <w:tc>
          <w:tcPr>
            <w:shd w:val="clear" w:color="auto" w:fill="E8E8E8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Scrum Master / Facilitador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Mathew Alexander Cordero Aquino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1.0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1.0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13,500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13,500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13,500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Developer Senior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Gustavo Adolfo Cruz Bardales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1.0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1.0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12,904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12,904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12,904</w:t>
            </w:r>
          </w:p>
        </w:tc>
      </w:tr>
      <w:tr>
        <w:tc>
          <w:tcPr>
            <w:shd w:val="clear" w:color="auto" w:fill="E8E8E8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Developer Senior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Javier Andres Chen Gonzalez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1.0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1.0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12,904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12,904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12,904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Developer Senior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Pedro Pablo Guzmán Mayen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1.0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1.0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12,904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12,904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12,904</w:t>
            </w:r>
          </w:p>
        </w:tc>
      </w:tr>
      <w:tr>
        <w:tc>
          <w:tcPr>
            <w:shd w:val="clear" w:color="auto" w:fill="E8E8E8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Total</w:t>
            </w:r>
          </w:p>
        </w:tc>
        <w:tc>
          <w:tcPr>
            <w:shd w:val="clear" w:color="auto" w:fill="E8E8E8"/>
          </w:tcPr>
          <w:p/>
        </w:tc>
        <w:tc>
          <w:tcPr>
            <w:shd w:val="clear" w:color="auto" w:fill="E8E8E8"/>
          </w:tcPr>
          <w:p/>
        </w:tc>
        <w:tc>
          <w:tcPr>
            <w:shd w:val="clear" w:color="auto" w:fill="E8E8E8"/>
          </w:tcPr>
          <w:p/>
        </w:tc>
        <w:tc>
          <w:tcPr>
            <w:shd w:val="clear" w:color="auto" w:fill="E8E8E8"/>
          </w:tcPr>
          <w:p/>
        </w:tc>
        <w:tc>
          <w:tcPr>
            <w:shd w:val="clear" w:color="auto" w:fill="E8E8E8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b/>
                <w:sz w:val="18"/>
              </w:rPr>
              <w:t xml:space="preserve">67,212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b/>
                <w:sz w:val="18"/>
              </w:rPr>
              <w:t xml:space="preserve">62,712</w:t>
            </w:r>
          </w:p>
        </w:tc>
      </w:tr>
    </w:tbl>
    <w:p>
      <w:pPr>
        <w:pStyle w:val="BodyText"/>
      </w:pPr>
      <w:r>
        <w:t xml:space="preserve">El FTE del Product Owner en vista interna es 0.7 (dedicación real parcial al proyecto). La vista cliente factura a 1.0 para simplificar el modelo de precio.</w:t>
      </w:r>
    </w:p>
    <w:p>
      <w:pPr>
        <w:pStyle w:val="Heading3"/>
      </w:pPr>
      <w:bookmarkStart w:id="24" w:name="xp-scrumban-6-personas"/>
      <w:r>
        <w:t xml:space="preserve">XP + Scrumban (6 personas)</w:t>
      </w:r>
      <w:bookmarkEnd w:id="24"/>
    </w:p>
    <w:tbl>
      <w:tblPr>
        <w:tblStyle w:val="Table"/>
        <w:tblW w:type="pct" w:w="5000.0"/>
        <w:tblLook w:firstRow="1"/>
        <w:tblBorders>
          <w:top w:val="single" w:sz="4" w:space="0" w:color="0E6251"/>
          <w:left w:val="single" w:sz="4" w:space="0" w:color="0E6251"/>
          <w:bottom w:val="single" w:sz="4" w:space="0" w:color="0E6251"/>
          <w:right w:val="single" w:sz="4" w:space="0" w:color="0E6251"/>
          <w:insideH w:val="single" w:sz="4" w:space="0" w:color="0E6251"/>
          <w:insideV w:val="single" w:sz="4" w:space="0" w:color="0E6251"/>
        </w:tblBorders>
      </w:tblPr>
      <w:tblGrid>
        <w:gridCol w:w="1033"/>
        <w:gridCol w:w="1377"/>
        <w:gridCol w:w="1377"/>
        <w:gridCol w:w="1377"/>
        <w:gridCol w:w="1377"/>
        <w:gridCol w:w="1377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0E2841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Rol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0E2841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FTE cliente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0E2841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FTE interno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0E2841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Salario mensual (Q)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0E2841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Costo mensual cliente (Q)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0E2841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Costo mensual interno (Q)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Coach (PO/XP)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1.0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0.7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15,000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15,000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10,500</w:t>
            </w:r>
          </w:p>
        </w:tc>
      </w:tr>
      <w:tr>
        <w:tc>
          <w:tcPr>
            <w:shd w:val="clear" w:color="auto" w:fill="E8E8E8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Tracker / Tester (SM/XP)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1.0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1.0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13,500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13,500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13,500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Developer Senior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1.0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1.0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12,904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12,904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12,904</w:t>
            </w:r>
          </w:p>
        </w:tc>
      </w:tr>
      <w:tr>
        <w:tc>
          <w:tcPr>
            <w:shd w:val="clear" w:color="auto" w:fill="E8E8E8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Developer Senior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1.0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1.0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12,904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12,904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12,904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Developer Junior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1.0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1.0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9,000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9,000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9,000</w:t>
            </w:r>
          </w:p>
        </w:tc>
      </w:tr>
      <w:tr>
        <w:tc>
          <w:tcPr>
            <w:shd w:val="clear" w:color="auto" w:fill="E8E8E8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Developer Junior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1.0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1.0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9,000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9,000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9,000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Total</w:t>
            </w:r>
          </w:p>
        </w:tc>
        <w:tc>
          <w:tcPr>
            <w:shd w:val="clear" w:color="auto" w:fill="FFFFFF"/>
          </w:tcPr>
          <w:p/>
        </w:tc>
        <w:tc>
          <w:tcPr>
            <w:shd w:val="clear" w:color="auto" w:fill="FFFFFF"/>
          </w:tcPr>
          <w:p/>
        </w:tc>
        <w:tc>
          <w:tcPr>
            <w:shd w:val="clear" w:color="auto" w:fill="FFFFFF"/>
          </w:tcPr>
          <w:p/>
        </w:tc>
        <w:tc>
          <w:tcPr>
            <w:shd w:val="clear" w:color="auto" w:fill="FFFFFF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b/>
                <w:sz w:val="18"/>
              </w:rPr>
              <w:t xml:space="preserve">72,308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b/>
                <w:sz w:val="18"/>
              </w:rPr>
              <w:t xml:space="preserve">67,808</w:t>
            </w:r>
          </w:p>
        </w:tc>
      </w:tr>
    </w:tbl>
    <w:p>
      <w:pPr>
        <w:pStyle w:val="BodyText"/>
      </w:pPr>
      <w:r>
        <w:t xml:space="preserve">XP + Scrumban agrega dos developers junior y renombra los roles de liderazgo (Coach, Tracker/Tester) para alinearlos con la terminología XP.</w:t>
      </w:r>
    </w:p>
    <w:p>
      <w:pPr>
        <w:pStyle w:val="Heading2"/>
      </w:pPr>
      <w:bookmarkStart w:id="25" w:name="costos-adicionales"/>
      <w:r>
        <w:t xml:space="preserve">Costos adicionales</w:t>
      </w:r>
      <w:bookmarkEnd w:id="25"/>
    </w:p>
    <w:p>
      <w:pPr>
        <w:pStyle w:val="Heading3"/>
      </w:pPr>
      <w:bookmarkStart w:id="26" w:name="meses-scrum-scrumban-xp-scrumban"/>
      <w:r>
        <w:t xml:space="preserve">6 meses (Scrum, Scrumban, XP + Scrumban)</w:t>
      </w:r>
      <w:bookmarkEnd w:id="26"/>
    </w:p>
    <w:tbl>
      <w:tblPr>
        <w:tblStyle w:val="Table"/>
        <w:tblW w:type="pct" w:w="0.0"/>
        <w:tblLook w:firstRow="1"/>
        <w:tblBorders>
          <w:top w:val="single" w:sz="4" w:space="0" w:color="0E6251"/>
          <w:left w:val="single" w:sz="4" w:space="0" w:color="0E6251"/>
          <w:bottom w:val="single" w:sz="4" w:space="0" w:color="0E6251"/>
          <w:right w:val="single" w:sz="4" w:space="0" w:color="0E6251"/>
          <w:insideH w:val="single" w:sz="4" w:space="0" w:color="0E6251"/>
          <w:insideV w:val="single" w:sz="4" w:space="0" w:color="0E6251"/>
        </w:tblBorders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0E2841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Insumo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0E2841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Monto (Q)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Microsoft Office Business Standard (6 meses, todos)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4,500</w:t>
            </w:r>
          </w:p>
        </w:tc>
      </w:tr>
      <w:tr>
        <w:tc>
          <w:tcPr>
            <w:shd w:val="clear" w:color="auto" w:fill="E8E8E8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Equipo de cómputo (3 dev + 2 ejecutivo, compra única)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51,000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Claude Team Pro (6 meses, equipo)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4,500</w:t>
            </w:r>
          </w:p>
        </w:tc>
      </w:tr>
      <w:tr>
        <w:tc>
          <w:tcPr>
            <w:shd w:val="clear" w:color="auto" w:fill="E8E8E8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Internet residencial Tigo (6 meses, todos)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13,500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Energía eléctrica EEGSA (6 meses, todos)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30,000</w:t>
            </w:r>
          </w:p>
        </w:tc>
      </w:tr>
      <w:tr>
        <w:tc>
          <w:tcPr>
            <w:shd w:val="clear" w:color="auto" w:fill="E8E8E8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Google Colab Pro (6 meses)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1,170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Infraestructura cloud (6 meses)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1,200</w:t>
            </w:r>
          </w:p>
        </w:tc>
      </w:tr>
      <w:tr>
        <w:tc>
          <w:tcPr>
            <w:shd w:val="clear" w:color="auto" w:fill="E8E8E8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Total 6 meses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b/>
                <w:sz w:val="18"/>
              </w:rPr>
              <w:t xml:space="preserve">105,870</w:t>
            </w:r>
          </w:p>
        </w:tc>
      </w:tr>
    </w:tbl>
    <w:p>
      <w:pPr>
        <w:pStyle w:val="Heading3"/>
      </w:pPr>
      <w:bookmarkStart w:id="27" w:name="meses-kanban"/>
      <w:r>
        <w:t xml:space="preserve">12 meses (Kanban)</w:t>
      </w:r>
      <w:bookmarkEnd w:id="27"/>
    </w:p>
    <w:tbl>
      <w:tblPr>
        <w:tblStyle w:val="Table"/>
        <w:tblW w:type="pct" w:w="0.0"/>
        <w:tblLook w:firstRow="1"/>
        <w:tblBorders>
          <w:top w:val="single" w:sz="4" w:space="0" w:color="0E6251"/>
          <w:left w:val="single" w:sz="4" w:space="0" w:color="0E6251"/>
          <w:bottom w:val="single" w:sz="4" w:space="0" w:color="0E6251"/>
          <w:right w:val="single" w:sz="4" w:space="0" w:color="0E6251"/>
          <w:insideH w:val="single" w:sz="4" w:space="0" w:color="0E6251"/>
          <w:insideV w:val="single" w:sz="4" w:space="0" w:color="0E6251"/>
        </w:tblBorders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0E2841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Insumo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0E2841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Monto (Q)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Microsoft Office Business Standard (12 meses, todos)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9,000</w:t>
            </w:r>
          </w:p>
        </w:tc>
      </w:tr>
      <w:tr>
        <w:tc>
          <w:tcPr>
            <w:shd w:val="clear" w:color="auto" w:fill="E8E8E8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Equipo de cómputo (3 dev + 2 ejecutivo, compra única)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51,000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Claude Team Pro (12 meses, equipo)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9,000</w:t>
            </w:r>
          </w:p>
        </w:tc>
      </w:tr>
      <w:tr>
        <w:tc>
          <w:tcPr>
            <w:shd w:val="clear" w:color="auto" w:fill="E8E8E8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Internet residencial Tigo (12 meses, todos)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27,000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Energía eléctrica EEGSA (12 meses, todos)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60,000</w:t>
            </w:r>
          </w:p>
        </w:tc>
      </w:tr>
      <w:tr>
        <w:tc>
          <w:tcPr>
            <w:shd w:val="clear" w:color="auto" w:fill="E8E8E8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Google Colab Pro (12 meses)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2,340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Infraestructura cloud (12 meses)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2,400</w:t>
            </w:r>
          </w:p>
        </w:tc>
      </w:tr>
      <w:tr>
        <w:tc>
          <w:tcPr>
            <w:shd w:val="clear" w:color="auto" w:fill="E8E8E8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Total 12 meses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b/>
                <w:sz w:val="18"/>
              </w:rPr>
              <w:t xml:space="preserve">160,740</w:t>
            </w:r>
          </w:p>
        </w:tc>
      </w:tr>
    </w:tbl>
    <w:p>
      <w:pPr>
        <w:pStyle w:val="Heading2"/>
      </w:pPr>
      <w:bookmarkStart w:id="28" w:name="riesgos-y-reserva-de-contingencia"/>
      <w:r>
        <w:t xml:space="preserve">Riesgos y reserva de contingencia</w:t>
      </w:r>
      <w:bookmarkEnd w:id="28"/>
    </w:p>
    <w:p>
      <w:pPr>
        <w:pStyle w:val="Heading3"/>
      </w:pPr>
      <w:bookmarkStart w:id="29" w:name="escala-de-probabilidades"/>
      <w:r>
        <w:t xml:space="preserve">Escala de probabilidades</w:t>
      </w:r>
      <w:bookmarkEnd w:id="29"/>
    </w:p>
    <w:tbl>
      <w:tblPr>
        <w:tblStyle w:val="Table"/>
        <w:tblW w:type="pct" w:w="0.0"/>
        <w:tblLook w:firstRow="1"/>
        <w:tblBorders>
          <w:top w:val="single" w:sz="4" w:space="0" w:color="0E6251"/>
          <w:left w:val="single" w:sz="4" w:space="0" w:color="0E6251"/>
          <w:bottom w:val="single" w:sz="4" w:space="0" w:color="0E6251"/>
          <w:right w:val="single" w:sz="4" w:space="0" w:color="0E6251"/>
          <w:insideH w:val="single" w:sz="4" w:space="0" w:color="0E6251"/>
          <w:insideV w:val="single" w:sz="4" w:space="0" w:color="0E6251"/>
        </w:tblBorders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0E2841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Categoría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0E2841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Valor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Baja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0.20</w:t>
            </w:r>
          </w:p>
        </w:tc>
      </w:tr>
      <w:tr>
        <w:tc>
          <w:tcPr>
            <w:shd w:val="clear" w:color="auto" w:fill="E8E8E8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Media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0.40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Alta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0.70</w:t>
            </w:r>
          </w:p>
        </w:tc>
      </w:tr>
    </w:tbl>
    <w:p>
      <w:pPr>
        <w:pStyle w:val="Heading3"/>
      </w:pPr>
      <w:bookmarkStart w:id="30" w:name="matriz-de-riesgos-r1r9"/>
      <w:r>
        <w:t xml:space="preserve">Matriz de riesgos R1–R9</w:t>
      </w:r>
      <w:bookmarkEnd w:id="30"/>
    </w:p>
    <w:tbl>
      <w:tblPr>
        <w:tblStyle w:val="Table"/>
        <w:tblW w:type="pct" w:w="4999.999999999999"/>
        <w:tblLook w:firstRow="1"/>
        <w:tblBorders>
          <w:top w:val="single" w:sz="4" w:space="0" w:color="0E6251"/>
          <w:left w:val="single" w:sz="4" w:space="0" w:color="0E6251"/>
          <w:bottom w:val="single" w:sz="4" w:space="0" w:color="0E6251"/>
          <w:right w:val="single" w:sz="4" w:space="0" w:color="0E6251"/>
          <w:insideH w:val="single" w:sz="4" w:space="0" w:color="0E6251"/>
          <w:insideV w:val="single" w:sz="4" w:space="0" w:color="0E6251"/>
        </w:tblBorders>
      </w:tblPr>
      <w:tblGrid>
        <w:gridCol w:w="848"/>
        <w:gridCol w:w="848"/>
        <w:gridCol w:w="848"/>
        <w:gridCol w:w="1131"/>
        <w:gridCol w:w="1131"/>
        <w:gridCol w:w="1131"/>
        <w:gridCol w:w="1131"/>
        <w:gridCol w:w="84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0E2841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0E2841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Riesgo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0E2841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Tipo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0E2841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Prob.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0E2841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Impacto (meses)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0E2841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Impacto (Q)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0E2841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EMV (Q)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0E2841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Mitigación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R1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Cambios de requerimientos frecuentes por parte del cliente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Alcance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0.40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1.0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67,212.00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26,884.80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DoR firme y control de cambios documentado por el PO</w:t>
            </w:r>
          </w:p>
        </w:tc>
      </w:tr>
      <w:tr>
        <w:tc>
          <w:tcPr>
            <w:shd w:val="clear" w:color="auto" w:fill="E8E8E8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R2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Retraso técnico por dependencias de infraestructura cloud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Tiempo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0.40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0.5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33,606.00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13,442.40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Entorno de pruebas paralelo desde Sprint 1; proveedor cloud con SLA definido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R3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Falta de comunicación entre equipo y stakeholders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Comunicación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0.20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0.5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33,606.00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6,721.20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Canales formales (Slack + actas de Sprint Review)</w:t>
            </w:r>
          </w:p>
        </w:tc>
      </w:tr>
      <w:tr>
        <w:tc>
          <w:tcPr>
            <w:shd w:val="clear" w:color="auto" w:fill="E8E8E8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R4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Falta de involucramiento por parte del cliente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Alcance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0.20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1.0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67,212.00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13,442.40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Calendario fijo de validaciones quincenales con UVG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R5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Rotación o indisponibilidad temporal de un miembro del equipo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Personal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0.20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0.5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33,606.00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6,721.20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Documentación técnica continua y pair programming</w:t>
            </w:r>
          </w:p>
        </w:tc>
      </w:tr>
      <w:tr>
        <w:tc>
          <w:tcPr>
            <w:shd w:val="clear" w:color="auto" w:fill="E8E8E8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R6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Falla o indisponibilidad del proveedor cloud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Proveedor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0.20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0.25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16,803.00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3,360.60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SLA contractual con penalidades; plan de contingencia en segundo proveedor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R7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Baja adopción del sistema por estudiantes de diversificado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Cliente / Usuario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0.40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1.0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67,212.00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26,884.80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Pruebas de usabilidad Sprint 8; comunicación con Dirección de Admisiones</w:t>
            </w:r>
          </w:p>
        </w:tc>
      </w:tr>
      <w:tr>
        <w:tc>
          <w:tcPr>
            <w:shd w:val="clear" w:color="auto" w:fill="E8E8E8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R8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Exposición o fuga de datos personales de estudiantes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Técnico / Legal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0.20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1.5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100,818.00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20,163.60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Cifrado en tránsito y reposo; revisión de seguridad por sprint; NDA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R9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Modificación del pensum UVG 2026 durante el desarrollo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Alcance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0.20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0.5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33,606.00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6,721.20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Catálogo de carreras actualizable sin rediseño del motor de recomendación</w:t>
            </w:r>
          </w:p>
        </w:tc>
      </w:tr>
      <w:tr>
        <w:tc>
          <w:tcPr>
            <w:shd w:val="clear" w:color="auto" w:fill="E8E8E8"/>
          </w:tcPr>
          <w:p/>
        </w:tc>
        <w:tc>
          <w:tcPr>
            <w:shd w:val="clear" w:color="auto" w:fill="E8E8E8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Reserva de contingencia (</w:t>
            </w:r>
            <m:oMath>
              <m:r>
                <m:t>Σ</m:t>
              </m:r>
            </m:oMath>
            <w:r>
              <w:rPr>
                <w:rFonts w:ascii="Calibri" w:hAnsi="Calibri"/>
                <w:b/>
                <w:sz w:val="18"/>
              </w:rPr>
              <w:t xml:space="preserve"> </w:t>
            </w:r>
            <w:r>
              <w:rPr>
                <w:rFonts w:ascii="Calibri" w:hAnsi="Calibri"/>
                <w:b/>
                <w:sz w:val="18"/>
              </w:rPr>
              <w:t xml:space="preserve">EMV)</w:t>
            </w:r>
          </w:p>
        </w:tc>
        <w:tc>
          <w:tcPr>
            <w:shd w:val="clear" w:color="auto" w:fill="E8E8E8"/>
          </w:tcPr>
          <w:p/>
        </w:tc>
        <w:tc>
          <w:tcPr>
            <w:shd w:val="clear" w:color="auto" w:fill="E8E8E8"/>
          </w:tcPr>
          <w:p/>
        </w:tc>
        <w:tc>
          <w:tcPr>
            <w:shd w:val="clear" w:color="auto" w:fill="E8E8E8"/>
          </w:tcPr>
          <w:p/>
        </w:tc>
        <w:tc>
          <w:tcPr>
            <w:shd w:val="clear" w:color="auto" w:fill="E8E8E8"/>
          </w:tcPr>
          <w:p/>
        </w:tc>
        <w:tc>
          <w:tcPr>
            <w:shd w:val="clear" w:color="auto" w:fill="E8E8E8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b/>
                <w:sz w:val="18"/>
              </w:rPr>
              <w:t xml:space="preserve">124,342.20</w:t>
            </w:r>
          </w:p>
        </w:tc>
        <w:tc>
          <w:tcPr>
            <w:shd w:val="clear" w:color="auto" w:fill="E8E8E8"/>
          </w:tcPr>
          <w:p/>
        </w:tc>
      </w:tr>
    </w:tbl>
    <w:p>
      <w:pPr>
        <w:pStyle w:val="BodyText"/>
      </w:pPr>
      <w:r>
        <w:t xml:space="preserve">El impacto económico de cada riesgo se calcula como:</w:t>
      </w:r>
      <w:r>
        <w:t xml:space="preserve"> </w:t>
      </w:r>
      <w:r>
        <w:rPr>
          <w:rStyle w:val="VerbatimChar"/>
        </w:rPr>
        <w:t xml:space="preserve">Burn rate mensual (Q 67,212) * Impacto en meses</w:t>
      </w:r>
      <w:r>
        <w:t xml:space="preserve">.</w:t>
      </w:r>
    </w:p>
    <w:p>
      <w:pPr>
        <w:pStyle w:val="Heading2"/>
      </w:pPr>
      <w:bookmarkStart w:id="31" w:name="presupuesto-por-metodología"/>
      <w:r>
        <w:t xml:space="preserve">Presupuesto por metodología</w:t>
      </w:r>
      <w:bookmarkEnd w:id="31"/>
    </w:p>
    <w:p>
      <w:pPr>
        <w:pStyle w:val="Heading3"/>
      </w:pPr>
      <w:bookmarkStart w:id="32" w:name="scrum"/>
      <w:r>
        <w:t xml:space="preserve">Scrum</w:t>
      </w:r>
      <w:bookmarkEnd w:id="32"/>
    </w:p>
    <w:tbl>
      <w:tblPr>
        <w:tblStyle w:val="Table"/>
        <w:tblW w:type="pct" w:w="0.0"/>
        <w:tblLook w:firstRow="1"/>
        <w:tblBorders>
          <w:top w:val="single" w:sz="4" w:space="0" w:color="0E6251"/>
          <w:left w:val="single" w:sz="4" w:space="0" w:color="0E6251"/>
          <w:bottom w:val="single" w:sz="4" w:space="0" w:color="0E6251"/>
          <w:right w:val="single" w:sz="4" w:space="0" w:color="0E6251"/>
          <w:insideH w:val="single" w:sz="4" w:space="0" w:color="0E6251"/>
          <w:insideV w:val="single" w:sz="4" w:space="0" w:color="0E6251"/>
        </w:tblBorders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0E2841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Concepto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0E2841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Vista cliente (Q)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0E2841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Vista interna (Q)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Burn rate mensual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67,212.00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62,712.00</w:t>
            </w:r>
          </w:p>
        </w:tc>
      </w:tr>
      <w:tr>
        <w:tc>
          <w:tcPr>
            <w:shd w:val="clear" w:color="auto" w:fill="E8E8E8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Sprints necesarios (sin buffer)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7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7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Sprints con buffer (25%)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9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9</w:t>
            </w:r>
          </w:p>
        </w:tc>
      </w:tr>
      <w:tr>
        <w:tc>
          <w:tcPr>
            <w:shd w:val="clear" w:color="auto" w:fill="E8E8E8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Costo por sprint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33,606.00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31,356.00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Costo equipo sin buffer (7 sprints)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235,242.00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219,492.00</w:t>
            </w:r>
          </w:p>
        </w:tc>
      </w:tr>
      <w:tr>
        <w:tc>
          <w:tcPr>
            <w:shd w:val="clear" w:color="auto" w:fill="E8E8E8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Costo equipo con buffer (9 sprints)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302,454.00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282,204.00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(+) Costos adicionales (6 meses)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105,870.00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105,870.00</w:t>
            </w:r>
          </w:p>
        </w:tc>
      </w:tr>
      <w:tr>
        <w:tc>
          <w:tcPr>
            <w:shd w:val="clear" w:color="auto" w:fill="E8E8E8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(+) Reserva de riesgos (</w:t>
            </w:r>
            <m:oMath>
              <m:r>
                <m:t>Σ</m:t>
              </m:r>
            </m:oMath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EMV)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124,342.20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124,342.20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(=) Inversión total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b/>
                <w:sz w:val="18"/>
              </w:rPr>
              <w:t xml:space="preserve">532,666.20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b/>
                <w:sz w:val="18"/>
              </w:rPr>
              <w:t xml:space="preserve">512,416.20</w:t>
            </w:r>
          </w:p>
        </w:tc>
      </w:tr>
      <w:tr>
        <w:tc>
          <w:tcPr>
            <w:shd w:val="clear" w:color="auto" w:fill="E8E8E8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Margen de ganancia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35%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35%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Precio cliente = Inversión / 0.65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819,486.46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—</w:t>
            </w:r>
          </w:p>
        </w:tc>
      </w:tr>
      <w:tr>
        <w:tc>
          <w:tcPr>
            <w:shd w:val="clear" w:color="auto" w:fill="E8E8E8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Precio cliente redondeado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b/>
                <w:sz w:val="18"/>
              </w:rPr>
              <w:t xml:space="preserve">820,000.00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—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Beneficio neto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286,820.26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—</w:t>
            </w:r>
          </w:p>
        </w:tc>
      </w:tr>
      <w:tr>
        <w:tc>
          <w:tcPr>
            <w:shd w:val="clear" w:color="auto" w:fill="E8E8E8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ROI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b/>
                <w:sz w:val="18"/>
              </w:rPr>
              <w:t xml:space="preserve">53.85%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—</w:t>
            </w:r>
          </w:p>
        </w:tc>
      </w:tr>
    </w:tbl>
    <w:p>
      <w:pPr>
        <w:pStyle w:val="Heading3"/>
      </w:pPr>
      <w:bookmarkStart w:id="33" w:name="kanban"/>
      <w:r>
        <w:t xml:space="preserve">Kanban</w:t>
      </w:r>
      <w:bookmarkEnd w:id="33"/>
    </w:p>
    <w:tbl>
      <w:tblPr>
        <w:tblStyle w:val="Table"/>
        <w:tblW w:type="pct" w:w="0.0"/>
        <w:tblLook w:firstRow="1"/>
        <w:tblBorders>
          <w:top w:val="single" w:sz="4" w:space="0" w:color="0E6251"/>
          <w:left w:val="single" w:sz="4" w:space="0" w:color="0E6251"/>
          <w:bottom w:val="single" w:sz="4" w:space="0" w:color="0E6251"/>
          <w:right w:val="single" w:sz="4" w:space="0" w:color="0E6251"/>
          <w:insideH w:val="single" w:sz="4" w:space="0" w:color="0E6251"/>
          <w:insideV w:val="single" w:sz="4" w:space="0" w:color="0E6251"/>
        </w:tblBorders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0E2841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Concepto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0E2841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Vista cliente (Q)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0E2841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Vista interna (Q)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Burn rate mensual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67,212.00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62,712.00</w:t>
            </w:r>
          </w:p>
        </w:tc>
      </w:tr>
      <w:tr>
        <w:tc>
          <w:tcPr>
            <w:shd w:val="clear" w:color="auto" w:fill="E8E8E8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Ejecutores activos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4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4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Cycle Time promedio (días/tarea)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5.13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5.13</w:t>
            </w:r>
          </w:p>
        </w:tc>
      </w:tr>
      <w:tr>
        <w:tc>
          <w:tcPr>
            <w:shd w:val="clear" w:color="auto" w:fill="E8E8E8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Throughput diario (tareas/día)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0.78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0.78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Throughput mensual (tareas/mes)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15.60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15.60</w:t>
            </w:r>
          </w:p>
        </w:tc>
      </w:tr>
      <w:tr>
        <w:tc>
          <w:tcPr>
            <w:shd w:val="clear" w:color="auto" w:fill="E8E8E8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Días operativos sin buffer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171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171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Meses sin buffer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9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9</w:t>
            </w:r>
          </w:p>
        </w:tc>
      </w:tr>
      <w:tr>
        <w:tc>
          <w:tcPr>
            <w:shd w:val="clear" w:color="auto" w:fill="E8E8E8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Meses con buffer (25%)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11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11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Costo equipo sin buffer (9 meses)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604,908.00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564,408.00</w:t>
            </w:r>
          </w:p>
        </w:tc>
      </w:tr>
      <w:tr>
        <w:tc>
          <w:tcPr>
            <w:shd w:val="clear" w:color="auto" w:fill="E8E8E8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Costo equipo con buffer (11 meses)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739,332.00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689,832.00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(+) Costos adicionales (12 meses)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160,740.00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160,740.00</w:t>
            </w:r>
          </w:p>
        </w:tc>
      </w:tr>
      <w:tr>
        <w:tc>
          <w:tcPr>
            <w:shd w:val="clear" w:color="auto" w:fill="E8E8E8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(+) Reserva de riesgos (</w:t>
            </w:r>
            <m:oMath>
              <m:r>
                <m:t>Σ</m:t>
              </m:r>
            </m:oMath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EMV)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124,342.20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124,342.20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(=) Inversión total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b/>
                <w:sz w:val="18"/>
              </w:rPr>
              <w:t xml:space="preserve">1,024,414.20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b/>
                <w:sz w:val="18"/>
              </w:rPr>
              <w:t xml:space="preserve">974,914.20</w:t>
            </w:r>
          </w:p>
        </w:tc>
      </w:tr>
      <w:tr>
        <w:tc>
          <w:tcPr>
            <w:shd w:val="clear" w:color="auto" w:fill="E8E8E8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Margen de ganancia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35%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35%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Precio cliente redondeado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b/>
                <w:sz w:val="18"/>
              </w:rPr>
              <w:t xml:space="preserve">1,577,000.00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—</w:t>
            </w:r>
          </w:p>
        </w:tc>
      </w:tr>
      <w:tr>
        <w:tc>
          <w:tcPr>
            <w:shd w:val="clear" w:color="auto" w:fill="E8E8E8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Beneficio neto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551,607.65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—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ROI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b/>
                <w:sz w:val="18"/>
              </w:rPr>
              <w:t xml:space="preserve">53.85%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—</w:t>
            </w:r>
          </w:p>
        </w:tc>
      </w:tr>
    </w:tbl>
    <w:p>
      <w:pPr>
        <w:pStyle w:val="Heading3"/>
      </w:pPr>
      <w:bookmarkStart w:id="34" w:name="scrumban"/>
      <w:r>
        <w:t xml:space="preserve">Scrumban</w:t>
      </w:r>
      <w:bookmarkEnd w:id="34"/>
    </w:p>
    <w:tbl>
      <w:tblPr>
        <w:tblStyle w:val="Table"/>
        <w:tblW w:type="pct" w:w="0.0"/>
        <w:tblLook w:firstRow="1"/>
        <w:tblBorders>
          <w:top w:val="single" w:sz="4" w:space="0" w:color="0E6251"/>
          <w:left w:val="single" w:sz="4" w:space="0" w:color="0E6251"/>
          <w:bottom w:val="single" w:sz="4" w:space="0" w:color="0E6251"/>
          <w:right w:val="single" w:sz="4" w:space="0" w:color="0E6251"/>
          <w:insideH w:val="single" w:sz="4" w:space="0" w:color="0E6251"/>
          <w:insideV w:val="single" w:sz="4" w:space="0" w:color="0E6251"/>
        </w:tblBorders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0E2841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Concepto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0E2841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Vista cliente (Q)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0E2841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Vista interna (Q)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Burn rate mensual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67,212.00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62,712.00</w:t>
            </w:r>
          </w:p>
        </w:tc>
      </w:tr>
      <w:tr>
        <w:tc>
          <w:tcPr>
            <w:shd w:val="clear" w:color="auto" w:fill="E8E8E8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Sprints necesarios (sin buffer)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7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7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Sprints con buffer (25%)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9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9</w:t>
            </w:r>
          </w:p>
        </w:tc>
      </w:tr>
      <w:tr>
        <w:tc>
          <w:tcPr>
            <w:shd w:val="clear" w:color="auto" w:fill="E8E8E8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Costo por sprint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33,606.00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31,356.00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Costo por sprint BID (80%)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26,884.80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25,084.80</w:t>
            </w:r>
          </w:p>
        </w:tc>
      </w:tr>
      <w:tr>
        <w:tc>
          <w:tcPr>
            <w:shd w:val="clear" w:color="auto" w:fill="E8E8E8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Costo por sprint ROM (20%)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6,721.20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6,271.20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Costo equipo con buffer (9 sprints)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302,454.00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282,204.00</w:t>
            </w:r>
          </w:p>
        </w:tc>
      </w:tr>
      <w:tr>
        <w:tc>
          <w:tcPr>
            <w:shd w:val="clear" w:color="auto" w:fill="E8E8E8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(+) Costos adicionales (6 meses)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105,870.00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105,870.00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(+) Reserva de riesgos (</w:t>
            </w:r>
            <m:oMath>
              <m:r>
                <m:t>Σ</m:t>
              </m:r>
            </m:oMath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EMV)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124,342.20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124,342.20</w:t>
            </w:r>
          </w:p>
        </w:tc>
      </w:tr>
      <w:tr>
        <w:tc>
          <w:tcPr>
            <w:shd w:val="clear" w:color="auto" w:fill="E8E8E8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(=) Inversión total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b/>
                <w:sz w:val="18"/>
              </w:rPr>
              <w:t xml:space="preserve">532,666.20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b/>
                <w:sz w:val="18"/>
              </w:rPr>
              <w:t xml:space="preserve">512,416.20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Margen de ganancia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35%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35%</w:t>
            </w:r>
          </w:p>
        </w:tc>
      </w:tr>
      <w:tr>
        <w:tc>
          <w:tcPr>
            <w:shd w:val="clear" w:color="auto" w:fill="E8E8E8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Precio cliente redondeado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b/>
                <w:sz w:val="18"/>
              </w:rPr>
              <w:t xml:space="preserve">820,000.00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—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Beneficio neto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286,820.26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—</w:t>
            </w:r>
          </w:p>
        </w:tc>
      </w:tr>
      <w:tr>
        <w:tc>
          <w:tcPr>
            <w:shd w:val="clear" w:color="auto" w:fill="E8E8E8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ROI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b/>
                <w:sz w:val="18"/>
              </w:rPr>
              <w:t xml:space="preserve">53.85%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—</w:t>
            </w:r>
          </w:p>
        </w:tc>
      </w:tr>
    </w:tbl>
    <w:p>
      <w:pPr>
        <w:pStyle w:val="Heading3"/>
      </w:pPr>
      <w:bookmarkStart w:id="35" w:name="xp-scrumban"/>
      <w:r>
        <w:t xml:space="preserve">XP + Scrumban</w:t>
      </w:r>
      <w:bookmarkEnd w:id="35"/>
    </w:p>
    <w:tbl>
      <w:tblPr>
        <w:tblStyle w:val="Table"/>
        <w:tblW w:type="pct" w:w="0.0"/>
        <w:tblLook w:firstRow="1"/>
        <w:tblBorders>
          <w:top w:val="single" w:sz="4" w:space="0" w:color="0E6251"/>
          <w:left w:val="single" w:sz="4" w:space="0" w:color="0E6251"/>
          <w:bottom w:val="single" w:sz="4" w:space="0" w:color="0E6251"/>
          <w:right w:val="single" w:sz="4" w:space="0" w:color="0E6251"/>
          <w:insideH w:val="single" w:sz="4" w:space="0" w:color="0E6251"/>
          <w:insideV w:val="single" w:sz="4" w:space="0" w:color="0E6251"/>
        </w:tblBorders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0E2841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Concepto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0E2841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Vista cliente (Q)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0E2841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Vista interna (Q)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Burn rate mensual (6 personas)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72,308.00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67,808.00</w:t>
            </w:r>
          </w:p>
        </w:tc>
      </w:tr>
      <w:tr>
        <w:tc>
          <w:tcPr>
            <w:shd w:val="clear" w:color="auto" w:fill="E8E8E8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Sprints necesarios (sin buffer)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7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7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Sprints con buffer (10%)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8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8</w:t>
            </w:r>
          </w:p>
        </w:tc>
      </w:tr>
      <w:tr>
        <w:tc>
          <w:tcPr>
            <w:shd w:val="clear" w:color="auto" w:fill="E8E8E8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Costo por sprint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36,154.00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33,904.00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Costo por sprint BID (80%)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28,923.20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27,123.20</w:t>
            </w:r>
          </w:p>
        </w:tc>
      </w:tr>
      <w:tr>
        <w:tc>
          <w:tcPr>
            <w:shd w:val="clear" w:color="auto" w:fill="E8E8E8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Costo por sprint ROM (20%)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7,230.80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6,780.80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Costo equipo sin buffer (7 sprints)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253,078.00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237,328.00</w:t>
            </w:r>
          </w:p>
        </w:tc>
      </w:tr>
      <w:tr>
        <w:tc>
          <w:tcPr>
            <w:shd w:val="clear" w:color="auto" w:fill="E8E8E8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Costo equipo con buffer (8 sprints)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289,232.00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271,232.00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(+) Costos adicionales (6 meses)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105,870.00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105,870.00</w:t>
            </w:r>
          </w:p>
        </w:tc>
      </w:tr>
      <w:tr>
        <w:tc>
          <w:tcPr>
            <w:shd w:val="clear" w:color="auto" w:fill="E8E8E8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(+) Reserva de riesgos (</w:t>
            </w:r>
            <m:oMath>
              <m:r>
                <m:t>Σ</m:t>
              </m:r>
            </m:oMath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EMV)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133,769.80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133,769.80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(=) Inversión total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b/>
                <w:sz w:val="18"/>
              </w:rPr>
              <w:t xml:space="preserve">528,871.80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b/>
                <w:sz w:val="18"/>
              </w:rPr>
              <w:t xml:space="preserve">510,871.80</w:t>
            </w:r>
          </w:p>
        </w:tc>
      </w:tr>
      <w:tr>
        <w:tc>
          <w:tcPr>
            <w:shd w:val="clear" w:color="auto" w:fill="E8E8E8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Margen de ganancia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35%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35%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Precio cliente redondeado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b/>
                <w:sz w:val="18"/>
              </w:rPr>
              <w:t xml:space="preserve">814,000.00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—</w:t>
            </w:r>
          </w:p>
        </w:tc>
      </w:tr>
      <w:tr>
        <w:tc>
          <w:tcPr>
            <w:shd w:val="clear" w:color="auto" w:fill="E8E8E8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Beneficio neto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285,128.20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—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ROI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b/>
                <w:sz w:val="18"/>
              </w:rPr>
              <w:t xml:space="preserve">53.91%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—</w:t>
            </w:r>
          </w:p>
        </w:tc>
      </w:tr>
    </w:tbl>
    <w:p>
      <w:pPr>
        <w:pStyle w:val="BodyText"/>
      </w:pPr>
      <w:r>
        <w:t xml:space="preserve">La holgura de 10% en XP + Scrumban (vs 25% en las demás metodologías) se justifica porque las prácticas XP (TDD, CI, Pair Programming) reducen la incertidumbre de ejecución. Un sprint con CI activo y cobertura de pruebas detecta defectos en horas, no en semanas, haciendo el ritmo de entrega más predecible.</w:t>
      </w:r>
    </w:p>
    <w:p>
      <w:pPr>
        <w:pStyle w:val="Heading2"/>
      </w:pPr>
      <w:bookmarkStart w:id="36" w:name="comparativo-de-las-cuatro-metodologías"/>
      <w:r>
        <w:t xml:space="preserve">Comparativo de las cuatro metodologías</w:t>
      </w:r>
      <w:bookmarkEnd w:id="36"/>
    </w:p>
    <w:tbl>
      <w:tblPr>
        <w:tblStyle w:val="Table"/>
        <w:tblW w:type="pct" w:w="0.0"/>
        <w:tblLook w:firstRow="1"/>
        <w:tblBorders>
          <w:top w:val="single" w:sz="4" w:space="0" w:color="0E6251"/>
          <w:left w:val="single" w:sz="4" w:space="0" w:color="0E6251"/>
          <w:bottom w:val="single" w:sz="4" w:space="0" w:color="0E6251"/>
          <w:right w:val="single" w:sz="4" w:space="0" w:color="0E6251"/>
          <w:insideH w:val="single" w:sz="4" w:space="0" w:color="0E6251"/>
          <w:insideV w:val="single" w:sz="4" w:space="0" w:color="0E6251"/>
        </w:tblBorders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0E2841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Metodología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0E2841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Duración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0E2841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Personas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0E2841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Inversión (Q)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0E2841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Precio cliente (Q)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0E2841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ROI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Scrum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9 sprints / ~4.5 meses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5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532,666.20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820,000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53.85%</w:t>
            </w:r>
          </w:p>
        </w:tc>
      </w:tr>
      <w:tr>
        <w:tc>
          <w:tcPr>
            <w:shd w:val="clear" w:color="auto" w:fill="E8E8E8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Scrumban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9 sprints / ~4.5 meses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5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532,666.20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820,000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53.85%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XP + Scrumban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8 sprints / ~4 meses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6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528,871.80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814,000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53.91%</w:t>
            </w:r>
          </w:p>
        </w:tc>
      </w:tr>
      <w:tr>
        <w:tc>
          <w:tcPr>
            <w:shd w:val="clear" w:color="auto" w:fill="E8E8E8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Kanban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11 meses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5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1,024,414.20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1,577,000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53.85%</w:t>
            </w:r>
          </w:p>
        </w:tc>
      </w:tr>
    </w:tbl>
    <w:p>
      <w:pPr>
        <w:pStyle w:val="BodyText"/>
      </w:pPr>
      <w:r>
        <w:t xml:space="preserve">Kanban es la metodología de mayor costo por su duración de 11 meses procesando 133 tareas técnicas con un throughput de 0.78 tareas/día. Scrum y Scrumban tienen inversión idéntica porque comparten la misma estructura de sprints, equipo y costos adicionales; la diferencia entre ambas es operativa (gestión de flujo ROM), no financiera.</w:t>
      </w:r>
    </w:p>
    <w:p>
      <w:pPr>
        <w:pStyle w:val="Heading2"/>
      </w:pPr>
      <w:bookmarkStart w:id="37" w:name="tmar-y-validación-de-viabilidad"/>
      <w:r>
        <w:t xml:space="preserve">TMAR y validación de viabilidad</w:t>
      </w:r>
      <w:bookmarkEnd w:id="37"/>
    </w:p>
    <w:tbl>
      <w:tblPr>
        <w:tblStyle w:val="Table"/>
        <w:tblW w:type="pct" w:w="0.0"/>
        <w:tblLook w:firstRow="1"/>
        <w:tblBorders>
          <w:top w:val="single" w:sz="4" w:space="0" w:color="0E6251"/>
          <w:left w:val="single" w:sz="4" w:space="0" w:color="0E6251"/>
          <w:bottom w:val="single" w:sz="4" w:space="0" w:color="0E6251"/>
          <w:right w:val="single" w:sz="4" w:space="0" w:color="0E6251"/>
          <w:insideH w:val="single" w:sz="4" w:space="0" w:color="0E6251"/>
          <w:insideV w:val="single" w:sz="4" w:space="0" w:color="0E6251"/>
        </w:tblBorders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0E2841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Componente TMAR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0E2841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Valor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Inflación anual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5%</w:t>
            </w:r>
          </w:p>
        </w:tc>
      </w:tr>
      <w:tr>
        <w:tc>
          <w:tcPr>
            <w:shd w:val="clear" w:color="auto" w:fill="E8E8E8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Prima por riesgo del proyecto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10%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Rendimiento mínimo esperado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20%</w:t>
            </w:r>
          </w:p>
        </w:tc>
      </w:tr>
      <w:tr>
        <w:tc>
          <w:tcPr>
            <w:shd w:val="clear" w:color="auto" w:fill="E8E8E8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TMAR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b/>
                <w:sz w:val="18"/>
              </w:rPr>
              <w:t xml:space="preserve">35%</w:t>
            </w:r>
          </w:p>
        </w:tc>
      </w:tr>
    </w:tbl>
    <w:p>
      <w:pPr>
        <w:pStyle w:val="BodyText"/>
      </w:pPr>
      <w:r>
        <w:t xml:space="preserve">Validación:</w:t>
      </w:r>
      <w:r>
        <w:t xml:space="preserve"> </w:t>
      </w:r>
      <w:r>
        <w:rPr>
          <w:b/>
        </w:rPr>
        <w:t xml:space="preserve">ROI (53.85%) &gt; TMAR (35%)</w:t>
      </w:r>
      <w:r>
        <w:t xml:space="preserve"> </w:t>
      </w:r>
      <w:r>
        <w:t xml:space="preserve">para las cuatro metodologías</w:t>
      </w:r>
      <w:r>
        <w:t xml:space="preserve"> </w:t>
      </w:r>
      <m:oMath>
        <m:r>
          <m:t>→</m:t>
        </m:r>
      </m:oMath>
      <w:r>
        <w:t xml:space="preserve"> </w:t>
      </w:r>
      <w:r>
        <w:t xml:space="preserve">proyecto financieramente viable.</w:t>
      </w:r>
    </w:p>
    <w:p>
      <w:pPr>
        <w:pStyle w:val="Heading2"/>
      </w:pPr>
      <w:bookmarkStart w:id="38" w:name="roa-empresa-proveedora"/>
      <w:r>
        <w:t xml:space="preserve">ROA (empresa proveedora)</w:t>
      </w:r>
      <w:bookmarkEnd w:id="38"/>
    </w:p>
    <w:tbl>
      <w:tblPr>
        <w:tblStyle w:val="Table"/>
        <w:tblW w:type="pct" w:w="0.0"/>
        <w:tblLook w:firstRow="1"/>
        <w:tblBorders>
          <w:top w:val="single" w:sz="4" w:space="0" w:color="0E6251"/>
          <w:left w:val="single" w:sz="4" w:space="0" w:color="0E6251"/>
          <w:bottom w:val="single" w:sz="4" w:space="0" w:color="0E6251"/>
          <w:right w:val="single" w:sz="4" w:space="0" w:color="0E6251"/>
          <w:insideH w:val="single" w:sz="4" w:space="0" w:color="0E6251"/>
          <w:insideV w:val="single" w:sz="4" w:space="0" w:color="0E6251"/>
        </w:tblBorders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0E2841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Activo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0E2841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Valor (Q)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Laptops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120,000</w:t>
            </w:r>
          </w:p>
        </w:tc>
      </w:tr>
      <w:tr>
        <w:tc>
          <w:tcPr>
            <w:shd w:val="clear" w:color="auto" w:fill="E8E8E8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Servidores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150,000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Licencias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30,000</w:t>
            </w:r>
          </w:p>
        </w:tc>
      </w:tr>
      <w:tr>
        <w:tc>
          <w:tcPr>
            <w:shd w:val="clear" w:color="auto" w:fill="E8E8E8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Oficina / infraestructura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100,000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Equipo de testing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20,000</w:t>
            </w:r>
          </w:p>
        </w:tc>
      </w:tr>
      <w:tr>
        <w:tc>
          <w:tcPr>
            <w:shd w:val="clear" w:color="auto" w:fill="E8E8E8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Mobiliario / redes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80,000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Total activos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b/>
                <w:sz w:val="18"/>
              </w:rPr>
              <w:t xml:space="preserve">500,000</w:t>
            </w:r>
          </w:p>
        </w:tc>
      </w:tr>
    </w:tbl>
    <w:p>
      <w:pPr>
        <w:pStyle w:val="SourceCode"/>
      </w:pPr>
      <w:r>
        <w:rPr>
          <w:rStyle w:val="ExtensionTok"/>
        </w:rPr>
        <w:t xml:space="preserve">ROA</w:t>
      </w:r>
      <w:r>
        <w:rPr>
          <w:rStyle w:val="NormalTok"/>
        </w:rPr>
        <w:t xml:space="preserve"> = Utilidad neta / Total activos = Utilidad neta / Q 500,000</w:t>
      </w:r>
    </w:p>
    <w:p>
      <w:pPr>
        <w:pStyle w:val="FirstParagraph"/>
      </w:pPr>
      <w:r>
        <w:t xml:space="preserve">El ROA se calcula sobre la empresa proveedora, no por proyecto. Un proyecto con margen del 35% contribuye positivamente al ROA corporativo.</w:t>
      </w:r>
    </w:p>
    <w:p>
      <w:pPr>
        <w:pStyle w:val="Heading2"/>
      </w:pPr>
      <w:bookmarkStart w:id="39" w:name="esquema-de-pagos-304030"/>
      <w:r>
        <w:t xml:space="preserve">Esquema de pagos 30/40/30</w:t>
      </w:r>
      <w:bookmarkEnd w:id="39"/>
    </w:p>
    <w:tbl>
      <w:tblPr>
        <w:tblStyle w:val="Table"/>
        <w:tblW w:type="pct" w:w="5000.0"/>
        <w:tblLook w:firstRow="1"/>
        <w:tblBorders>
          <w:top w:val="single" w:sz="4" w:space="0" w:color="0E6251"/>
          <w:left w:val="single" w:sz="4" w:space="0" w:color="0E6251"/>
          <w:bottom w:val="single" w:sz="4" w:space="0" w:color="0E6251"/>
          <w:right w:val="single" w:sz="4" w:space="0" w:color="0E6251"/>
          <w:insideH w:val="single" w:sz="4" w:space="0" w:color="0E6251"/>
          <w:insideV w:val="single" w:sz="4" w:space="0" w:color="0E6251"/>
        </w:tblBorders>
      </w:tblPr>
      <w:tblGrid>
        <w:gridCol w:w="1250"/>
        <w:gridCol w:w="1667"/>
        <w:gridCol w:w="1667"/>
        <w:gridCol w:w="1667"/>
        <w:gridCol w:w="1667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0E2841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Metodología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0E2841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Precio cliente (Q)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0E2841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Cuota inicio 30% (Q)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0E2841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Cuota medio 40% (Q)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0E2841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Cuota cierre 30% (Q)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Scrum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820,000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246,000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328,000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246,000</w:t>
            </w:r>
          </w:p>
        </w:tc>
      </w:tr>
      <w:tr>
        <w:tc>
          <w:tcPr>
            <w:shd w:val="clear" w:color="auto" w:fill="E8E8E8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Scrumban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820,000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246,000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328,000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246,000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XP + Scrumban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814,000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244,200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325,600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244,200</w:t>
            </w:r>
          </w:p>
        </w:tc>
      </w:tr>
      <w:tr>
        <w:tc>
          <w:tcPr>
            <w:shd w:val="clear" w:color="auto" w:fill="E8E8E8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Kanban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1,577,000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473,100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630,800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right"/>
            </w:pPr>
            <w:r>
              <w:rPr>
                <w:rFonts w:ascii="Calibri" w:hAnsi="Calibri"/>
                <w:sz w:val="18"/>
              </w:rPr>
              <w:t xml:space="preserve">473,100</w:t>
            </w:r>
          </w:p>
        </w:tc>
      </w:tr>
    </w:tbl>
    <w:p>
      <w:pPr>
        <w:numPr>
          <w:ilvl w:val="0"/>
          <w:numId w:val="1001"/>
        </w:numPr>
        <w:pStyle w:val="Compact"/>
      </w:pPr>
      <w:r>
        <w:t xml:space="preserve">Cuota inicio: firma del contrato y arranque del Sprint 1 (1 ene 2027)</w:t>
      </w:r>
    </w:p>
    <w:p>
      <w:pPr>
        <w:numPr>
          <w:ilvl w:val="0"/>
          <w:numId w:val="1001"/>
        </w:numPr>
        <w:pStyle w:val="Compact"/>
      </w:pPr>
      <w:r>
        <w:t xml:space="preserve">Cuota medio: entrega validada del motor de recomendación (cierre Sprint 4, ~25 feb 2027)</w:t>
      </w:r>
    </w:p>
    <w:p>
      <w:pPr>
        <w:numPr>
          <w:ilvl w:val="0"/>
          <w:numId w:val="1001"/>
        </w:numPr>
        <w:pStyle w:val="Compact"/>
      </w:pPr>
      <w:r>
        <w:t xml:space="preserve">Cuota cierre: entrega funcional del MVP y firma del Acta de Cierre (Sprint 8, 22 abr 2027)</w:t>
      </w:r>
    </w:p>
    <w:sectPr>
      <w:headerReference w:type="default" r:id="rId9"/>
      <w:footerReference w:type="default" r:id="rId10"/>
      <w:headerReference w:type="first" r:id="rId11"/>
      <w:footerReference w:type="first" r:id="rId12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80" w:after="0"/>
      <w:pBdr>
        <w:top w:val="single" w:sz="8" w:space="1" w:color="E97132"/>
      </w:pBdr>
      <w:tabs>
        <w:tab w:val="right" w:pos="9360"/>
      </w:tabs>
    </w:pPr>
    <w:r>
      <w:rPr>
        <w:rFonts w:ascii="Calibri" w:hAnsi="Calibri"/>
        <w:b w:val="0"/>
        <w:color w:val="AAAAAA"/>
        <w:sz w:val="16"/>
      </w:rPr>
      <w:t>Costos consolidados del proyecto</w:t>
    </w:r>
    <w:r>
      <w:rPr>
        <w:rFonts w:ascii="Calibri" w:hAnsi="Calibri"/>
        <w:b w:val="0"/>
        <w:color w:val="AAAAAA"/>
        <w:sz w:val="16"/>
      </w:rPr>
      <w:tab/>
    </w:r>
    <w:r>
      <w:rPr>
        <w:rFonts w:ascii="Calibri" w:hAnsi="Calibri"/>
        <w:color w:val="AAAAAA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b w:val="0"/>
        <w:color w:val="AAAAAA"/>
        <w:sz w:val="16"/>
      </w:rPr>
      <w:t xml:space="preserve"> / </w:t>
    </w:r>
    <w:r>
      <w:rPr>
        <w:rFonts w:ascii="Calibri" w:hAnsi="Calibri"/>
        <w:color w:val="AAAAAA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80"/>
      <w:pBdr>
        <w:top w:val="single" w:sz="8" w:space="1" w:color="E97132"/>
      </w:pBdr>
    </w:pPr>
    <w:r>
      <w:rPr>
        <w:rFonts w:ascii="Calibri" w:hAnsi="Calibri"/>
        <w:b w:val="0"/>
        <w:color w:val="AAAAAA"/>
        <w:sz w:val="16"/>
      </w:rPr>
      <w:t>Costos consolidados del proyecto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/>
      <w:shd w:val="clear" w:color="auto" w:fill="0E2841"/>
      <w:tabs>
        <w:tab w:val="right" w:pos="9360"/>
      </w:tabs>
    </w:pPr>
    <w:r>
      <w:rPr>
        <w:rFonts w:ascii="Calibri" w:hAnsi="Calibri"/>
        <w:b/>
        <w:color w:val="FFFFFF"/>
        <w:sz w:val="16"/>
      </w:rPr>
      <w:t xml:space="preserve">  SITPS-FIN-2026-01</w:t>
    </w:r>
    <w:r>
      <w:rPr>
        <w:rFonts w:ascii="Calibri" w:hAnsi="Calibri"/>
        <w:b w:val="0"/>
        <w:color w:val="FFFFFF"/>
        <w:sz w:val="16"/>
      </w:rPr>
      <w:tab/>
      <w:t xml:space="preserve">Strategic IT Project Solutions  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Calibri" w:hAnsi="Calibri"/>
      <w:b w:val="0"/>
      <w:color w:val="222233"/>
      <w:sz w:val="22"/>
    </w:rPr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1" Type="http://schemas.openxmlformats.org/officeDocument/2006/relationships/hyperlink" Target="costos-formulas.md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costos-formulas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2026-05-18T22:26:44Z</dcterms:created>
  <dcterms:modified xsi:type="dcterms:W3CDTF">2026-05-18T22:26:44Z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