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SITPS-FIN-2026-02</w:t>
      </w:r>
    </w:p>
    <w:p>
      <w:pPr>
        <w:spacing w:before="0" w:after="240"/>
        <w:pBdr>
          <w:bottom w:val="single" w:sz="16" w:space="1" w:color="E97132"/>
        </w:pBdr>
      </w:pPr>
    </w:p>
    <w:p>
      <w:pPr>
        <w:spacing w:before="0" w:after="200"/>
        <w:jc w:val="center"/>
      </w:pPr>
      <w:r>
        <w:rPr>
          <w:rFonts w:ascii="Calibri" w:hAnsi="Calibri"/>
          <w:b/>
          <w:color w:val="0E2841"/>
          <w:sz w:val="44"/>
        </w:rPr>
        <w:t>Fórmulas del modelo financiero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Finanzas — Fórmulas y Cálculos</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SITPS-FIN-2026-02 — v1.0</w:t>
      </w:r>
    </w:p>
    <w:p>
      <w:r>
        <w:br w:type="page"/>
      </w:r>
    </w:p>
    <w:p>
      <w:pPr>
        <w:pStyle w:val="Heading1"/>
      </w:pPr>
      <w:bookmarkStart w:id="20" w:name="fórmulas-del-modelo-financiero"/>
      <w:r>
        <w:t xml:space="preserve">Fórmulas del modelo financiero</w:t>
      </w:r>
      <w:bookmarkEnd w:id="20"/>
    </w:p>
    <w:p>
      <w:pPr>
        <w:pStyle w:val="FirstParagraph"/>
      </w:pPr>
      <w:r>
        <w:t xml:space="preserve">Referencia de todas las fórmulas utilizadas en el modelo financiero del proyecto. Los valores calculados con estas fórmulas se encuentran en</w:t>
      </w:r>
      <w:r>
        <w:t xml:space="preserve"> </w:t>
      </w:r>
      <w:hyperlink r:id="rId21">
        <w:r>
          <w:rPr>
            <w:rStyle w:val="Hyperlink"/>
          </w:rPr>
          <w:t xml:space="preserve">costos-consolidados.md</w:t>
        </w:r>
      </w:hyperlink>
      <w:r>
        <w:t xml:space="preserve">.</w:t>
      </w:r>
    </w:p>
    <w:p>
      <w:pPr>
        <w:pStyle w:val="Heading2"/>
      </w:pPr>
      <w:bookmarkStart w:id="22" w:name="principio-rector"/>
      <w:r>
        <w:t xml:space="preserve">Principio rector</w:t>
      </w:r>
      <w:bookmarkEnd w:id="22"/>
    </w:p>
    <w:p>
      <w:pPr>
        <w:pStyle w:val="FirstParagraph"/>
      </w:pPr>
      <w:r>
        <w:t xml:space="preserve">“</w:t>
      </w:r>
      <w:r>
        <w:t xml:space="preserve">Un proyecto jamás debe analizarse o aprobarse basándose únicamente en el presupuesto base. La contingencia es parte del costo real.</w:t>
      </w:r>
      <w:r>
        <w:t xml:space="preserve">”</w:t>
      </w:r>
    </w:p>
    <w:p>
      <w:pPr>
        <w:pStyle w:val="Heading2"/>
      </w:pPr>
      <w:bookmarkStart w:id="23" w:name="fórmulas-de-costo-del-equipo"/>
      <w:r>
        <w:t xml:space="preserve">Fórmulas de costo del equipo</w:t>
      </w:r>
      <w:bookmarkEnd w:id="23"/>
    </w:p>
    <w:p>
      <w:pPr>
        <w:pStyle w:val="Heading3"/>
      </w:pPr>
      <w:bookmarkStart w:id="24" w:name="burn-rate-mensual"/>
      <w:r>
        <w:t xml:space="preserve">Burn rate mensual</w:t>
      </w:r>
      <w:bookmarkEnd w:id="24"/>
    </w:p>
    <w:p>
      <w:pPr>
        <w:pStyle w:val="SourceCode"/>
      </w:pPr>
      <w:r>
        <w:rPr>
          <w:rStyle w:val="ExtensionTok"/>
        </w:rPr>
        <w:t xml:space="preserve">Burn</w:t>
      </w:r>
      <w:r>
        <w:rPr>
          <w:rStyle w:val="NormalTok"/>
        </w:rPr>
        <w:t xml:space="preserve"> rate mensual = SUM(Salario mensual * FTE facturado) </w:t>
      </w:r>
      <w:r>
        <w:rPr>
          <w:rStyle w:val="ExtensionTok"/>
        </w:rPr>
        <w:t xml:space="preserve">por</w:t>
      </w:r>
      <w:r>
        <w:rPr>
          <w:rStyle w:val="NormalTok"/>
        </w:rPr>
        <w:t xml:space="preserve"> persona</w:t>
      </w:r>
    </w:p>
    <w:p>
      <w:pPr>
        <w:pStyle w:val="FirstParagraph"/>
      </w:pPr>
      <w:r>
        <w:t xml:space="preserve">No se aplica factor de carga organizacional (alpha). El modelo del curso no incluye alpha; los costos indirectos (licencias, hardware, infraestructura, energía) se registran explícitamente en la hoja de Costos adicionales.</w:t>
      </w:r>
    </w:p>
    <w:p>
      <w:pPr>
        <w:numPr>
          <w:ilvl w:val="0"/>
          <w:numId w:val="1001"/>
        </w:numPr>
        <w:pStyle w:val="Compact"/>
      </w:pPr>
      <w:r>
        <w:t xml:space="preserve">Vista cliente: FTE del PO = 1.0 (facturado al cliente como tiempo completo)</w:t>
      </w:r>
    </w:p>
    <w:p>
      <w:pPr>
        <w:numPr>
          <w:ilvl w:val="0"/>
          <w:numId w:val="1001"/>
        </w:numPr>
        <w:pStyle w:val="Compact"/>
      </w:pPr>
      <w:r>
        <w:t xml:space="preserve">Vista interna: FTE del PO = 0.7 (dedicación real al proyecto)</w:t>
      </w:r>
    </w:p>
    <w:p>
      <w:pPr>
        <w:pStyle w:val="Heading3"/>
      </w:pPr>
      <w:bookmarkStart w:id="25" w:name="costo-por-sprint"/>
      <w:r>
        <w:t xml:space="preserve">Costo por sprint</w:t>
      </w:r>
      <w:bookmarkEnd w:id="25"/>
    </w:p>
    <w:p>
      <w:pPr>
        <w:pStyle w:val="SourceCode"/>
      </w:pPr>
      <w:r>
        <w:rPr>
          <w:rStyle w:val="ExtensionTok"/>
        </w:rPr>
        <w:t xml:space="preserve">Costo</w:t>
      </w:r>
      <w:r>
        <w:rPr>
          <w:rStyle w:val="NormalTok"/>
        </w:rPr>
        <w:t xml:space="preserve"> por sprint = Burn rate mensual * (días por sprint / días laborales por mes)</w:t>
      </w:r>
      <w:r>
        <w:br/>
      </w:r>
      <w:r>
        <w:rPr>
          <w:rStyle w:val="NormalTok"/>
        </w:rPr>
        <w:t xml:space="preserve">                 = </w:t>
      </w:r>
      <w:r>
        <w:rPr>
          <w:rStyle w:val="ExtensionTok"/>
        </w:rPr>
        <w:t xml:space="preserve">Burn</w:t>
      </w:r>
      <w:r>
        <w:rPr>
          <w:rStyle w:val="NormalTok"/>
        </w:rPr>
        <w:t xml:space="preserve"> rate mensual * (10 / 20)</w:t>
      </w:r>
      <w:r>
        <w:br/>
      </w:r>
      <w:r>
        <w:rPr>
          <w:rStyle w:val="NormalTok"/>
        </w:rPr>
        <w:t xml:space="preserve">                 = </w:t>
      </w:r>
      <w:r>
        <w:rPr>
          <w:rStyle w:val="ExtensionTok"/>
        </w:rPr>
        <w:t xml:space="preserve">Burn</w:t>
      </w:r>
      <w:r>
        <w:rPr>
          <w:rStyle w:val="NormalTok"/>
        </w:rPr>
        <w:t xml:space="preserve"> rate mensual / 2</w:t>
      </w:r>
    </w:p>
    <w:p>
      <w:pPr>
        <w:pStyle w:val="Heading3"/>
      </w:pPr>
      <w:bookmarkStart w:id="26" w:name="costo-equipo-sin-holgura"/>
      <w:r>
        <w:t xml:space="preserve">Costo equipo sin holgura</w:t>
      </w:r>
      <w:bookmarkEnd w:id="26"/>
    </w:p>
    <w:p>
      <w:pPr>
        <w:pStyle w:val="SourceCode"/>
      </w:pPr>
      <w:r>
        <w:rPr>
          <w:rStyle w:val="ExtensionTok"/>
        </w:rPr>
        <w:t xml:space="preserve">Costo</w:t>
      </w:r>
      <w:r>
        <w:rPr>
          <w:rStyle w:val="NormalTok"/>
        </w:rPr>
        <w:t xml:space="preserve"> equipo sin holgura = Costo por sprint * sprints necesarios</w:t>
      </w:r>
    </w:p>
    <w:p>
      <w:pPr>
        <w:pStyle w:val="FirstParagraph"/>
      </w:pPr>
      <w:r>
        <w:t xml:space="preserve">Los sprints necesarios se calculan como:</w:t>
      </w:r>
    </w:p>
    <w:p>
      <w:pPr>
        <w:pStyle w:val="SourceCode"/>
      </w:pPr>
      <w:r>
        <w:rPr>
          <w:rStyle w:val="ExtensionTok"/>
        </w:rPr>
        <w:t xml:space="preserve">Sprints</w:t>
      </w:r>
      <w:r>
        <w:rPr>
          <w:rStyle w:val="NormalTok"/>
        </w:rPr>
        <w:t xml:space="preserve"> necesarios = CEILING(Story Points totales / Velocidad promedio)</w:t>
      </w:r>
      <w:r>
        <w:br/>
      </w:r>
      <w:r>
        <w:rPr>
          <w:rStyle w:val="NormalTok"/>
        </w:rPr>
        <w:t xml:space="preserve">                   = </w:t>
      </w:r>
      <w:r>
        <w:rPr>
          <w:rStyle w:val="ExtensionTok"/>
        </w:rPr>
        <w:t xml:space="preserve">CEILING</w:t>
      </w:r>
      <w:r>
        <w:rPr>
          <w:rStyle w:val="NormalTok"/>
        </w:rPr>
        <w:t xml:space="preserve">(121 / 20) = </w:t>
      </w:r>
      <w:r>
        <w:rPr>
          <w:rStyle w:val="ExtensionTok"/>
        </w:rPr>
        <w:t xml:space="preserve">7</w:t>
      </w:r>
      <w:r>
        <w:rPr>
          <w:rStyle w:val="NormalTok"/>
        </w:rPr>
        <w:t xml:space="preserve"> sprints</w:t>
      </w:r>
    </w:p>
    <w:p>
      <w:pPr>
        <w:pStyle w:val="Heading3"/>
      </w:pPr>
      <w:bookmarkStart w:id="27" w:name="costo-equipo-con-holgura-buffer"/>
      <w:r>
        <w:t xml:space="preserve">Costo equipo con holgura (buffer)</w:t>
      </w:r>
      <w:bookmarkEnd w:id="27"/>
    </w:p>
    <w:p>
      <w:pPr>
        <w:pStyle w:val="SourceCode"/>
      </w:pPr>
      <w:r>
        <w:rPr>
          <w:rStyle w:val="ExtensionTok"/>
        </w:rPr>
        <w:t xml:space="preserve">Costo</w:t>
      </w:r>
      <w:r>
        <w:rPr>
          <w:rStyle w:val="NormalTok"/>
        </w:rPr>
        <w:t xml:space="preserve"> equipo con holgura = Costo por sprint * sprints con buffer</w:t>
      </w:r>
    </w:p>
    <w:p>
      <w:pPr>
        <w:pStyle w:val="FirstParagraph"/>
      </w:pPr>
      <w:r>
        <w:t xml:space="preserve">Donde:</w:t>
      </w:r>
    </w:p>
    <w:p>
      <w:pPr>
        <w:pStyle w:val="SourceCode"/>
      </w:pPr>
      <w:r>
        <w:rPr>
          <w:rStyle w:val="ExtensionTok"/>
        </w:rPr>
        <w:t xml:space="preserve">Sprints</w:t>
      </w:r>
      <w:r>
        <w:rPr>
          <w:rStyle w:val="NormalTok"/>
        </w:rPr>
        <w:t xml:space="preserve"> con buffer = CEILING(Sprints necesarios * (1 + holgura))</w:t>
      </w:r>
    </w:p>
    <w:p>
      <w:pPr>
        <w:numPr>
          <w:ilvl w:val="0"/>
          <w:numId w:val="1002"/>
        </w:numPr>
        <w:pStyle w:val="Compact"/>
      </w:pPr>
      <w:r>
        <w:t xml:space="preserve">Holgura estándar (Scrum / Kanban / Scrumban): 0.25</w:t>
      </w:r>
      <w:r>
        <w:t xml:space="preserve"> </w:t>
      </w:r>
      <m:oMath>
        <m:r>
          <m:t>→</m:t>
        </m:r>
      </m:oMath>
      <w:r>
        <w:t xml:space="preserve"> </w:t>
      </w:r>
      <w:r>
        <w:t xml:space="preserve">sprints con buffer = CEILING(7</w:t>
      </w:r>
      <w:r>
        <w:t xml:space="preserve"> </w:t>
      </w:r>
      <m:oMath>
        <m:r>
          <m:t>×</m:t>
        </m:r>
      </m:oMath>
      <w:r>
        <w:t xml:space="preserve"> </w:t>
      </w:r>
      <w:r>
        <w:t xml:space="preserve">1.25) = 9</w:t>
      </w:r>
    </w:p>
    <w:p>
      <w:pPr>
        <w:numPr>
          <w:ilvl w:val="0"/>
          <w:numId w:val="1002"/>
        </w:numPr>
        <w:pStyle w:val="Compact"/>
      </w:pPr>
      <w:r>
        <w:t xml:space="preserve">Holgura XP + Scrumban: 0.10</w:t>
      </w:r>
      <w:r>
        <w:t xml:space="preserve"> </w:t>
      </w:r>
      <m:oMath>
        <m:r>
          <m:t>→</m:t>
        </m:r>
      </m:oMath>
      <w:r>
        <w:t xml:space="preserve"> </w:t>
      </w:r>
      <w:r>
        <w:t xml:space="preserve">sprints con buffer = CEILING(7</w:t>
      </w:r>
      <w:r>
        <w:t xml:space="preserve"> </w:t>
      </w:r>
      <m:oMath>
        <m:r>
          <m:t>×</m:t>
        </m:r>
      </m:oMath>
      <w:r>
        <w:t xml:space="preserve"> </w:t>
      </w:r>
      <w:r>
        <w:t xml:space="preserve">1.10) = 8</w:t>
      </w:r>
    </w:p>
    <w:p>
      <w:pPr>
        <w:pStyle w:val="FirstParagraph"/>
      </w:pPr>
      <w:r>
        <w:t xml:space="preserve">La holgura XP + Scrumban es menor porque las prácticas técnicas de XP (TDD, CI, Pair Programming) reducen la incertidumbre de ejecución al detectar defectos temprano, lo que hace predecible el ritmo de entrega sprint a sprint.</w:t>
      </w:r>
    </w:p>
    <w:p>
      <w:pPr>
        <w:pStyle w:val="Heading2"/>
      </w:pPr>
      <w:bookmarkStart w:id="28" w:name="fórmulas-de-costos-adicionales"/>
      <w:r>
        <w:t xml:space="preserve">Fórmulas de costos adicionales</w:t>
      </w:r>
      <w:bookmarkEnd w:id="28"/>
    </w:p>
    <w:p>
      <w:pPr>
        <w:pStyle w:val="FirstParagraph"/>
      </w:pPr>
      <w:r>
        <w:t xml:space="preserve">Los costos adicionales cubren los insumos e infraestructura necesarios para el proyecto. Se suman directamente a la inversión; no son un porcentaje del equipo.</w:t>
      </w:r>
    </w:p>
    <w:p>
      <w:pPr>
        <w:pStyle w:val="SourceCode"/>
      </w:pPr>
      <w:r>
        <w:rPr>
          <w:rStyle w:val="ExtensionTok"/>
        </w:rPr>
        <w:t xml:space="preserve">Costos</w:t>
      </w:r>
      <w:r>
        <w:rPr>
          <w:rStyle w:val="NormalTok"/>
        </w:rPr>
        <w:t xml:space="preserve"> adicionales 6m = SUM(insumos del período de 6 meses)</w:t>
      </w:r>
      <w:r>
        <w:br/>
      </w:r>
      <w:r>
        <w:rPr>
          <w:rStyle w:val="ExtensionTok"/>
        </w:rPr>
        <w:t xml:space="preserve">Costos</w:t>
      </w:r>
      <w:r>
        <w:rPr>
          <w:rStyle w:val="NormalTok"/>
        </w:rPr>
        <w:t xml:space="preserve"> adicionales 12m = SUM(insumos del período de 12 meses)</w:t>
      </w:r>
    </w:p>
    <w:p>
      <w:pPr>
        <w:pStyle w:val="FirstParagraph"/>
      </w:pPr>
      <w:r>
        <w:t xml:space="preserve">Se aplican:</w:t>
      </w:r>
    </w:p>
    <w:p>
      <w:pPr>
        <w:numPr>
          <w:ilvl w:val="0"/>
          <w:numId w:val="1003"/>
        </w:numPr>
        <w:pStyle w:val="Compact"/>
      </w:pPr>
      <w:r>
        <w:t xml:space="preserve">6 meses: Scrum, Scrumban y XP + Scrumban (duración</w:t>
      </w:r>
      <w:r>
        <w:t xml:space="preserve"> </w:t>
      </w:r>
      <m:oMath>
        <m:r>
          <m:t>≤</m:t>
        </m:r>
      </m:oMath>
      <w:r>
        <w:t xml:space="preserve"> </w:t>
      </w:r>
      <w:r>
        <w:t xml:space="preserve">6 meses)</w:t>
      </w:r>
    </w:p>
    <w:p>
      <w:pPr>
        <w:numPr>
          <w:ilvl w:val="0"/>
          <w:numId w:val="1003"/>
        </w:numPr>
        <w:pStyle w:val="Compact"/>
      </w:pPr>
      <w:r>
        <w:t xml:space="preserve">12 meses: Kanban (duración 11 meses)</w:t>
      </w:r>
    </w:p>
    <w:p>
      <w:pPr>
        <w:pStyle w:val="Heading2"/>
      </w:pPr>
      <w:bookmarkStart w:id="29" w:name="X9f4128e198ba7d00c415a9102f50c0d1dfb3b99"/>
      <w:r>
        <w:t xml:space="preserve">Fórmulas de riesgos y reserva de contingencia</w:t>
      </w:r>
      <w:bookmarkEnd w:id="29"/>
    </w:p>
    <w:p>
      <w:pPr>
        <w:pStyle w:val="Heading3"/>
      </w:pPr>
      <w:bookmarkStart w:id="30" w:name="emv-expected-monetary-value"/>
      <w:r>
        <w:t xml:space="preserve">EMV (Expected Monetary Value)</w:t>
      </w:r>
      <w:bookmarkEnd w:id="30"/>
    </w:p>
    <w:p>
      <w:pPr>
        <w:pStyle w:val="SourceCode"/>
      </w:pPr>
      <w:r>
        <w:rPr>
          <w:rStyle w:val="ExtensionTok"/>
        </w:rPr>
        <w:t xml:space="preserve">EMV</w:t>
      </w:r>
      <w:r>
        <w:rPr>
          <w:rStyle w:val="NormalTok"/>
        </w:rPr>
        <w:t xml:space="preserve"> = Probabilidad * Impacto económico (Q)</w:t>
      </w:r>
    </w:p>
    <w:p>
      <w:pPr>
        <w:pStyle w:val="Heading3"/>
      </w:pPr>
      <w:bookmarkStart w:id="31" w:name="impacto-económico-de-un-riesgo"/>
      <w:r>
        <w:t xml:space="preserve">Impacto económico de un riesgo</w:t>
      </w:r>
      <w:bookmarkEnd w:id="31"/>
    </w:p>
    <w:p>
      <w:pPr>
        <w:pStyle w:val="SourceCode"/>
      </w:pPr>
      <w:r>
        <w:rPr>
          <w:rStyle w:val="ExtensionTok"/>
        </w:rPr>
        <w:t xml:space="preserve">Impacto</w:t>
      </w:r>
      <w:r>
        <w:rPr>
          <w:rStyle w:val="NormalTok"/>
        </w:rPr>
        <w:t xml:space="preserve"> económico = Burn rate mensual * Tiempo adicional estimado (meses)</w:t>
      </w:r>
    </w:p>
    <w:p>
      <w:pPr>
        <w:pStyle w:val="FirstParagraph"/>
      </w:pPr>
      <w:r>
        <w:t xml:space="preserve">El burn rate mensual utilizado es el de vista cliente (sin holgura, solo el costo del equipo por mes).</w:t>
      </w:r>
    </w:p>
    <w:p>
      <w:pPr>
        <w:pStyle w:val="Heading3"/>
      </w:pPr>
      <w:bookmarkStart w:id="32" w:name="reserva-de-contingencia"/>
      <w:r>
        <w:t xml:space="preserve">Reserva de contingencia</w:t>
      </w:r>
      <w:bookmarkEnd w:id="32"/>
    </w:p>
    <w:p>
      <w:pPr>
        <w:pStyle w:val="SourceCode"/>
      </w:pPr>
      <w:r>
        <w:rPr>
          <w:rStyle w:val="ExtensionTok"/>
        </w:rPr>
        <w:t xml:space="preserve">Reserva</w:t>
      </w:r>
      <w:r>
        <w:rPr>
          <w:rStyle w:val="NormalTok"/>
        </w:rPr>
        <w:t xml:space="preserve"> = SUM(EMV de todos los riesgos identificados R1-R9)</w:t>
      </w:r>
    </w:p>
    <w:p>
      <w:pPr>
        <w:pStyle w:val="FirstParagraph"/>
      </w:pPr>
      <w:r>
        <w:t xml:space="preserve">La reserva no es un porcentaje arbitrario del presupuesto; es la suma exacta de los valores esperados monetarios de cada riesgo identificado. Refleja la exposición financiera real ante eventos probables.</w:t>
      </w:r>
    </w:p>
    <w:p>
      <w:pPr>
        <w:pStyle w:val="Heading3"/>
      </w:pPr>
      <w:bookmarkStart w:id="33" w:name="X39529ea2fab53c2cb27a3deec4f9a6136dc0657"/>
      <w:r>
        <w:t xml:space="preserve">Escala de probabilidades (tabla canónica del curso)</w:t>
      </w:r>
      <w:bookmarkEnd w:id="33"/>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Categoría</w:t>
            </w:r>
          </w:p>
        </w:tc>
        <w:tc>
          <w:tcPr>
            <w:tcBorders>
              <w:bottom w:val="single"/>
            </w:tcBorders>
            <w:vAlign w:val="bottom"/>
            <w:shd w:val="clear" w:color="auto" w:fill="0E2841"/>
          </w:tcPr>
          <w:p>
            <w:pPr>
              <w:pStyle w:val="Compact"/>
              <w:jc w:val="right"/>
            </w:pPr>
            <w:r>
              <w:rPr>
                <w:rFonts w:ascii="Calibri" w:hAnsi="Calibri"/>
                <w:b/>
                <w:color w:val="FFFFFF"/>
                <w:sz w:val="18"/>
              </w:rPr>
              <w:t xml:space="preserve">Valor numérico</w:t>
            </w:r>
          </w:p>
        </w:tc>
      </w:tr>
      <w:tr>
        <w:tc>
          <w:tcPr>
            <w:shd w:val="clear" w:color="auto" w:fill="FFFFFF"/>
          </w:tcPr>
          <w:p>
            <w:pPr>
              <w:pStyle w:val="Compact"/>
              <w:jc w:val="left"/>
            </w:pPr>
            <w:r>
              <w:rPr>
                <w:rFonts w:ascii="Calibri" w:hAnsi="Calibri"/>
                <w:sz w:val="18"/>
              </w:rPr>
              <w:t xml:space="preserve">Baja</w:t>
            </w:r>
          </w:p>
        </w:tc>
        <w:tc>
          <w:tcPr>
            <w:shd w:val="clear" w:color="auto" w:fill="FFFFFF"/>
          </w:tcPr>
          <w:p>
            <w:pPr>
              <w:pStyle w:val="Compact"/>
              <w:jc w:val="right"/>
            </w:pPr>
            <w:r>
              <w:rPr>
                <w:rFonts w:ascii="Calibri" w:hAnsi="Calibri"/>
                <w:sz w:val="18"/>
              </w:rPr>
              <w:t xml:space="preserve">0.20</w:t>
            </w:r>
          </w:p>
        </w:tc>
      </w:tr>
      <w:tr>
        <w:tc>
          <w:tcPr>
            <w:shd w:val="clear" w:color="auto" w:fill="E8E8E8"/>
          </w:tcPr>
          <w:p>
            <w:pPr>
              <w:pStyle w:val="Compact"/>
              <w:jc w:val="left"/>
            </w:pPr>
            <w:r>
              <w:rPr>
                <w:rFonts w:ascii="Calibri" w:hAnsi="Calibri"/>
                <w:sz w:val="18"/>
              </w:rPr>
              <w:t xml:space="preserve">Media</w:t>
            </w:r>
          </w:p>
        </w:tc>
        <w:tc>
          <w:tcPr>
            <w:shd w:val="clear" w:color="auto" w:fill="E8E8E8"/>
          </w:tcPr>
          <w:p>
            <w:pPr>
              <w:pStyle w:val="Compact"/>
              <w:jc w:val="right"/>
            </w:pPr>
            <w:r>
              <w:rPr>
                <w:rFonts w:ascii="Calibri" w:hAnsi="Calibri"/>
                <w:sz w:val="18"/>
              </w:rPr>
              <w:t xml:space="preserve">0.40</w:t>
            </w:r>
          </w:p>
        </w:tc>
      </w:tr>
      <w:tr>
        <w:tc>
          <w:tcPr>
            <w:shd w:val="clear" w:color="auto" w:fill="FFFFFF"/>
          </w:tcPr>
          <w:p>
            <w:pPr>
              <w:pStyle w:val="Compact"/>
              <w:jc w:val="left"/>
            </w:pPr>
            <w:r>
              <w:rPr>
                <w:rFonts w:ascii="Calibri" w:hAnsi="Calibri"/>
                <w:sz w:val="18"/>
              </w:rPr>
              <w:t xml:space="preserve">Alta</w:t>
            </w:r>
          </w:p>
        </w:tc>
        <w:tc>
          <w:tcPr>
            <w:shd w:val="clear" w:color="auto" w:fill="FFFFFF"/>
          </w:tcPr>
          <w:p>
            <w:pPr>
              <w:pStyle w:val="Compact"/>
              <w:jc w:val="right"/>
            </w:pPr>
            <w:r>
              <w:rPr>
                <w:rFonts w:ascii="Calibri" w:hAnsi="Calibri"/>
                <w:sz w:val="18"/>
              </w:rPr>
              <w:t xml:space="preserve">0.70</w:t>
            </w:r>
          </w:p>
        </w:tc>
      </w:tr>
    </w:tbl>
    <w:p>
      <w:pPr>
        <w:pStyle w:val="Heading2"/>
      </w:pPr>
      <w:bookmarkStart w:id="34" w:name="fórmulas-de-inversión-y-precio"/>
      <w:r>
        <w:t xml:space="preserve">Fórmulas de inversión y precio</w:t>
      </w:r>
      <w:bookmarkEnd w:id="34"/>
    </w:p>
    <w:p>
      <w:pPr>
        <w:pStyle w:val="Heading3"/>
      </w:pPr>
      <w:bookmarkStart w:id="35" w:name="inversión-total-presupuesto-con-riesgos"/>
      <w:r>
        <w:t xml:space="preserve">Inversión total (presupuesto con riesgos)</w:t>
      </w:r>
      <w:bookmarkEnd w:id="35"/>
    </w:p>
    <w:p>
      <w:pPr>
        <w:pStyle w:val="SourceCode"/>
      </w:pPr>
      <w:r>
        <w:rPr>
          <w:rStyle w:val="ExtensionTok"/>
        </w:rPr>
        <w:t xml:space="preserve">Inversi</w:t>
      </w:r>
      <w:r>
        <w:rPr>
          <w:rStyle w:val="NormalTok"/>
        </w:rPr>
        <w:t xml:space="preserve">ón = Costo equipo (con buffer) </w:t>
      </w:r>
      <w:r>
        <w:rPr>
          <w:rStyle w:val="ExtensionTok"/>
        </w:rPr>
        <w:t xml:space="preserve">+</w:t>
      </w:r>
      <w:r>
        <w:rPr>
          <w:rStyle w:val="NormalTok"/>
        </w:rPr>
        <w:t xml:space="preserve"> Costos adicionales + Reserva SUM_EMV</w:t>
      </w:r>
    </w:p>
    <w:p>
      <w:pPr>
        <w:pStyle w:val="FirstParagraph"/>
      </w:pPr>
      <w:r>
        <w:t xml:space="preserve">Esta es la cantidad que el proveedor necesita para ejecutar el proyecto, cubrir sus insumos y estar protegido ante los riesgos identificados.</w:t>
      </w:r>
    </w:p>
    <w:p>
      <w:pPr>
        <w:pStyle w:val="Heading3"/>
      </w:pPr>
      <w:bookmarkStart w:id="36" w:name="precio-cliente"/>
      <w:r>
        <w:t xml:space="preserve">Precio cliente</w:t>
      </w:r>
      <w:bookmarkEnd w:id="36"/>
    </w:p>
    <w:p>
      <w:pPr>
        <w:pStyle w:val="SourceCode"/>
      </w:pPr>
      <w:r>
        <w:rPr>
          <w:rStyle w:val="ExtensionTok"/>
        </w:rPr>
        <w:t xml:space="preserve">Precio</w:t>
      </w:r>
      <w:r>
        <w:rPr>
          <w:rStyle w:val="NormalTok"/>
        </w:rPr>
        <w:t xml:space="preserve"> cliente = Inversión / (1 − margen)</w:t>
      </w:r>
    </w:p>
    <w:p>
      <w:pPr>
        <w:pStyle w:val="FirstParagraph"/>
      </w:pPr>
      <w:r>
        <w:t xml:space="preserve">Con margen = 0.35:</w:t>
      </w:r>
    </w:p>
    <w:p>
      <w:pPr>
        <w:pStyle w:val="SourceCode"/>
      </w:pPr>
      <w:r>
        <w:rPr>
          <w:rStyle w:val="ExtensionTok"/>
        </w:rPr>
        <w:t xml:space="preserve">Precio</w:t>
      </w:r>
      <w:r>
        <w:rPr>
          <w:rStyle w:val="NormalTok"/>
        </w:rPr>
        <w:t xml:space="preserve"> cliente = Inversión / 0.65</w:t>
      </w:r>
    </w:p>
    <w:p>
      <w:pPr>
        <w:pStyle w:val="FirstParagraph"/>
      </w:pPr>
      <w:r>
        <w:t xml:space="preserve">Esta fórmula garantiza que el 35% del precio final sea ganancia neta. La fórmula</w:t>
      </w:r>
      <w:r>
        <w:t xml:space="preserve"> </w:t>
      </w:r>
      <w:r>
        <w:rPr>
          <w:rStyle w:val="VerbatimChar"/>
        </w:rPr>
        <w:t xml:space="preserve">Inversión * (1 + margen)</w:t>
      </w:r>
      <w:r>
        <w:t xml:space="preserve"> </w:t>
      </w:r>
      <w:r>
        <w:t xml:space="preserve">produce un margen efectivo menor al declarado y no debe usarse.</w:t>
      </w:r>
    </w:p>
    <w:p>
      <w:pPr>
        <w:pStyle w:val="Heading3"/>
      </w:pPr>
      <w:bookmarkStart w:id="37" w:name="precio-cliente-redondeado"/>
      <w:r>
        <w:t xml:space="preserve">Precio cliente redondeado</w:t>
      </w:r>
      <w:bookmarkEnd w:id="37"/>
    </w:p>
    <w:p>
      <w:pPr>
        <w:pStyle w:val="SourceCode"/>
      </w:pPr>
      <w:r>
        <w:rPr>
          <w:rStyle w:val="ExtensionTok"/>
        </w:rPr>
        <w:t xml:space="preserve">Precio</w:t>
      </w:r>
      <w:r>
        <w:rPr>
          <w:rStyle w:val="NormalTok"/>
        </w:rPr>
        <w:t xml:space="preserve"> redondeado = ROUNDUP(Precio cliente, −3)</w:t>
      </w:r>
    </w:p>
    <w:p>
      <w:pPr>
        <w:pStyle w:val="FirstParagraph"/>
      </w:pPr>
      <w:r>
        <w:t xml:space="preserve">El precio se redondea al millar superior más cercano. Esto facilita la presentación al cliente y absorbe pequeñas diferencias de redondeo en la fórmula.</w:t>
      </w:r>
    </w:p>
    <w:p>
      <w:pPr>
        <w:pStyle w:val="Heading3"/>
      </w:pPr>
      <w:bookmarkStart w:id="38" w:name="beneficio-neto"/>
      <w:r>
        <w:t xml:space="preserve">Beneficio neto</w:t>
      </w:r>
      <w:bookmarkEnd w:id="38"/>
    </w:p>
    <w:p>
      <w:pPr>
        <w:pStyle w:val="SourceCode"/>
      </w:pPr>
      <w:r>
        <w:rPr>
          <w:rStyle w:val="ExtensionTok"/>
        </w:rPr>
        <w:t xml:space="preserve">Beneficio</w:t>
      </w:r>
      <w:r>
        <w:rPr>
          <w:rStyle w:val="NormalTok"/>
        </w:rPr>
        <w:t xml:space="preserve"> neto = Precio redondeado − Inversión</w:t>
      </w:r>
    </w:p>
    <w:p>
      <w:pPr>
        <w:pStyle w:val="Heading3"/>
      </w:pPr>
      <w:bookmarkStart w:id="39" w:name="roi-return-on-investment"/>
      <w:r>
        <w:t xml:space="preserve">ROI (Return on Investment)</w:t>
      </w:r>
      <w:bookmarkEnd w:id="39"/>
    </w:p>
    <w:p>
      <w:pPr>
        <w:pStyle w:val="SourceCode"/>
      </w:pPr>
      <w:r>
        <w:rPr>
          <w:rStyle w:val="ExtensionTok"/>
        </w:rPr>
        <w:t xml:space="preserve">ROI</w:t>
      </w:r>
      <w:r>
        <w:rPr>
          <w:rStyle w:val="NormalTok"/>
        </w:rPr>
        <w:t xml:space="preserve"> = Beneficio neto / Inversión * 100</w:t>
      </w:r>
    </w:p>
    <w:p>
      <w:pPr>
        <w:pStyle w:val="FirstParagraph"/>
      </w:pPr>
      <w:r>
        <w:t xml:space="preserve">El ROI se calcula sobre la inversión total (equipo + adicionales + riesgos), no solo sobre el costo del equipo.</w:t>
      </w:r>
    </w:p>
    <w:p>
      <w:pPr>
        <w:pStyle w:val="Heading3"/>
      </w:pPr>
      <w:bookmarkStart w:id="40" w:name="Xeac7404caf1344ec4e4d79523657ebcc7cc2956"/>
      <w:r>
        <w:t xml:space="preserve">Margen bruto porcentual (verificación del invariante)</w:t>
      </w:r>
      <w:bookmarkEnd w:id="40"/>
    </w:p>
    <w:p>
      <w:pPr>
        <w:pStyle w:val="SourceCode"/>
      </w:pPr>
      <w:r>
        <w:rPr>
          <w:rStyle w:val="ExtensionTok"/>
        </w:rPr>
        <w:t xml:space="preserve">Margen</w:t>
      </w:r>
      <w:r>
        <w:rPr>
          <w:rStyle w:val="NormalTok"/>
        </w:rPr>
        <w:t xml:space="preserve"> bruto % = Beneficio neto / Precio redondeado</w:t>
      </w:r>
    </w:p>
    <w:p>
      <w:pPr>
        <w:pStyle w:val="FirstParagraph"/>
      </w:pPr>
      <w:r>
        <w:t xml:space="preserve">Este valor debe ser igual al margen de entrada (35%). Si no coincide, hay un error en la fórmula de precio.</w:t>
      </w:r>
    </w:p>
    <w:p>
      <w:pPr>
        <w:pStyle w:val="Heading2"/>
      </w:pPr>
      <w:bookmarkStart w:id="41" w:name="X6e4e91e8988e28a6820fe479dac36d776b19c47"/>
      <w:r>
        <w:t xml:space="preserve">TMAR (Tasa Mínima Aceptable de Rendimiento)</w:t>
      </w:r>
      <w:bookmarkEnd w:id="41"/>
    </w:p>
    <w:p>
      <w:pPr>
        <w:pStyle w:val="SourceCode"/>
      </w:pPr>
      <w:r>
        <w:rPr>
          <w:rStyle w:val="ExtensionTok"/>
        </w:rPr>
        <w:t xml:space="preserve">TMAR</w:t>
      </w:r>
      <w:r>
        <w:rPr>
          <w:rStyle w:val="NormalTok"/>
        </w:rPr>
        <w:t xml:space="preserve"> = Inflación anual + Prima por riesgo + Rendimiento mínimo esperado</w:t>
      </w:r>
      <w:r>
        <w:br/>
      </w:r>
      <w:r>
        <w:rPr>
          <w:rStyle w:val="ExtensionTok"/>
        </w:rPr>
        <w:t xml:space="preserve">TMAR</w:t>
      </w:r>
      <w:r>
        <w:rPr>
          <w:rStyle w:val="NormalTok"/>
        </w:rPr>
        <w:t xml:space="preserve"> = 5% + 10% + 20% = 35%</w:t>
      </w:r>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Componente</w:t>
            </w:r>
          </w:p>
        </w:tc>
        <w:tc>
          <w:tcPr>
            <w:tcBorders>
              <w:bottom w:val="single"/>
            </w:tcBorders>
            <w:vAlign w:val="bottom"/>
            <w:shd w:val="clear" w:color="auto" w:fill="0E2841"/>
          </w:tcPr>
          <w:p>
            <w:pPr>
              <w:pStyle w:val="Compact"/>
              <w:jc w:val="right"/>
            </w:pPr>
            <w:r>
              <w:rPr>
                <w:rFonts w:ascii="Calibri" w:hAnsi="Calibri"/>
                <w:b/>
                <w:color w:val="FFFFFF"/>
                <w:sz w:val="18"/>
              </w:rPr>
              <w:t xml:space="preserve">Valor</w:t>
            </w:r>
          </w:p>
        </w:tc>
        <w:tc>
          <w:tcPr>
            <w:tcBorders>
              <w:bottom w:val="single"/>
            </w:tcBorders>
            <w:vAlign w:val="bottom"/>
            <w:shd w:val="clear" w:color="auto" w:fill="0E2841"/>
          </w:tcPr>
          <w:p>
            <w:pPr>
              <w:pStyle w:val="Compact"/>
              <w:jc w:val="left"/>
            </w:pPr>
            <w:r>
              <w:rPr>
                <w:rFonts w:ascii="Calibri" w:hAnsi="Calibri"/>
                <w:b/>
                <w:color w:val="FFFFFF"/>
                <w:sz w:val="18"/>
              </w:rPr>
              <w:t xml:space="preserve">Justificación</w:t>
            </w:r>
          </w:p>
        </w:tc>
      </w:tr>
      <w:tr>
        <w:tc>
          <w:tcPr>
            <w:shd w:val="clear" w:color="auto" w:fill="FFFFFF"/>
          </w:tcPr>
          <w:p>
            <w:pPr>
              <w:pStyle w:val="Compact"/>
              <w:jc w:val="left"/>
            </w:pPr>
            <w:r>
              <w:rPr>
                <w:rFonts w:ascii="Calibri" w:hAnsi="Calibri"/>
                <w:sz w:val="18"/>
              </w:rPr>
              <w:t xml:space="preserve">Inflación anual</w:t>
            </w:r>
          </w:p>
        </w:tc>
        <w:tc>
          <w:tcPr>
            <w:shd w:val="clear" w:color="auto" w:fill="FFFFFF"/>
          </w:tcPr>
          <w:p>
            <w:pPr>
              <w:pStyle w:val="Compact"/>
              <w:jc w:val="right"/>
            </w:pPr>
            <w:r>
              <w:rPr>
                <w:rFonts w:ascii="Calibri" w:hAnsi="Calibri"/>
                <w:sz w:val="18"/>
              </w:rPr>
              <w:t xml:space="preserve">5%</w:t>
            </w:r>
          </w:p>
        </w:tc>
        <w:tc>
          <w:tcPr>
            <w:shd w:val="clear" w:color="auto" w:fill="FFFFFF"/>
          </w:tcPr>
          <w:p>
            <w:pPr>
              <w:pStyle w:val="Compact"/>
              <w:jc w:val="left"/>
            </w:pPr>
            <w:r>
              <w:rPr>
                <w:rFonts w:ascii="Calibri" w:hAnsi="Calibri"/>
                <w:sz w:val="18"/>
              </w:rPr>
              <w:t xml:space="preserve">Depreciación del dinero en Guatemala</w:t>
            </w:r>
          </w:p>
        </w:tc>
      </w:tr>
      <w:tr>
        <w:tc>
          <w:tcPr>
            <w:shd w:val="clear" w:color="auto" w:fill="E8E8E8"/>
          </w:tcPr>
          <w:p>
            <w:pPr>
              <w:pStyle w:val="Compact"/>
              <w:jc w:val="left"/>
            </w:pPr>
            <w:r>
              <w:rPr>
                <w:rFonts w:ascii="Calibri" w:hAnsi="Calibri"/>
                <w:sz w:val="18"/>
              </w:rPr>
              <w:t xml:space="preserve">Prima por riesgo</w:t>
            </w:r>
          </w:p>
        </w:tc>
        <w:tc>
          <w:tcPr>
            <w:shd w:val="clear" w:color="auto" w:fill="E8E8E8"/>
          </w:tcPr>
          <w:p>
            <w:pPr>
              <w:pStyle w:val="Compact"/>
              <w:jc w:val="righ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Proyecto de complejidad técnica intermedia</w:t>
            </w:r>
          </w:p>
        </w:tc>
      </w:tr>
      <w:tr>
        <w:tc>
          <w:tcPr>
            <w:shd w:val="clear" w:color="auto" w:fill="FFFFFF"/>
          </w:tcPr>
          <w:p>
            <w:pPr>
              <w:pStyle w:val="Compact"/>
              <w:jc w:val="left"/>
            </w:pPr>
            <w:r>
              <w:rPr>
                <w:rFonts w:ascii="Calibri" w:hAnsi="Calibri"/>
                <w:sz w:val="18"/>
              </w:rPr>
              <w:t xml:space="preserve">Rendimiento mínimo</w:t>
            </w:r>
          </w:p>
        </w:tc>
        <w:tc>
          <w:tcPr>
            <w:shd w:val="clear" w:color="auto" w:fill="FFFFFF"/>
          </w:tcPr>
          <w:p>
            <w:pPr>
              <w:pStyle w:val="Compact"/>
              <w:jc w:val="right"/>
            </w:pPr>
            <w:r>
              <w:rPr>
                <w:rFonts w:ascii="Calibri" w:hAnsi="Calibri"/>
                <w:sz w:val="18"/>
              </w:rPr>
              <w:t xml:space="preserve">20%</w:t>
            </w:r>
          </w:p>
        </w:tc>
        <w:tc>
          <w:tcPr>
            <w:shd w:val="clear" w:color="auto" w:fill="FFFFFF"/>
          </w:tcPr>
          <w:p>
            <w:pPr>
              <w:pStyle w:val="Compact"/>
              <w:jc w:val="left"/>
            </w:pPr>
            <w:r>
              <w:rPr>
                <w:rFonts w:ascii="Calibri" w:hAnsi="Calibri"/>
                <w:sz w:val="18"/>
              </w:rPr>
              <w:t xml:space="preserve">Meta de la empresa proveedora</w:t>
            </w:r>
          </w:p>
        </w:tc>
      </w:tr>
      <w:tr>
        <w:tc>
          <w:tcPr>
            <w:shd w:val="clear" w:color="auto" w:fill="E8E8E8"/>
          </w:tcPr>
          <w:p>
            <w:pPr>
              <w:pStyle w:val="Compact"/>
              <w:jc w:val="left"/>
            </w:pPr>
            <w:r>
              <w:rPr>
                <w:rFonts w:ascii="Calibri" w:hAnsi="Calibri"/>
                <w:b/>
                <w:sz w:val="18"/>
              </w:rPr>
              <w:t xml:space="preserve">TMAR</w:t>
            </w:r>
          </w:p>
        </w:tc>
        <w:tc>
          <w:tcPr>
            <w:shd w:val="clear" w:color="auto" w:fill="E8E8E8"/>
          </w:tcPr>
          <w:p>
            <w:pPr>
              <w:pStyle w:val="Compact"/>
              <w:jc w:val="right"/>
            </w:pPr>
            <w:r>
              <w:rPr>
                <w:rFonts w:ascii="Calibri" w:hAnsi="Calibri"/>
                <w:b/>
                <w:sz w:val="18"/>
              </w:rPr>
              <w:t xml:space="preserve">35%</w:t>
            </w:r>
          </w:p>
        </w:tc>
        <w:tc>
          <w:tcPr>
            <w:shd w:val="clear" w:color="auto" w:fill="E8E8E8"/>
          </w:tcPr>
          <w:p/>
        </w:tc>
      </w:tr>
    </w:tbl>
    <w:p>
      <w:pPr>
        <w:pStyle w:val="BodyText"/>
      </w:pPr>
      <w:r>
        <w:t xml:space="preserve">El margen de ganancia del 35% fue diseñado para igualar la TMAR, garantizando viabilidad financiera mínima.</w:t>
      </w:r>
    </w:p>
    <w:p>
      <w:pPr>
        <w:pStyle w:val="Heading2"/>
      </w:pPr>
      <w:bookmarkStart w:id="42" w:name="validación-de-viabilidad-financiera"/>
      <w:r>
        <w:t xml:space="preserve">Validación de viabilidad financiera</w:t>
      </w:r>
      <w:bookmarkEnd w:id="42"/>
    </w:p>
    <w:p>
      <w:pPr>
        <w:pStyle w:val="SourceCode"/>
      </w:pPr>
      <w:r>
        <w:rPr>
          <w:rStyle w:val="ExtensionTok"/>
        </w:rPr>
        <w:t xml:space="preserve">Si</w:t>
      </w:r>
      <w:r>
        <w:rPr>
          <w:rStyle w:val="NormalTok"/>
        </w:rPr>
        <w:t xml:space="preserve"> ROI </w:t>
      </w:r>
      <w:r>
        <w:rPr>
          <w:rStyle w:val="OperatorTok"/>
        </w:rPr>
        <w:t xml:space="preserve">&gt;</w:t>
      </w:r>
      <w:r>
        <w:rPr>
          <w:rStyle w:val="NormalTok"/>
        </w:rPr>
        <w:t xml:space="preserve"> TMAR -</w:t>
      </w:r>
      <w:r>
        <w:rPr>
          <w:rStyle w:val="OperatorTok"/>
        </w:rPr>
        <w:t xml:space="preserve">&gt;</w:t>
      </w:r>
      <w:r>
        <w:rPr>
          <w:rStyle w:val="NormalTok"/>
        </w:rPr>
        <w:t xml:space="preserve"> proyecto financieramente viable</w:t>
      </w:r>
    </w:p>
    <w:p>
      <w:pPr>
        <w:pStyle w:val="FirstParagraph"/>
      </w:pPr>
      <w:r>
        <w:t xml:space="preserve">Dado que el margen de entrada es igual a la TMAR (35%), el ROI calculado con la fórmula</w:t>
      </w:r>
      <w:r>
        <w:t xml:space="preserve"> </w:t>
      </w:r>
      <w:r>
        <w:rPr>
          <w:rStyle w:val="VerbatimChar"/>
        </w:rPr>
        <w:t xml:space="preserve">Inversión / (1 - 0.35)</w:t>
      </w:r>
      <w:r>
        <w:t xml:space="preserve"> </w:t>
      </w:r>
      <w:r>
        <w:t xml:space="preserve">siempre supera la TMAR.</w:t>
      </w:r>
    </w:p>
    <w:p>
      <w:pPr>
        <w:pStyle w:val="Heading2"/>
      </w:pPr>
      <w:bookmarkStart w:id="43" w:name="roa-return-on-assets"/>
      <w:r>
        <w:t xml:space="preserve">ROA (Return on Assets)</w:t>
      </w:r>
      <w:bookmarkEnd w:id="43"/>
    </w:p>
    <w:p>
      <w:pPr>
        <w:pStyle w:val="SourceCode"/>
      </w:pPr>
      <w:r>
        <w:rPr>
          <w:rStyle w:val="ExtensionTok"/>
        </w:rPr>
        <w:t xml:space="preserve">ROA</w:t>
      </w:r>
      <w:r>
        <w:rPr>
          <w:rStyle w:val="NormalTok"/>
        </w:rPr>
        <w:t xml:space="preserve"> = Utilidad neta / Total de activos de la empresa proveedora</w:t>
      </w:r>
    </w:p>
    <w:p>
      <w:pPr>
        <w:pStyle w:val="FirstParagraph"/>
      </w:pPr>
      <w:r>
        <w:t xml:space="preserve">El ROA es una métrica corporativa que mide la eficiencia con la que la empresa proveedora utiliza sus activos para generar utilidades. No se calcula por proyecto individual sino sobre la empresa como un todo.</w:t>
      </w:r>
    </w:p>
    <w:p>
      <w:pPr>
        <w:pStyle w:val="Heading2"/>
      </w:pPr>
      <w:bookmarkStart w:id="44" w:name="fórmulas-específicas-por-metodología"/>
      <w:r>
        <w:t xml:space="preserve">Fórmulas específicas por metodología</w:t>
      </w:r>
      <w:bookmarkEnd w:id="44"/>
    </w:p>
    <w:p>
      <w:pPr>
        <w:pStyle w:val="Heading3"/>
      </w:pPr>
      <w:bookmarkStart w:id="45" w:name="scrum-y-scrumban"/>
      <w:r>
        <w:t xml:space="preserve">Scrum y Scrumban</w:t>
      </w:r>
      <w:bookmarkEnd w:id="45"/>
    </w:p>
    <w:p>
      <w:pPr>
        <w:pStyle w:val="SourceCode"/>
      </w:pPr>
      <w:r>
        <w:rPr>
          <w:rStyle w:val="ExtensionTok"/>
        </w:rPr>
        <w:t xml:space="preserve">Sprints</w:t>
      </w:r>
      <w:r>
        <w:rPr>
          <w:rStyle w:val="NormalTok"/>
        </w:rPr>
        <w:t xml:space="preserve"> necesarios = CEILING(121 SP / 20 SP por sprint) = </w:t>
      </w:r>
      <w:r>
        <w:rPr>
          <w:rStyle w:val="ExtensionTok"/>
        </w:rPr>
        <w:t xml:space="preserve">7</w:t>
      </w:r>
      <w:r>
        <w:br/>
      </w:r>
      <w:r>
        <w:rPr>
          <w:rStyle w:val="ExtensionTok"/>
        </w:rPr>
        <w:t xml:space="preserve">Sprints</w:t>
      </w:r>
      <w:r>
        <w:rPr>
          <w:rStyle w:val="NormalTok"/>
        </w:rPr>
        <w:t xml:space="preserve"> con buffer = CEILING(7 * 1.25) = </w:t>
      </w:r>
      <w:r>
        <w:rPr>
          <w:rStyle w:val="ExtensionTok"/>
        </w:rPr>
        <w:t xml:space="preserve">9</w:t>
      </w:r>
      <w:r>
        <w:br/>
      </w:r>
      <w:r>
        <w:rPr>
          <w:rStyle w:val="ExtensionTok"/>
        </w:rPr>
        <w:t xml:space="preserve">Duraci</w:t>
      </w:r>
      <w:r>
        <w:rPr>
          <w:rStyle w:val="NormalTok"/>
        </w:rPr>
        <w:t xml:space="preserve">ón días = 9 * 10 días por sprint = 90 días</w:t>
      </w:r>
      <w:r>
        <w:br/>
      </w:r>
      <w:r>
        <w:rPr>
          <w:rStyle w:val="ExtensionTok"/>
        </w:rPr>
        <w:t xml:space="preserve">Costo</w:t>
      </w:r>
      <w:r>
        <w:rPr>
          <w:rStyle w:val="NormalTok"/>
        </w:rPr>
        <w:t xml:space="preserve"> por sprint = Burn rate mensual / 2</w:t>
      </w:r>
      <w:r>
        <w:br/>
      </w:r>
      <w:r>
        <w:rPr>
          <w:rStyle w:val="ExtensionTok"/>
        </w:rPr>
        <w:t xml:space="preserve">Costo</w:t>
      </w:r>
      <w:r>
        <w:rPr>
          <w:rStyle w:val="NormalTok"/>
        </w:rPr>
        <w:t xml:space="preserve"> equipo (con buffer) = </w:t>
      </w:r>
      <w:r>
        <w:rPr>
          <w:rStyle w:val="ExtensionTok"/>
        </w:rPr>
        <w:t xml:space="preserve">Costo</w:t>
      </w:r>
      <w:r>
        <w:rPr>
          <w:rStyle w:val="NormalTok"/>
        </w:rPr>
        <w:t xml:space="preserve"> por sprint * 9</w:t>
      </w:r>
    </w:p>
    <w:p>
      <w:pPr>
        <w:pStyle w:val="Heading3"/>
      </w:pPr>
      <w:bookmarkStart w:id="46" w:name="scrumban-desglose-bidrom"/>
      <w:r>
        <w:t xml:space="preserve">Scrumban — desglose BID/ROM</w:t>
      </w:r>
      <w:bookmarkEnd w:id="46"/>
    </w:p>
    <w:p>
      <w:pPr>
        <w:pStyle w:val="SourceCode"/>
      </w:pPr>
      <w:r>
        <w:rPr>
          <w:rStyle w:val="ExtensionTok"/>
        </w:rPr>
        <w:t xml:space="preserve">Costo</w:t>
      </w:r>
      <w:r>
        <w:rPr>
          <w:rStyle w:val="NormalTok"/>
        </w:rPr>
        <w:t xml:space="preserve"> por sprint BID = Costo por sprint * PBID    (PBID = 0.80)</w:t>
      </w:r>
      <w:r>
        <w:br/>
      </w:r>
      <w:r>
        <w:rPr>
          <w:rStyle w:val="ExtensionTok"/>
        </w:rPr>
        <w:t xml:space="preserve">Costo</w:t>
      </w:r>
      <w:r>
        <w:rPr>
          <w:rStyle w:val="NormalTok"/>
        </w:rPr>
        <w:t xml:space="preserve"> por sprint ROM = Costo por sprint * PROM    (PROM = 0.20)</w:t>
      </w:r>
    </w:p>
    <w:p>
      <w:pPr>
        <w:pStyle w:val="FirstParagraph"/>
      </w:pPr>
      <w:r>
        <w:t xml:space="preserve">La distribución 80/20 refleja que el proyecto se construye desde cero (BID dominante) sin sistema previo en producción que genere soporte activo (ROM reducido).</w:t>
      </w:r>
    </w:p>
    <w:p>
      <w:pPr>
        <w:pStyle w:val="Heading3"/>
      </w:pPr>
      <w:bookmarkStart w:id="47" w:name="kanban"/>
      <w:r>
        <w:t xml:space="preserve">Kanban</w:t>
      </w:r>
      <w:bookmarkEnd w:id="47"/>
    </w:p>
    <w:p>
      <w:pPr>
        <w:pStyle w:val="SourceCode"/>
      </w:pPr>
      <w:r>
        <w:rPr>
          <w:rStyle w:val="ExtensionTok"/>
        </w:rPr>
        <w:t xml:space="preserve">Cycle</w:t>
      </w:r>
      <w:r>
        <w:rPr>
          <w:rStyle w:val="NormalTok"/>
        </w:rPr>
        <w:t xml:space="preserve"> Time promedio = SUM(días por tarea) </w:t>
      </w:r>
      <w:r>
        <w:rPr>
          <w:rStyle w:val="ExtensionTok"/>
        </w:rPr>
        <w:t xml:space="preserve">/</w:t>
      </w:r>
      <w:r>
        <w:rPr>
          <w:rStyle w:val="NormalTok"/>
        </w:rPr>
        <w:t xml:space="preserve"> número de tareas</w:t>
      </w:r>
      <w:r>
        <w:br/>
      </w:r>
      <w:r>
        <w:rPr>
          <w:rStyle w:val="ExtensionTok"/>
        </w:rPr>
        <w:t xml:space="preserve">Throughput</w:t>
      </w:r>
      <w:r>
        <w:rPr>
          <w:rStyle w:val="NormalTok"/>
        </w:rPr>
        <w:t xml:space="preserve"> diario = Ejecutores activos / Cycle Time promedio</w:t>
      </w:r>
      <w:r>
        <w:br/>
      </w:r>
      <w:r>
        <w:rPr>
          <w:rStyle w:val="ExtensionTok"/>
        </w:rPr>
        <w:t xml:space="preserve">D</w:t>
      </w:r>
      <w:r>
        <w:rPr>
          <w:rStyle w:val="NormalTok"/>
        </w:rPr>
        <w:t xml:space="preserve">ías operativos = Días totales de tareas / (Throughput diario * Ejecutores)</w:t>
      </w:r>
      <w:r>
        <w:br/>
      </w:r>
      <w:r>
        <w:rPr>
          <w:rStyle w:val="NormalTok"/>
        </w:rPr>
        <w:t xml:space="preserve">    </w:t>
      </w:r>
      <w:r>
        <w:rPr>
          <w:rStyle w:val="ExtensionTok"/>
        </w:rPr>
        <w:t xml:space="preserve">o</w:t>
      </w:r>
      <w:r>
        <w:rPr>
          <w:rStyle w:val="NormalTok"/>
        </w:rPr>
        <w:t xml:space="preserve"> equivalente: Días totales de tareas / Throughput diario / Ejecutores</w:t>
      </w:r>
      <w:r>
        <w:br/>
      </w:r>
      <w:r>
        <w:rPr>
          <w:rStyle w:val="ExtensionTok"/>
        </w:rPr>
        <w:t xml:space="preserve">Meses</w:t>
      </w:r>
      <w:r>
        <w:rPr>
          <w:rStyle w:val="NormalTok"/>
        </w:rPr>
        <w:t xml:space="preserve"> sin buffer = Días operativos / 20 días laborales</w:t>
      </w:r>
      <w:r>
        <w:br/>
      </w:r>
      <w:r>
        <w:rPr>
          <w:rStyle w:val="ExtensionTok"/>
        </w:rPr>
        <w:t xml:space="preserve">Meses</w:t>
      </w:r>
      <w:r>
        <w:rPr>
          <w:rStyle w:val="NormalTok"/>
        </w:rPr>
        <w:t xml:space="preserve"> con buffer = CEILING(Meses sin buffer * (1 + 0.25))</w:t>
      </w:r>
    </w:p>
    <w:p>
      <w:pPr>
        <w:pStyle w:val="FirstParagraph"/>
      </w:pPr>
      <w:r>
        <w:t xml:space="preserve">Ley de Little:</w:t>
      </w:r>
    </w:p>
    <w:p>
      <w:pPr>
        <w:pStyle w:val="SourceCode"/>
      </w:pPr>
      <w:r>
        <w:rPr>
          <w:rStyle w:val="ExtensionTok"/>
        </w:rPr>
        <w:t xml:space="preserve">Lead</w:t>
      </w:r>
      <w:r>
        <w:rPr>
          <w:rStyle w:val="NormalTok"/>
        </w:rPr>
        <w:t xml:space="preserve"> Time = WIP en progreso / Throughput</w:t>
      </w:r>
    </w:p>
    <w:p>
      <w:pPr>
        <w:pStyle w:val="Heading3"/>
      </w:pPr>
      <w:bookmarkStart w:id="48" w:name="xp-scrumban"/>
      <w:r>
        <w:t xml:space="preserve">XP + Scrumban</w:t>
      </w:r>
      <w:bookmarkEnd w:id="48"/>
    </w:p>
    <w:p>
      <w:pPr>
        <w:numPr>
          <w:ilvl w:val="0"/>
          <w:numId w:val="1004"/>
        </w:numPr>
        <w:pStyle w:val="Compact"/>
      </w:pPr>
      <w:r>
        <w:t xml:space="preserve">6 personas en el equipo (agrega Coach, Tracker/Tester, 2 Dev Junior)</w:t>
      </w:r>
    </w:p>
    <w:p>
      <w:pPr>
        <w:numPr>
          <w:ilvl w:val="0"/>
          <w:numId w:val="1004"/>
        </w:numPr>
        <w:pStyle w:val="Compact"/>
      </w:pPr>
      <w:r>
        <w:t xml:space="preserve">Holgura reducida a 0.10 por menor incertidumbre técnica con prácticas XP</w:t>
      </w:r>
    </w:p>
    <w:p>
      <w:pPr>
        <w:pStyle w:val="SourceCode"/>
      </w:pPr>
      <w:r>
        <w:rPr>
          <w:rStyle w:val="ExtensionTok"/>
        </w:rPr>
        <w:t xml:space="preserve">Sprints</w:t>
      </w:r>
      <w:r>
        <w:rPr>
          <w:rStyle w:val="NormalTok"/>
        </w:rPr>
        <w:t xml:space="preserve"> con buffer = CEILING(7 * 1.10) = </w:t>
      </w:r>
      <w:r>
        <w:rPr>
          <w:rStyle w:val="ExtensionTok"/>
        </w:rPr>
        <w:t xml:space="preserve">8</w:t>
      </w:r>
    </w:p>
    <w:p>
      <w:pPr>
        <w:pStyle w:val="Heading2"/>
      </w:pPr>
      <w:bookmarkStart w:id="49" w:name="esquema-de-pagos-304030"/>
      <w:r>
        <w:t xml:space="preserve">Esquema de pagos 30/40/30</w:t>
      </w:r>
      <w:bookmarkEnd w:id="49"/>
    </w:p>
    <w:p>
      <w:pPr>
        <w:pStyle w:val="SourceCode"/>
      </w:pPr>
      <w:r>
        <w:rPr>
          <w:rStyle w:val="ExtensionTok"/>
        </w:rPr>
        <w:t xml:space="preserve">Cuota</w:t>
      </w:r>
      <w:r>
        <w:rPr>
          <w:rStyle w:val="NormalTok"/>
        </w:rPr>
        <w:t xml:space="preserve"> inicio (30%) = </w:t>
      </w:r>
      <w:r>
        <w:rPr>
          <w:rStyle w:val="ExtensionTok"/>
        </w:rPr>
        <w:t xml:space="preserve">Precio</w:t>
      </w:r>
      <w:r>
        <w:rPr>
          <w:rStyle w:val="NormalTok"/>
        </w:rPr>
        <w:t xml:space="preserve"> redondeado * 0.30    -</w:t>
      </w:r>
      <w:r>
        <w:rPr>
          <w:rStyle w:val="OperatorTok"/>
        </w:rPr>
        <w:t xml:space="preserve">&gt;</w:t>
      </w:r>
      <w:r>
        <w:rPr>
          <w:rStyle w:val="NormalTok"/>
        </w:rPr>
        <w:t xml:space="preserve"> hito: firma del contrato y Sprint 1</w:t>
      </w:r>
      <w:r>
        <w:br/>
      </w:r>
      <w:r>
        <w:rPr>
          <w:rStyle w:val="ExtensionTok"/>
        </w:rPr>
        <w:t xml:space="preserve">Cuota</w:t>
      </w:r>
      <w:r>
        <w:rPr>
          <w:rStyle w:val="NormalTok"/>
        </w:rPr>
        <w:t xml:space="preserve"> medio (40%)  = </w:t>
      </w:r>
      <w:r>
        <w:rPr>
          <w:rStyle w:val="ExtensionTok"/>
        </w:rPr>
        <w:t xml:space="preserve">Precio</w:t>
      </w:r>
      <w:r>
        <w:rPr>
          <w:rStyle w:val="NormalTok"/>
        </w:rPr>
        <w:t xml:space="preserve"> redondeado * 0.40    -</w:t>
      </w:r>
      <w:r>
        <w:rPr>
          <w:rStyle w:val="OperatorTok"/>
        </w:rPr>
        <w:t xml:space="preserve">&gt;</w:t>
      </w:r>
      <w:r>
        <w:rPr>
          <w:rStyle w:val="NormalTok"/>
        </w:rPr>
        <w:t xml:space="preserve"> hito: validación catálogo (Sprint 4, XP+Scrumban) </w:t>
      </w:r>
      <w:r>
        <w:rPr>
          <w:rStyle w:val="ExtensionTok"/>
        </w:rPr>
        <w:t xml:space="preserve">o</w:t>
      </w:r>
      <w:r>
        <w:rPr>
          <w:rStyle w:val="NormalTok"/>
        </w:rPr>
        <w:t xml:space="preserve"> motor recomendación (Sprint 5, Scrum/Scrumban)</w:t>
      </w:r>
      <w:r>
        <w:br/>
      </w:r>
      <w:r>
        <w:rPr>
          <w:rStyle w:val="ExtensionTok"/>
        </w:rPr>
        <w:t xml:space="preserve">Cuota</w:t>
      </w:r>
      <w:r>
        <w:rPr>
          <w:rStyle w:val="NormalTok"/>
        </w:rPr>
        <w:t xml:space="preserve"> cierre (30%) = </w:t>
      </w:r>
      <w:r>
        <w:rPr>
          <w:rStyle w:val="ExtensionTok"/>
        </w:rPr>
        <w:t xml:space="preserve">Precio</w:t>
      </w:r>
      <w:r>
        <w:rPr>
          <w:rStyle w:val="NormalTok"/>
        </w:rPr>
        <w:t xml:space="preserve"> redondeado * 0.30    -</w:t>
      </w:r>
      <w:r>
        <w:rPr>
          <w:rStyle w:val="OperatorTok"/>
        </w:rPr>
        <w:t xml:space="preserve">&gt;</w:t>
      </w:r>
      <w:r>
        <w:rPr>
          <w:rStyle w:val="NormalTok"/>
        </w:rPr>
        <w:t xml:space="preserve"> hito: MVP funcional y acta de cierre (Sprint 8, XP+Scrumban) </w:t>
      </w:r>
      <w:r>
        <w:rPr>
          <w:rStyle w:val="ExtensionTok"/>
        </w:rPr>
        <w:t xml:space="preserve">o</w:t>
      </w:r>
      <w:r>
        <w:rPr>
          <w:rStyle w:val="NormalTok"/>
        </w:rPr>
        <w:t xml:space="preserve"> Sprint 9 (Scrum/Scrumban)</w:t>
      </w:r>
    </w:p>
    <w:p>
      <w:pPr>
        <w:pStyle w:val="FirstParagraph"/>
      </w:pPr>
      <w:r>
        <w:t xml:space="preserve">Los montos se calculan sobre el precio redondeado total (inversión + margen), no sobre el costo base.</w:t>
      </w:r>
    </w:p>
    <w:p>
      <w:pPr>
        <w:pStyle w:val="Heading2"/>
      </w:pPr>
      <w:bookmarkStart w:id="50" w:name="fuente"/>
      <w:r>
        <w:t xml:space="preserve">Fuente</w:t>
      </w:r>
      <w:bookmarkEnd w:id="50"/>
    </w:p>
    <w:p>
      <w:pPr>
        <w:pStyle w:val="FirstParagraph"/>
      </w:pPr>
      <w:r>
        <w:t xml:space="preserve">Fórmulas derivadas de:</w:t>
      </w:r>
      <w:r>
        <w:t xml:space="preserve"> </w:t>
      </w:r>
      <w:r>
        <w:rPr>
          <w:rStyle w:val="VerbatimChar"/>
        </w:rPr>
        <w:t xml:space="preserve">knowledge/proyecto/costos/UVG-Admon-TI-Costos-Unificado.xlsx</w:t>
      </w:r>
      <w:r>
        <w:t xml:space="preserve"> </w:t>
      </w:r>
      <w:r>
        <w:t xml:space="preserve">(hoja Inputs y hojas de metodología). El script generador del Excel se encuentra en</w:t>
      </w:r>
      <w:r>
        <w:t xml:space="preserve"> </w:t>
      </w:r>
      <w:r>
        <w:rPr>
          <w:rStyle w:val="VerbatimChar"/>
        </w:rPr>
        <w:t xml:space="preserve">knowledge/proyecto/costos/scripts/build_unified_excel.py</w:t>
      </w:r>
      <w:r>
        <w:t xml:space="preserve">.</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Fórmulas del modelo financiero</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Fórmulas del modelo financiero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SITPS-FIN-2026-02</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hyperlink" Target="costos-consolidados.m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21" Type="http://schemas.openxmlformats.org/officeDocument/2006/relationships/hyperlink" Target="costos-consolidado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2026-05-18T22:26:44Z</dcterms:created>
  <dcterms:modified xsi:type="dcterms:W3CDTF">2026-05-18T22:26:44Z</dcterms:modified>
</cp:coreProperties>
</file>

<file path=docProps/custom.xml><?xml version="1.0" encoding="utf-8"?>
<Properties xmlns="http://schemas.openxmlformats.org/officeDocument/2006/custom-properties" xmlns:vt="http://schemas.openxmlformats.org/officeDocument/2006/docPropsVTypes"/>
</file>