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0E2841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color w:val="FFFFFF"/>
                <w:sz w:val="36"/>
              </w:rPr>
              <w:t>Strategic IT Project Solutions</w:t>
            </w:r>
          </w:p>
          <w:p>
            <w:pPr>
              <w:spacing w:before="0" w:after="200"/>
            </w:pPr>
            <w:r>
              <w:rPr>
                <w:rFonts w:ascii="Calibri" w:hAnsi="Calibri"/>
                <w:b w:val="0"/>
                <w:color w:val="E97132"/>
                <w:sz w:val="22"/>
              </w:rPr>
              <w:t>Agile &amp; Project Management Advisory</w:t>
            </w:r>
          </w:p>
        </w:tc>
      </w:tr>
    </w:tbl>
    <w:p>
      <w:pPr>
        <w:spacing w:before="280" w:after="160"/>
        <w:jc w:val="center"/>
      </w:pPr>
      <w:r>
        <w:rPr>
          <w:rFonts w:ascii="Calibri" w:hAnsi="Calibri"/>
          <w:b/>
          <w:color w:val="AAAAAA"/>
          <w:sz w:val="18"/>
        </w:rPr>
        <w:t>SITPS-KAN-2026-03</w:t>
      </w:r>
    </w:p>
    <w:p>
      <w:pPr>
        <w:spacing w:before="0" w:after="240"/>
        <w:pBdr>
          <w:bottom w:val="single" w:sz="16" w:space="1" w:color="E97132"/>
        </w:pBdr>
      </w:pPr>
    </w:p>
    <w:p>
      <w:pPr>
        <w:spacing w:before="0" w:after="200"/>
        <w:jc w:val="center"/>
      </w:pPr>
      <w:r>
        <w:rPr>
          <w:rFonts w:ascii="Calibri" w:hAnsi="Calibri"/>
          <w:b/>
          <w:color w:val="0E2841"/>
          <w:sz w:val="44"/>
        </w:rPr>
        <w:t>Principios Kanban aplicados al proyecto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E6251"/>
          <w:sz w:val="24"/>
        </w:rPr>
        <w:t>Sistema de Recomendación de Carrera Universitaria</w:t>
      </w:r>
    </w:p>
    <w:p>
      <w:pPr>
        <w:spacing w:before="0" w:after="280"/>
        <w:jc w:val="center"/>
      </w:pPr>
      <w:r>
        <w:rPr>
          <w:rFonts w:ascii="Calibri" w:hAnsi="Calibri"/>
          <w:b w:val="0"/>
          <w:color w:val="AAAAAA"/>
          <w:sz w:val="20"/>
        </w:rPr>
        <w:t>UVG Campus Central — 2026</w:t>
      </w:r>
    </w:p>
    <w:p>
      <w:pPr>
        <w:spacing w:before="0" w:after="240"/>
        <w:pBdr>
          <w:bottom w:val="single" w:sz="8" w:space="1" w:color="E8E8E8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814"/>
        <w:gridCol w:w="7258"/>
      </w:tblGrid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Proyecto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Sistema de Recomendación Vocacional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Cliente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UVG Campus Central — Admisiones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Product Owner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Josué Say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Sponsor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Erick Oswaldo Marroquín Zamora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Fecha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Mayo 2026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Versión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1.0</w:t>
            </w:r>
          </w:p>
        </w:tc>
      </w:tr>
    </w:tbl>
    <w:p>
      <w:pPr>
        <w:spacing w:before="280" w:after="200"/>
        <w:pBdr>
          <w:bottom w:val="single" w:sz="16" w:space="1" w:color="E97132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E8E8E8"/>
            <w:tcBorders>
              <w:top w:val="none"/>
              <w:bottom w:val="none"/>
              <w:right w:val="none"/>
              <w:left w:val="single" w:sz="18" w:space="0" w:color="0E6251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0E2841"/>
                <w:sz w:val="20"/>
              </w:rPr>
              <w:t xml:space="preserve">Área PMI: </w:t>
            </w:r>
            <w:r>
              <w:rPr>
                <w:rFonts w:ascii="Calibri" w:hAnsi="Calibri"/>
                <w:b w:val="0"/>
                <w:color w:val="0E2841"/>
                <w:sz w:val="20"/>
              </w:rPr>
              <w:t>Marco de Proceso — Kanban</w:t>
            </w:r>
          </w:p>
        </w:tc>
      </w:tr>
    </w:tbl>
    <w:p>
      <w:pPr>
        <w:spacing w:before="400" w:after="0"/>
      </w:pPr>
    </w:p>
    <w:p>
      <w:pPr>
        <w:spacing w:before="0" w:after="80"/>
        <w:pBdr>
          <w:bottom w:val="single" w:sz="6" w:space="1" w:color="E8E8E8"/>
        </w:pBdr>
      </w:pPr>
    </w:p>
    <w:p>
      <w:pPr>
        <w:spacing w:before="80" w:after="0"/>
        <w:tabs>
          <w:tab w:val="right" w:pos="9360"/>
        </w:tabs>
      </w:pPr>
      <w:r>
        <w:rPr>
          <w:rFonts w:ascii="Calibri" w:hAnsi="Calibri"/>
          <w:b w:val="0"/>
          <w:color w:val="AAAAAA"/>
          <w:sz w:val="16"/>
        </w:rPr>
        <w:t>Documento de uso interno — Strategic IT Project Solutions</w:t>
      </w:r>
      <w:r>
        <w:rPr>
          <w:rFonts w:ascii="Calibri" w:hAnsi="Calibri"/>
          <w:b w:val="0"/>
          <w:color w:val="AAAAAA"/>
          <w:sz w:val="16"/>
        </w:rPr>
        <w:tab/>
        <w:t>SITPS-KAN-2026-03 — v1.0</w:t>
      </w:r>
    </w:p>
    <w:p>
      <w:r>
        <w:br w:type="page"/>
      </w:r>
    </w:p>
    <w:p>
      <w:pPr>
        <w:pStyle w:val="Heading1"/>
      </w:pPr>
      <w:bookmarkStart w:id="20" w:name="principios-kanban-aplicados-al-proyecto"/>
      <w:r>
        <w:t xml:space="preserve">Principios Kanban aplicados al proyecto</w:t>
      </w:r>
      <w:bookmarkEnd w:id="20"/>
    </w:p>
    <w:p>
      <w:pPr>
        <w:pStyle w:val="FirstParagraph"/>
      </w:pPr>
      <w:r>
        <w:t xml:space="preserve">Proyecto: Sistema de Recomendación de Carrera Universitaria — UVG Campus Central 2026</w:t>
      </w:r>
    </w:p>
    <w:p>
      <w:pPr>
        <w:pStyle w:val="Heading2"/>
      </w:pPr>
      <w:bookmarkStart w:id="21" w:name="referencia"/>
      <w:r>
        <w:t xml:space="preserve">Referencia</w:t>
      </w:r>
      <w:bookmarkEnd w:id="21"/>
    </w:p>
    <w:p>
      <w:pPr>
        <w:pStyle w:val="FirstParagraph"/>
      </w:pPr>
      <w:r>
        <w:t xml:space="preserve">Los seis principios descritos en este documento corresponden a la base teórica del método Kanban y se presentan con su aplicación concreta en el tablero y el flujo del proyecto.</w:t>
      </w:r>
    </w:p>
    <w:p>
      <w:pPr>
        <w:pStyle w:val="Heading2"/>
      </w:pPr>
      <w:bookmarkStart w:id="22" w:name="X58d48170e1dc1e407a4f85a647fc1feca15fb12"/>
      <w:r>
        <w:t xml:space="preserve">Principio 1: Visualizar el flujo de trabajo</w:t>
      </w:r>
      <w:bookmarkEnd w:id="22"/>
    </w:p>
    <w:p>
      <w:pPr>
        <w:pStyle w:val="Heading3"/>
      </w:pPr>
      <w:bookmarkStart w:id="23" w:name="definición"/>
      <w:r>
        <w:t xml:space="preserve">Definición</w:t>
      </w:r>
      <w:bookmarkEnd w:id="23"/>
    </w:p>
    <w:p>
      <w:pPr>
        <w:pStyle w:val="FirstParagraph"/>
      </w:pPr>
      <w:r>
        <w:t xml:space="preserve">Hacer visible todo el trabajo pendiente, activo y completado en un tablero compartido que el equipo pueda consultar en cualquier momento. La visibilidad elimina el trabajo oculto y los compromisos implícitos.</w:t>
      </w:r>
    </w:p>
    <w:p>
      <w:pPr>
        <w:pStyle w:val="Heading3"/>
      </w:pPr>
      <w:bookmarkStart w:id="24" w:name="aplicación-en-el-proyecto"/>
      <w:r>
        <w:t xml:space="preserve">Aplicación en el proyecto</w:t>
      </w:r>
      <w:bookmarkEnd w:id="24"/>
    </w:p>
    <w:p>
      <w:pPr>
        <w:pStyle w:val="FirstParagraph"/>
      </w:pPr>
      <w:r>
        <w:t xml:space="preserve">El tablero del proyecto cuenta con seis columnas: Backlog, To Do, In Progress, Testing, Review y Done. Las 133 tareas técnicas del proyecto se distribuyen en estas columnas según su estado real. Cualquier miembro del equipo — PM Josué Say, Líder Técnico Mathew Cordero, y los tres developers Gustavo Cruz Bardales, Javier Chen Gonzalez y Pedro Guzmán Mayen — puede ver en tiempo real cuántas tareas están activas, cuáles están bloqueadas, cuáles están en validación y cuáles están completadas.</w:t>
      </w:r>
    </w:p>
    <w:p>
      <w:pPr>
        <w:pStyle w:val="BodyText"/>
      </w:pPr>
      <w:r>
        <w:t xml:space="preserve">El tablero también hace visible el cuello de botella: si la columna Review acumula tareas por encima de su límite WIP de 2, el equipo sabe que debe detener el avance desde In Progress y priorizar la revisión antes de continuar.</w:t>
      </w:r>
    </w:p>
    <w:p>
      <w:pPr>
        <w:pStyle w:val="Heading2"/>
      </w:pPr>
      <w:bookmarkStart w:id="25" w:name="Xae9575c4871d222e065e66cb61d81c79e172c85"/>
      <w:r>
        <w:t xml:space="preserve">Principio 2: Limitar el trabajo en progreso (WIP)</w:t>
      </w:r>
      <w:bookmarkEnd w:id="25"/>
    </w:p>
    <w:p>
      <w:pPr>
        <w:pStyle w:val="Heading3"/>
      </w:pPr>
      <w:bookmarkStart w:id="26" w:name="definición-1"/>
      <w:r>
        <w:t xml:space="preserve">Definición</w:t>
      </w:r>
      <w:bookmarkEnd w:id="26"/>
    </w:p>
    <w:p>
      <w:pPr>
        <w:pStyle w:val="FirstParagraph"/>
      </w:pPr>
      <w:r>
        <w:t xml:space="preserve">Establecer un techo explícito al número de tareas que pueden estar activas simultáneamente en cada etapa del flujo. Los límites WIP evitan la multitarea, reducen el tiempo de espera y aumentan el enfoque.</w:t>
      </w:r>
    </w:p>
    <w:p>
      <w:pPr>
        <w:pStyle w:val="Heading3"/>
      </w:pPr>
      <w:bookmarkStart w:id="27" w:name="aplicación-en-el-proyecto-1"/>
      <w:r>
        <w:t xml:space="preserve">Aplicación en el proyecto</w:t>
      </w:r>
      <w:bookmarkEnd w:id="27"/>
    </w:p>
    <w:p>
      <w:pPr>
        <w:pStyle w:val="FirstParagraph"/>
      </w:pPr>
      <w:r>
        <w:t xml:space="preserve">Los límites WIP del tablero se calculan a partir de los cuatro ejecutores activos del flujo: Mathew Cordero, Gustavo Cruz Bardales, Javier Chen Gonzalez y Pedro Guzmán Mayen.</w:t>
      </w:r>
    </w:p>
    <w:p>
      <w:pPr>
        <w:numPr>
          <w:ilvl w:val="0"/>
          <w:numId w:val="1001"/>
        </w:numPr>
        <w:pStyle w:val="Compact"/>
      </w:pPr>
      <w:r>
        <w:t xml:space="preserve">In Progress tiene WIP de 4: una tarea activa por ejecutor. Nadie debe comenzar una tarea nueva si ya tiene una en curso.</w:t>
      </w:r>
    </w:p>
    <w:p>
      <w:pPr>
        <w:numPr>
          <w:ilvl w:val="0"/>
          <w:numId w:val="1001"/>
        </w:numPr>
        <w:pStyle w:val="Compact"/>
      </w:pPr>
      <w:r>
        <w:t xml:space="preserve">To Do tiene WIP de 8: el doble de los ejecutores activos, para mantener siempre trabajo preparado sin saturar la cola inmediata.</w:t>
      </w:r>
    </w:p>
    <w:p>
      <w:pPr>
        <w:numPr>
          <w:ilvl w:val="0"/>
          <w:numId w:val="1001"/>
        </w:numPr>
        <w:pStyle w:val="Compact"/>
      </w:pPr>
      <w:r>
        <w:t xml:space="preserve">Testing tiene WIP de 4: paridad con In Progress para que las pruebas no generen una cola de espera mayor al ritmo de producción.</w:t>
      </w:r>
    </w:p>
    <w:p>
      <w:pPr>
        <w:numPr>
          <w:ilvl w:val="0"/>
          <w:numId w:val="1001"/>
        </w:numPr>
        <w:pStyle w:val="Compact"/>
      </w:pPr>
      <w:r>
        <w:t xml:space="preserve">Review tiene WIP de 2: es el cuello de botella controlado. Dos tareas en revisión simultánea son suficientes dado que la validación funcional contra criterios de aceptación requiere atención concentrada.</w:t>
      </w:r>
    </w:p>
    <w:p>
      <w:pPr>
        <w:pStyle w:val="Heading2"/>
      </w:pPr>
      <w:bookmarkStart w:id="28" w:name="principio-3-gestionar-el-flujo"/>
      <w:r>
        <w:t xml:space="preserve">Principio 3: Gestionar el flujo</w:t>
      </w:r>
      <w:bookmarkEnd w:id="28"/>
    </w:p>
    <w:p>
      <w:pPr>
        <w:pStyle w:val="Heading3"/>
      </w:pPr>
      <w:bookmarkStart w:id="29" w:name="definición-2"/>
      <w:r>
        <w:t xml:space="preserve">Definición</w:t>
      </w:r>
      <w:bookmarkEnd w:id="29"/>
    </w:p>
    <w:p>
      <w:pPr>
        <w:pStyle w:val="FirstParagraph"/>
      </w:pPr>
      <w:r>
        <w:t xml:space="preserve">Monitorear y optimizar el movimiento de las tareas a través del sistema. El objetivo no es mantener a las personas ocupadas, sino mantener el trabajo fluyendo de manera predecible.</w:t>
      </w:r>
    </w:p>
    <w:p>
      <w:pPr>
        <w:pStyle w:val="Heading3"/>
      </w:pPr>
      <w:bookmarkStart w:id="30" w:name="aplicación-en-el-proyecto-2"/>
      <w:r>
        <w:t xml:space="preserve">Aplicación en el proyecto</w:t>
      </w:r>
      <w:bookmarkEnd w:id="30"/>
    </w:p>
    <w:p>
      <w:pPr>
        <w:pStyle w:val="FirstParagraph"/>
      </w:pPr>
      <w:r>
        <w:t xml:space="preserve">El PM monitorea semanalmente tres métricas de flujo: Cycle Time (tiempo activo por tarea), Throughput (tareas completadas por período) y Lead Time (tiempo total desde solicitud hasta entrega). El Throughput diario esperado es de 0.78 tareas por día, lo que equivale a 15.60 tareas por mes.</w:t>
      </w:r>
    </w:p>
    <w:p>
      <w:pPr>
        <w:pStyle w:val="BodyText"/>
      </w:pPr>
      <w:r>
        <w:t xml:space="preserve">Si el Throughput real cae por debajo de 0.78 tareas por día de forma sostenida, es señal de que hay un cuello de botella activo o que el Cycle Time se está extendiendo más allá del límite máximo de 10 días. En ese caso el PM convoca una revisión del flujo para identificar la causa: tarea bloqueada, deuda técnica no contabilizada, o falta de claridad en los criterios de aceptación.</w:t>
      </w:r>
    </w:p>
    <w:p>
      <w:pPr>
        <w:pStyle w:val="Heading2"/>
      </w:pPr>
      <w:bookmarkStart w:id="31" w:name="X98462a6d71cec75297dcd64d4590796fcaf216b"/>
      <w:r>
        <w:t xml:space="preserve">Principio 4: Hacer explícitas las políticas del proceso</w:t>
      </w:r>
      <w:bookmarkEnd w:id="31"/>
    </w:p>
    <w:p>
      <w:pPr>
        <w:pStyle w:val="Heading3"/>
      </w:pPr>
      <w:bookmarkStart w:id="32" w:name="definición-3"/>
      <w:r>
        <w:t xml:space="preserve">Definición</w:t>
      </w:r>
      <w:bookmarkEnd w:id="32"/>
    </w:p>
    <w:p>
      <w:pPr>
        <w:pStyle w:val="FirstParagraph"/>
      </w:pPr>
      <w:r>
        <w:t xml:space="preserve">Documentar las reglas que gobiernan cómo se maneja el trabajo: cuándo una tarea puede avanzar de columna, quién tiene autoridad para moverla, qué significa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y cómo se manejan los bloqueos.</w:t>
      </w:r>
    </w:p>
    <w:p>
      <w:pPr>
        <w:pStyle w:val="Heading3"/>
      </w:pPr>
      <w:bookmarkStart w:id="33" w:name="aplicación-en-el-proyecto-3"/>
      <w:r>
        <w:t xml:space="preserve">Aplicación en el proyecto</w:t>
      </w:r>
      <w:bookmarkEnd w:id="33"/>
    </w:p>
    <w:p>
      <w:pPr>
        <w:pStyle w:val="FirstParagraph"/>
      </w:pPr>
      <w:r>
        <w:t xml:space="preserve">Las políticas explícitas del tablero incluyen:</w:t>
      </w:r>
    </w:p>
    <w:p>
      <w:pPr>
        <w:numPr>
          <w:ilvl w:val="0"/>
          <w:numId w:val="1002"/>
        </w:numPr>
        <w:pStyle w:val="Compact"/>
      </w:pPr>
      <w:r>
        <w:t xml:space="preserve">Una tarea solo puede pasar de In Progress a Testing cuando el developer ha terminado la implementación y la ha probado localmente.</w:t>
      </w:r>
    </w:p>
    <w:p>
      <w:pPr>
        <w:numPr>
          <w:ilvl w:val="0"/>
          <w:numId w:val="1002"/>
        </w:numPr>
        <w:pStyle w:val="Compact"/>
      </w:pPr>
      <w:r>
        <w:t xml:space="preserve">Una tarea solo puede pasar de Testing a Review cuando todas las pruebas técnicas han pasado. Si falla alguna prueba, la tarea regresa a In Progress con observaciones documentadas en el ítem.</w:t>
      </w:r>
    </w:p>
    <w:p>
      <w:pPr>
        <w:numPr>
          <w:ilvl w:val="0"/>
          <w:numId w:val="1002"/>
        </w:numPr>
        <w:pStyle w:val="Compact"/>
      </w:pPr>
      <w:r>
        <w:t xml:space="preserve">Una tarea se marca Done únicamente cuando el Líder Técnico o el PM ha validado que cumple los criterios de aceptación definidos en el Backlog.</w:t>
      </w:r>
    </w:p>
    <w:p>
      <w:pPr>
        <w:numPr>
          <w:ilvl w:val="0"/>
          <w:numId w:val="1002"/>
        </w:numPr>
        <w:pStyle w:val="Compact"/>
      </w:pPr>
      <w:r>
        <w:t xml:space="preserve">Si una tarea en In Progress está bloqueada por dependencia externa, se etiqueta como</w:t>
      </w:r>
      <w:r>
        <w:t xml:space="preserve"> </w:t>
      </w:r>
      <w:r>
        <w:t xml:space="preserve">“</w:t>
      </w:r>
      <w:r>
        <w:t xml:space="preserve">bloqueada</w:t>
      </w:r>
      <w:r>
        <w:t xml:space="preserve">”</w:t>
      </w:r>
      <w:r>
        <w:t xml:space="preserve"> </w:t>
      </w:r>
      <w:r>
        <w:t xml:space="preserve">y no cuenta contra el WIP, pero sí se registra su causa para análisis posterior.</w:t>
      </w:r>
    </w:p>
    <w:p>
      <w:pPr>
        <w:numPr>
          <w:ilvl w:val="0"/>
          <w:numId w:val="1002"/>
        </w:numPr>
        <w:pStyle w:val="Compact"/>
      </w:pPr>
      <w:r>
        <w:t xml:space="preserve">El PM es el único rol autorizado para priorizar el orden de las tareas en To Do.</w:t>
      </w:r>
    </w:p>
    <w:p>
      <w:pPr>
        <w:pStyle w:val="Heading2"/>
      </w:pPr>
      <w:bookmarkStart w:id="34" w:name="Xcb0cad981a4bd1b1f53af7ede2759f69bd554ed"/>
      <w:r>
        <w:t xml:space="preserve">Principio 5: Implementar ciclos de retroalimentación</w:t>
      </w:r>
      <w:bookmarkEnd w:id="34"/>
    </w:p>
    <w:p>
      <w:pPr>
        <w:pStyle w:val="Heading3"/>
      </w:pPr>
      <w:bookmarkStart w:id="35" w:name="definición-4"/>
      <w:r>
        <w:t xml:space="preserve">Definición</w:t>
      </w:r>
      <w:bookmarkEnd w:id="35"/>
    </w:p>
    <w:p>
      <w:pPr>
        <w:pStyle w:val="FirstParagraph"/>
      </w:pPr>
      <w:r>
        <w:t xml:space="preserve">Establecer puntos recurrentes donde el equipo revisa el estado del sistema, las métricas de flujo y los acuerdos de nivel de servicio para tomar decisiones de mejora.</w:t>
      </w:r>
    </w:p>
    <w:p>
      <w:pPr>
        <w:pStyle w:val="Heading3"/>
      </w:pPr>
      <w:bookmarkStart w:id="36" w:name="aplicación-en-el-proyecto-4"/>
      <w:r>
        <w:t xml:space="preserve">Aplicación en el proyecto</w:t>
      </w:r>
      <w:bookmarkEnd w:id="36"/>
    </w:p>
    <w:p>
      <w:pPr>
        <w:pStyle w:val="FirstParagraph"/>
      </w:pPr>
      <w:r>
        <w:t xml:space="preserve">El proyecto incorpora dos ciclos de retroalimentación: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Revisión semanal de métricas</w:t>
      </w:r>
      <w:r>
        <w:t xml:space="preserve">: el PM revisa Throughput, Cycle Time y Lead Time acumulado. Si algún indicador se desvía del valor esperado, se documenta la causa y se ajusta la priorización del Backlog.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Revisión del SLA mensual</w:t>
      </w:r>
      <w:r>
        <w:t xml:space="preserve">: al cierre de cada mes, el equipo contrasta el Throughput real contra el comprometido en el SLA (3 a 4 tareas por semana). Si hay desvío, se identifican las causas y se aplican ajustes antes del siguiente ciclo de pago.</w:t>
      </w:r>
    </w:p>
    <w:p>
      <w:pPr>
        <w:pStyle w:val="FirstParagraph"/>
      </w:pPr>
      <w:r>
        <w:t xml:space="preserve">El ciclo de retroalimentación no tiene una duración fija como en Scrum. La frecuencia se adapta a la necesidad: semanal para métricas operativas, mensual para el SLA.</w:t>
      </w:r>
    </w:p>
    <w:p>
      <w:pPr>
        <w:pStyle w:val="Heading2"/>
      </w:pPr>
      <w:bookmarkStart w:id="37" w:name="X1e5d64816780547077ca4ef1f425c3791477e53"/>
      <w:r>
        <w:t xml:space="preserve">Principio 6: Mejorar colaborativamente y evolucionar experimentalmente</w:t>
      </w:r>
      <w:bookmarkEnd w:id="37"/>
    </w:p>
    <w:p>
      <w:pPr>
        <w:pStyle w:val="Heading3"/>
      </w:pPr>
      <w:bookmarkStart w:id="38" w:name="definición-5"/>
      <w:r>
        <w:t xml:space="preserve">Definición</w:t>
      </w:r>
      <w:bookmarkEnd w:id="38"/>
    </w:p>
    <w:p>
      <w:pPr>
        <w:pStyle w:val="FirstParagraph"/>
      </w:pPr>
      <w:r>
        <w:t xml:space="preserve">Los cambios al proceso se proponen con base en datos reales del flujo, se implementan de forma incremental y se evalúan antes de consolidarse. El equipo completo participa en la identificación de mejoras.</w:t>
      </w:r>
    </w:p>
    <w:p>
      <w:pPr>
        <w:pStyle w:val="Heading3"/>
      </w:pPr>
      <w:bookmarkStart w:id="39" w:name="aplicación-en-el-proyecto-5"/>
      <w:r>
        <w:t xml:space="preserve">Aplicación en el proyecto</w:t>
      </w:r>
      <w:bookmarkEnd w:id="39"/>
    </w:p>
    <w:p>
      <w:pPr>
        <w:pStyle w:val="FirstParagraph"/>
      </w:pPr>
      <w:r>
        <w:t xml:space="preserve">Si el análisis semanal de métricas muestra que el Cycle Time promedio está por encima de 7 días de forma consistente, el equipo analiza en qué columna se concentra el tiempo excesivo. Un cambio posible sería aumentar el WIP de Review de 2 a 3 de forma experimental durante dos semanas y medir si el Lead Time total disminuye.</w:t>
      </w:r>
    </w:p>
    <w:p>
      <w:pPr>
        <w:pStyle w:val="BodyText"/>
      </w:pPr>
      <w:r>
        <w:t xml:space="preserve">Otro ejemplo: si se decide incorporar prácticas de revisión técnica por pares (provenientes de XP), se puede agregar una columna</w:t>
      </w:r>
      <w:r>
        <w:t xml:space="preserve"> </w:t>
      </w:r>
      <w:r>
        <w:t xml:space="preserve">“</w:t>
      </w:r>
      <w:r>
        <w:t xml:space="preserve">Code Review</w:t>
      </w:r>
      <w:r>
        <w:t xml:space="preserve">”</w:t>
      </w:r>
      <w:r>
        <w:t xml:space="preserve"> </w:t>
      </w:r>
      <w:r>
        <w:t xml:space="preserve">entre Testing y Review. Este cambio experimental agrega aproximadamente un día al Cycle Time promedio (de 5.13 a ~6.13 días), pero reduce la tasa de regreso desde Review a In Progress. La decisión de mantenerlo o revertirlo se basa en los datos acumulados del mes, no en preferencias individuales.</w:t>
      </w:r>
    </w:p>
    <w:sectPr>
      <w:headerReference w:type="default" r:id="rId9"/>
      <w:footerReference w:type="default" r:id="rId10"/>
      <w:headerReference w:type="first" r:id="rId11"/>
      <w:footerReference w:type="first" r:id="rId1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pBdr>
        <w:top w:val="single" w:sz="8" w:space="1" w:color="E97132"/>
      </w:pBdr>
      <w:tabs>
        <w:tab w:val="right" w:pos="9360"/>
      </w:tabs>
    </w:pPr>
    <w:r>
      <w:rPr>
        <w:rFonts w:ascii="Calibri" w:hAnsi="Calibri"/>
        <w:b w:val="0"/>
        <w:color w:val="AAAAAA"/>
        <w:sz w:val="16"/>
      </w:rPr>
      <w:t>Principios Kanban aplicados al proyecto</w:t>
    </w:r>
    <w:r>
      <w:rPr>
        <w:rFonts w:ascii="Calibri" w:hAnsi="Calibri"/>
        <w:b w:val="0"/>
        <w:color w:val="AAAAAA"/>
        <w:sz w:val="16"/>
      </w:rPr>
      <w:tab/>
    </w:r>
    <w:r>
      <w:rPr>
        <w:rFonts w:ascii="Calibri" w:hAnsi="Calibri"/>
        <w:color w:val="AAAAAA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b w:val="0"/>
        <w:color w:val="AAAAAA"/>
        <w:sz w:val="16"/>
      </w:rPr>
      <w:t xml:space="preserve"> / </w:t>
    </w:r>
    <w:r>
      <w:rPr>
        <w:rFonts w:ascii="Calibri" w:hAnsi="Calibri"/>
        <w:color w:val="AAAAAA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pBdr>
        <w:top w:val="single" w:sz="8" w:space="1" w:color="E97132"/>
      </w:pBdr>
    </w:pPr>
    <w:r>
      <w:rPr>
        <w:rFonts w:ascii="Calibri" w:hAnsi="Calibri"/>
        <w:b w:val="0"/>
        <w:color w:val="AAAAAA"/>
        <w:sz w:val="16"/>
      </w:rPr>
      <w:t>Principios Kanban aplicados al proyecto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shd w:val="clear" w:color="auto" w:fill="0E2841"/>
      <w:tabs>
        <w:tab w:val="right" w:pos="9360"/>
      </w:tabs>
    </w:pPr>
    <w:r>
      <w:rPr>
        <w:rFonts w:ascii="Calibri" w:hAnsi="Calibri"/>
        <w:b/>
        <w:color w:val="FFFFFF"/>
        <w:sz w:val="16"/>
      </w:rPr>
      <w:t xml:space="preserve">  SITPS-KAN-2026-03</w:t>
    </w:r>
    <w:r>
      <w:rPr>
        <w:rFonts w:ascii="Calibri" w:hAnsi="Calibri"/>
        <w:b w:val="0"/>
        <w:color w:val="FFFFFF"/>
        <w:sz w:val="16"/>
      </w:rPr>
      <w:tab/>
      <w:t xml:space="preserve">Strategic IT Project Solutions 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b w:val="0"/>
      <w:color w:val="222233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2026-05-18T22:26:40Z</dcterms:created>
  <dcterms:modified xsi:type="dcterms:W3CDTF">2026-05-18T22:26:40Z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