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0E2841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FFFFFF"/>
                <w:sz w:val="36"/>
              </w:rPr>
              <w:t>Strategic IT Project Solutions</w:t>
            </w:r>
          </w:p>
          <w:p>
            <w:pPr>
              <w:spacing w:before="0" w:after="200"/>
            </w:pPr>
            <w:r>
              <w:rPr>
                <w:rFonts w:ascii="Calibri" w:hAnsi="Calibri"/>
                <w:b w:val="0"/>
                <w:color w:val="E97132"/>
                <w:sz w:val="22"/>
              </w:rPr>
              <w:t>Agile &amp; Project Management Advisory</w:t>
            </w:r>
          </w:p>
        </w:tc>
      </w:tr>
    </w:tbl>
    <w:p>
      <w:pPr>
        <w:spacing w:before="280" w:after="160"/>
        <w:jc w:val="center"/>
      </w:pPr>
      <w:r>
        <w:rPr>
          <w:rFonts w:ascii="Calibri" w:hAnsi="Calibri"/>
          <w:b/>
          <w:color w:val="AAAAAA"/>
          <w:sz w:val="18"/>
        </w:rPr>
        <w:t>SITPS-KAN-2026-05</w:t>
      </w:r>
    </w:p>
    <w:p>
      <w:pPr>
        <w:spacing w:before="0" w:after="240"/>
        <w:pBdr>
          <w:bottom w:val="single" w:sz="16" w:space="1" w:color="E97132"/>
        </w:pBdr>
      </w:pPr>
    </w:p>
    <w:p>
      <w:pPr>
        <w:spacing w:before="0" w:after="200"/>
        <w:jc w:val="center"/>
      </w:pPr>
      <w:r>
        <w:rPr>
          <w:rFonts w:ascii="Calibri" w:hAnsi="Calibri"/>
          <w:b/>
          <w:color w:val="0E2841"/>
          <w:sz w:val="44"/>
        </w:rPr>
        <w:t>Acuerdo de Nivel de Servicio (SLA) Kanban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E6251"/>
          <w:sz w:val="24"/>
        </w:rPr>
        <w:t>Sistema de Recomendación de Carrera Universitaria</w:t>
      </w:r>
    </w:p>
    <w:p>
      <w:pPr>
        <w:spacing w:before="0" w:after="280"/>
        <w:jc w:val="center"/>
      </w:pPr>
      <w:r>
        <w:rPr>
          <w:rFonts w:ascii="Calibri" w:hAnsi="Calibri"/>
          <w:b w:val="0"/>
          <w:color w:val="AAAAAA"/>
          <w:sz w:val="20"/>
        </w:rPr>
        <w:t>UVG Campus Central — 2026</w:t>
      </w:r>
    </w:p>
    <w:p>
      <w:pPr>
        <w:spacing w:before="0" w:after="240"/>
        <w:pBdr>
          <w:bottom w:val="single" w:sz="8" w:space="1" w:color="E8E8E8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814"/>
        <w:gridCol w:w="7258"/>
      </w:tblGrid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Proyecto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Sistema de Recomendación Vocacional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Cliente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UVG Campus Central — Admisiones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Product Owner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Josué Say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Sponsor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Erick Oswaldo Marroquín Zamora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Fecha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Mayo 2026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Versión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1.0</w:t>
            </w:r>
          </w:p>
        </w:tc>
      </w:tr>
    </w:tbl>
    <w:p>
      <w:pPr>
        <w:spacing w:before="280" w:after="200"/>
        <w:pBdr>
          <w:bottom w:val="single" w:sz="16" w:space="1" w:color="E97132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E8E8E8"/>
            <w:tcBorders>
              <w:top w:val="none"/>
              <w:bottom w:val="none"/>
              <w:right w:val="none"/>
              <w:left w:val="single" w:sz="18" w:space="0" w:color="0E6251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0E2841"/>
                <w:sz w:val="20"/>
              </w:rPr>
              <w:t xml:space="preserve">Área PMI: </w:t>
            </w:r>
            <w:r>
              <w:rPr>
                <w:rFonts w:ascii="Calibri" w:hAnsi="Calibri"/>
                <w:b w:val="0"/>
                <w:color w:val="0E2841"/>
                <w:sz w:val="20"/>
              </w:rPr>
              <w:t>Marco de Proceso — Kanban</w:t>
            </w:r>
          </w:p>
        </w:tc>
      </w:tr>
    </w:tbl>
    <w:p>
      <w:pPr>
        <w:spacing w:before="400" w:after="0"/>
      </w:pPr>
    </w:p>
    <w:p>
      <w:pPr>
        <w:spacing w:before="0" w:after="80"/>
        <w:pBdr>
          <w:bottom w:val="single" w:sz="6" w:space="1" w:color="E8E8E8"/>
        </w:pBdr>
      </w:pPr>
    </w:p>
    <w:p>
      <w:pPr>
        <w:spacing w:before="80" w:after="0"/>
        <w:tabs>
          <w:tab w:val="right" w:pos="9360"/>
        </w:tabs>
      </w:pPr>
      <w:r>
        <w:rPr>
          <w:rFonts w:ascii="Calibri" w:hAnsi="Calibri"/>
          <w:b w:val="0"/>
          <w:color w:val="AAAAAA"/>
          <w:sz w:val="16"/>
        </w:rPr>
        <w:t>Documento de uso interno — Strategic IT Project Solutions</w:t>
      </w:r>
      <w:r>
        <w:rPr>
          <w:rFonts w:ascii="Calibri" w:hAnsi="Calibri"/>
          <w:b w:val="0"/>
          <w:color w:val="AAAAAA"/>
          <w:sz w:val="16"/>
        </w:rPr>
        <w:tab/>
        <w:t>SITPS-KAN-2026-05 — v1.0</w:t>
      </w:r>
    </w:p>
    <w:p>
      <w:r>
        <w:br w:type="page"/>
      </w:r>
    </w:p>
    <w:p>
      <w:pPr>
        <w:pStyle w:val="Heading1"/>
      </w:pPr>
      <w:bookmarkStart w:id="20" w:name="acuerdo-de-nivel-de-servicio-sla-kanban"/>
      <w:r>
        <w:t xml:space="preserve">Acuerdo de Nivel de Servicio (SLA) Kanban</w:t>
      </w:r>
      <w:bookmarkEnd w:id="20"/>
    </w:p>
    <w:p>
      <w:pPr>
        <w:pStyle w:val="FirstParagraph"/>
      </w:pPr>
      <w:r>
        <w:t xml:space="preserve">Proyecto: Sistema de Recomendación de Carrera Universitaria — UVG Campus Central 2026</w:t>
      </w:r>
    </w:p>
    <w:p>
      <w:pPr>
        <w:pStyle w:val="Heading2"/>
      </w:pPr>
      <w:bookmarkStart w:id="21" w:name="por-qué-el-sla-aplica-en-kanban"/>
      <w:r>
        <w:t xml:space="preserve">Por qué el SLA aplica en Kanban</w:t>
      </w:r>
      <w:bookmarkEnd w:id="21"/>
    </w:p>
    <w:p>
      <w:pPr>
        <w:pStyle w:val="FirstParagraph"/>
      </w:pPr>
      <w:r>
        <w:t xml:space="preserve">Kanban opera como un modelo de servicio continuo: el equipo no entrega al final de un sprint ni acumula valor hasta una fecha de release programada. Entrega de forma constante, tarea a tarea, a lo largo del tiempo. Este modelo de flujo continuo es compatible con un SLA porque el SLA establece compromisos sobre la velocidad y la calidad del servicio, no sobre el contenido de una iteración específica.</w:t>
      </w:r>
    </w:p>
    <w:p>
      <w:pPr>
        <w:pStyle w:val="BodyText"/>
      </w:pPr>
      <w:r>
        <w:t xml:space="preserve">En Scrum, la unidad de compromiso es el sprint: el equipo se compromete a completar ciertos ítems en un período de dos semanas. En Kanban, la unidad de compromiso es el flujo: el equipo se compromete a mantener métricas de entrega dentro de rangos acordados (Lead Time, Cycle Time, Throughput) durante toda la vigencia del contrato.</w:t>
      </w:r>
    </w:p>
    <w:p>
      <w:pPr>
        <w:pStyle w:val="BodyText"/>
      </w:pPr>
      <w:r>
        <w:t xml:space="preserve">El SLA documenta esos rangos y establece las consecuencias cuando no se cumplen. La facturación también es mensual, independiente del número de tareas completadas en cada mes, lo que refuerza el modelo de servicio continuo.</w:t>
      </w:r>
    </w:p>
    <w:p>
      <w:pPr>
        <w:pStyle w:val="Heading2"/>
      </w:pPr>
      <w:bookmarkStart w:id="22" w:name="partes-del-sla"/>
      <w:r>
        <w:t xml:space="preserve">Partes del SLA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Proveedor</w:t>
      </w:r>
      <w:r>
        <w:t xml:space="preserve">: Strategic IT Project Solutions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Cliente</w:t>
      </w:r>
      <w:r>
        <w:t xml:space="preserve">: Universidad del Valle de Guatemala — Campus Central</w:t>
      </w:r>
    </w:p>
    <w:p>
      <w:pPr>
        <w:pStyle w:val="Heading2"/>
      </w:pPr>
      <w:bookmarkStart w:id="23" w:name="vigencia"/>
      <w:r>
        <w:t xml:space="preserve">Vigencia</w:t>
      </w:r>
      <w:bookmarkEnd w:id="23"/>
    </w:p>
    <w:p>
      <w:pPr>
        <w:pStyle w:val="FirstParagraph"/>
      </w:pPr>
      <w:r>
        <w:t xml:space="preserve">El SLA tiene una duración de 11 meses, con inicio el 1 de enero de 2027 y cierre el 6 de diciembre de 2027. Esta duración corresponde a la estimación del proyecto con buffer del 25% aplicado sobre los 133 ítems del Backlog técnico a un Throughput de 0.78 tareas por día.</w:t>
      </w:r>
    </w:p>
    <w:p>
      <w:pPr>
        <w:pStyle w:val="Heading2"/>
      </w:pPr>
      <w:bookmarkStart w:id="24" w:name="componentes-del-sla"/>
      <w:r>
        <w:t xml:space="preserve">Componentes del SLA</w:t>
      </w:r>
      <w:bookmarkEnd w:id="24"/>
    </w:p>
    <w:p>
      <w:pPr>
        <w:pStyle w:val="Heading3"/>
      </w:pPr>
      <w:bookmarkStart w:id="25" w:name="lead-time"/>
      <w:r>
        <w:t xml:space="preserve">1. Lead Time</w:t>
      </w:r>
      <w:bookmarkEnd w:id="25"/>
    </w:p>
    <w:p>
      <w:pPr>
        <w:pStyle w:val="FirstParagraph"/>
      </w:pPr>
      <w:r>
        <w:t xml:space="preserve">Tiempo total desde que el cliente presenta una solicitud hasta que la tarea se entrega como completada. Incluye el tiempo de espera en el Backlog y en To Do, así como el tiempo activo de ejecución.</w:t>
      </w:r>
    </w:p>
    <w:p>
      <w:pPr>
        <w:numPr>
          <w:ilvl w:val="0"/>
          <w:numId w:val="1002"/>
        </w:numPr>
        <w:pStyle w:val="Compact"/>
      </w:pPr>
      <w:r>
        <w:t xml:space="preserve">Rango comprometido: 6 a 12 días hábiles.</w:t>
      </w:r>
    </w:p>
    <w:p>
      <w:pPr>
        <w:numPr>
          <w:ilvl w:val="0"/>
          <w:numId w:val="1002"/>
        </w:numPr>
        <w:pStyle w:val="Compact"/>
      </w:pPr>
      <w:r>
        <w:t xml:space="preserve">El extremo inferior (6 días) aplica a tareas con criterios de aceptación claros, sin dependencias externas y de complejidad estándar.</w:t>
      </w:r>
    </w:p>
    <w:p>
      <w:pPr>
        <w:numPr>
          <w:ilvl w:val="0"/>
          <w:numId w:val="1002"/>
        </w:numPr>
        <w:pStyle w:val="Compact"/>
      </w:pPr>
      <w:r>
        <w:t xml:space="preserve">El extremo superior (12 días) aplica a tareas que requieren validación con el cliente, que dependen de insumos externos, o cuyo Cycle Time activo se extiende hacia el máximo permitido.</w:t>
      </w:r>
    </w:p>
    <w:p>
      <w:pPr>
        <w:pStyle w:val="Heading3"/>
      </w:pPr>
      <w:bookmarkStart w:id="26" w:name="cycle-time"/>
      <w:r>
        <w:t xml:space="preserve">2. Cycle Time</w:t>
      </w:r>
      <w:bookmarkEnd w:id="26"/>
    </w:p>
    <w:p>
      <w:pPr>
        <w:pStyle w:val="FirstParagraph"/>
      </w:pPr>
      <w:r>
        <w:t xml:space="preserve">Tiempo activo desde que un ejecutor comienza a trabajar una tarea hasta que se completa.</w:t>
      </w:r>
    </w:p>
    <w:p>
      <w:pPr>
        <w:numPr>
          <w:ilvl w:val="0"/>
          <w:numId w:val="1003"/>
        </w:numPr>
        <w:pStyle w:val="Compact"/>
      </w:pPr>
      <w:r>
        <w:t xml:space="preserve">Límite máximo comprometido: 10 días hábiles.</w:t>
      </w:r>
    </w:p>
    <w:p>
      <w:pPr>
        <w:numPr>
          <w:ilvl w:val="0"/>
          <w:numId w:val="1003"/>
        </w:numPr>
        <w:pStyle w:val="Compact"/>
      </w:pPr>
      <w:r>
        <w:t xml:space="preserve">El Cycle Time promedio esperado es de 5.13 días hábiles. El límite de 10 días es el techo absoluto; superarlo constituye incumplimiento de este componente del SLA.</w:t>
      </w:r>
    </w:p>
    <w:p>
      <w:pPr>
        <w:numPr>
          <w:ilvl w:val="0"/>
          <w:numId w:val="1003"/>
        </w:numPr>
        <w:pStyle w:val="Compact"/>
      </w:pPr>
      <w:r>
        <w:t xml:space="preserve">Si una tarea supera los 10 días hábiles de Cycle Time, el PM registra la causa y la reporta en el informe mensual al cliente.</w:t>
      </w:r>
    </w:p>
    <w:p>
      <w:pPr>
        <w:pStyle w:val="Heading3"/>
      </w:pPr>
      <w:bookmarkStart w:id="27" w:name="wip-máximo-en-in-progress"/>
      <w:r>
        <w:t xml:space="preserve">3. WIP máximo en In Progress</w:t>
      </w:r>
      <w:bookmarkEnd w:id="27"/>
    </w:p>
    <w:p>
      <w:pPr>
        <w:pStyle w:val="FirstParagraph"/>
      </w:pPr>
      <w:r>
        <w:t xml:space="preserve">Número máximo de tareas que el equipo puede tener en ejecución activa simultáneamente.</w:t>
      </w:r>
    </w:p>
    <w:p>
      <w:pPr>
        <w:numPr>
          <w:ilvl w:val="0"/>
          <w:numId w:val="1004"/>
        </w:numPr>
        <w:pStyle w:val="Compact"/>
      </w:pPr>
      <w:r>
        <w:t xml:space="preserve">Límite comprometido: 4 tareas simultáneas en In Progress.</w:t>
      </w:r>
    </w:p>
    <w:p>
      <w:pPr>
        <w:numPr>
          <w:ilvl w:val="0"/>
          <w:numId w:val="1004"/>
        </w:numPr>
        <w:pStyle w:val="Compact"/>
      </w:pPr>
      <w:r>
        <w:t xml:space="preserve">Este límite protege al cliente de que el equipo se distribuya en demasiadas tareas en paralelo, lo que elevaría el Cycle Time y degradaría la calidad de las entregas.</w:t>
      </w:r>
    </w:p>
    <w:p>
      <w:pPr>
        <w:numPr>
          <w:ilvl w:val="0"/>
          <w:numId w:val="1004"/>
        </w:numPr>
        <w:pStyle w:val="Compact"/>
      </w:pPr>
      <w:r>
        <w:t xml:space="preserve">El límite es consistente con el tamaño del equipo: un ejecutor activo por tarea (Líder Técnico + 3 Developers).</w:t>
      </w:r>
    </w:p>
    <w:p>
      <w:pPr>
        <w:pStyle w:val="Heading3"/>
      </w:pPr>
      <w:bookmarkStart w:id="28" w:name="throughput"/>
      <w:r>
        <w:t xml:space="preserve">4. Throughput</w:t>
      </w:r>
      <w:bookmarkEnd w:id="28"/>
    </w:p>
    <w:p>
      <w:pPr>
        <w:pStyle w:val="FirstParagraph"/>
      </w:pPr>
      <w:r>
        <w:t xml:space="preserve">Número de tareas completadas por período de tiempo.</w:t>
      </w:r>
    </w:p>
    <w:p>
      <w:pPr>
        <w:numPr>
          <w:ilvl w:val="0"/>
          <w:numId w:val="1005"/>
        </w:numPr>
        <w:pStyle w:val="Compact"/>
      </w:pPr>
      <w:r>
        <w:t xml:space="preserve">Rango comprometido: 3 a 4 tareas por semana.</w:t>
      </w:r>
    </w:p>
    <w:p>
      <w:pPr>
        <w:numPr>
          <w:ilvl w:val="0"/>
          <w:numId w:val="1005"/>
        </w:numPr>
        <w:pStyle w:val="Compact"/>
      </w:pPr>
      <w:r>
        <w:t xml:space="preserve">Equivale a un Throughput mensual de 15 a 16 tareas por mes (sobre 20 días hábiles).</w:t>
      </w:r>
    </w:p>
    <w:p>
      <w:pPr>
        <w:numPr>
          <w:ilvl w:val="0"/>
          <w:numId w:val="1005"/>
        </w:numPr>
        <w:pStyle w:val="Compact"/>
      </w:pPr>
      <w:r>
        <w:t xml:space="preserve">El Throughput calculado del equipo es de 3.90 tareas por semana; el rango del SLA refleja la variabilidad natural del flujo.</w:t>
      </w:r>
    </w:p>
    <w:p>
      <w:pPr>
        <w:numPr>
          <w:ilvl w:val="0"/>
          <w:numId w:val="1005"/>
        </w:numPr>
        <w:pStyle w:val="Compact"/>
      </w:pPr>
      <w:r>
        <w:t xml:space="preserve">Si el Throughput real cae por debajo de 3 tareas por semana de forma sostenida durante más de dos semanas consecutivas, el PM notifica al cliente y activa una revisión del flujo.</w:t>
      </w:r>
    </w:p>
    <w:p>
      <w:pPr>
        <w:pStyle w:val="Heading3"/>
      </w:pPr>
      <w:bookmarkStart w:id="29" w:name="disponibilidad-del-entorno-de-pruebas"/>
      <w:r>
        <w:t xml:space="preserve">5. Disponibilidad del entorno de pruebas</w:t>
      </w:r>
      <w:bookmarkEnd w:id="29"/>
    </w:p>
    <w:p>
      <w:pPr>
        <w:pStyle w:val="FirstParagraph"/>
      </w:pPr>
      <w:r>
        <w:t xml:space="preserve">Porcentaje de tiempo mensual en que el entorno de pruebas (staging) del sistema de recomendación está operativo y accesible para validación por parte del cliente.</w:t>
      </w:r>
    </w:p>
    <w:p>
      <w:pPr>
        <w:numPr>
          <w:ilvl w:val="0"/>
          <w:numId w:val="1006"/>
        </w:numPr>
        <w:pStyle w:val="Compact"/>
      </w:pPr>
      <w:r>
        <w:t xml:space="preserve">Mínimo comprometido: 80% de uptime mensual.</w:t>
      </w:r>
    </w:p>
    <w:p>
      <w:pPr>
        <w:numPr>
          <w:ilvl w:val="0"/>
          <w:numId w:val="1006"/>
        </w:numPr>
        <w:pStyle w:val="Compact"/>
      </w:pPr>
      <w:r>
        <w:t xml:space="preserve">Los mantenimientos programados notificados con al menos 48 horas de anticipación no cuentan como tiempo no disponible.</w:t>
      </w:r>
    </w:p>
    <w:p>
      <w:pPr>
        <w:numPr>
          <w:ilvl w:val="0"/>
          <w:numId w:val="1006"/>
        </w:numPr>
        <w:pStyle w:val="Compact"/>
      </w:pPr>
      <w:r>
        <w:t xml:space="preserve">El Líder Técnico (Mathew Cordero) es el responsable del monitoreo y el reporte de disponibilidad.</w:t>
      </w:r>
    </w:p>
    <w:p>
      <w:pPr>
        <w:pStyle w:val="Heading2"/>
      </w:pPr>
      <w:bookmarkStart w:id="30" w:name="X0dfa357ab8cd16cf8caf9102ac1eeb18a6b3927"/>
      <w:r>
        <w:t xml:space="preserve">Tiempo de respuesta ante solicitudes e incidencias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El equipo tiene un plazo máximo de 24 horas hábiles para responder ante cualquier solicitud de información o incidencia reportada por el cliente.</w:t>
      </w:r>
    </w:p>
    <w:p>
      <w:pPr>
        <w:numPr>
          <w:ilvl w:val="0"/>
          <w:numId w:val="1007"/>
        </w:numPr>
        <w:pStyle w:val="Compact"/>
      </w:pPr>
      <w:r>
        <w:t xml:space="preserve">Responder no significa resolver; significa acusar recibo, evaluar el impacto y comunicar el plan de acción.</w:t>
      </w:r>
    </w:p>
    <w:p>
      <w:pPr>
        <w:pStyle w:val="Heading2"/>
      </w:pPr>
      <w:bookmarkStart w:id="31" w:name="interrupciones-del-servicio"/>
      <w:r>
        <w:t xml:space="preserve">Interrupciones del servicio</w:t>
      </w:r>
      <w:bookmarkEnd w:id="31"/>
    </w:p>
    <w:p>
      <w:pPr>
        <w:pStyle w:val="FirstParagraph"/>
      </w:pPr>
      <w:r>
        <w:t xml:space="preserve">El SLA distingue entre interrupciones dentro del rango normal de operación e interrupciones que exceden ese rango:</w:t>
      </w:r>
    </w:p>
    <w:p>
      <w:pPr>
        <w:numPr>
          <w:ilvl w:val="0"/>
          <w:numId w:val="1008"/>
        </w:numPr>
        <w:pStyle w:val="Compact"/>
      </w:pPr>
      <w:r>
        <w:t xml:space="preserve">Hasta 3 interrupciones por mes: se consideran parte de la operación normal del proyecto. No generan cargo adicional ni requieren compensación.</w:t>
      </w:r>
    </w:p>
    <w:p>
      <w:pPr>
        <w:numPr>
          <w:ilvl w:val="0"/>
          <w:numId w:val="1008"/>
        </w:numPr>
        <w:pStyle w:val="Compact"/>
      </w:pPr>
      <w:r>
        <w:t xml:space="preserve">A partir de la cuarta interrupción en el mismo mes: cada interrupción adicional genera un cargo adicional establecido en el contrato.</w:t>
      </w:r>
    </w:p>
    <w:p>
      <w:pPr>
        <w:pStyle w:val="FirstParagraph"/>
      </w:pPr>
      <w:r>
        <w:t xml:space="preserve">Una</w:t>
      </w:r>
      <w:r>
        <w:t xml:space="preserve"> </w:t>
      </w:r>
      <w:r>
        <w:t xml:space="preserve">“</w:t>
      </w:r>
      <w:r>
        <w:t xml:space="preserve">interrupción</w:t>
      </w:r>
      <w:r>
        <w:t xml:space="preserve">”</w:t>
      </w:r>
      <w:r>
        <w:t xml:space="preserve"> </w:t>
      </w:r>
      <w:r>
        <w:t xml:space="preserve">se define como cualquier evento que detenga el flujo de trabajo del equipo por causas atribuibles al proveedor: indisponibilidad del entorno, bloqueos técnicos no comunicados, o tareas retenidas en una columna por más de 48 horas sin actualización de estado.</w:t>
      </w:r>
    </w:p>
    <w:p>
      <w:pPr>
        <w:pStyle w:val="Heading2"/>
      </w:pPr>
      <w:bookmarkStart w:id="32" w:name="X6699a4d590e5ebdb9abc289471fd7d32ac27668"/>
      <w:r>
        <w:t xml:space="preserve">Penalización por retraso en la entrega del MVP</w:t>
      </w:r>
      <w:bookmarkEnd w:id="32"/>
    </w:p>
    <w:p>
      <w:pPr>
        <w:pStyle w:val="FirstParagraph"/>
      </w:pPr>
      <w:r>
        <w:t xml:space="preserve">Si el MVP no se entrega en la fecha comprometida y el retraso es atribuible al proveedor, se aplica una penalización proporcional por cada mes de retraso. El porcentaje y la base de cálculo están definidos en el contrato.</w:t>
      </w:r>
    </w:p>
    <w:p>
      <w:pPr>
        <w:pStyle w:val="BodyText"/>
      </w:pPr>
      <w:r>
        <w:t xml:space="preserve">Las causas de retraso atribuibles al cliente (cambios de alcance no documentados, falta de entrega de insumos, cancelación de sesiones de validación) no activan la penalización y se documentan en el registro de incidencias del proyecto.</w:t>
      </w:r>
    </w:p>
    <w:p>
      <w:pPr>
        <w:pStyle w:val="Heading2"/>
      </w:pPr>
      <w:bookmarkStart w:id="33" w:name="términos-de-pago"/>
      <w:r>
        <w:t xml:space="preserve">Términos de pago</w:t>
      </w:r>
      <w:bookmarkEnd w:id="33"/>
    </w:p>
    <w:p>
      <w:pPr>
        <w:numPr>
          <w:ilvl w:val="0"/>
          <w:numId w:val="1009"/>
        </w:numPr>
        <w:pStyle w:val="Compact"/>
      </w:pPr>
      <w:r>
        <w:t xml:space="preserve">Modalidad: pagos mensuales.</w:t>
      </w:r>
    </w:p>
    <w:p>
      <w:pPr>
        <w:numPr>
          <w:ilvl w:val="0"/>
          <w:numId w:val="1009"/>
        </w:numPr>
        <w:pStyle w:val="Compact"/>
      </w:pPr>
      <w:r>
        <w:t xml:space="preserve">Fecha límite de pago: primeros 5 días hábiles de cada mes, por el mes anterior.</w:t>
      </w:r>
    </w:p>
    <w:p>
      <w:pPr>
        <w:numPr>
          <w:ilvl w:val="0"/>
          <w:numId w:val="1009"/>
        </w:numPr>
        <w:pStyle w:val="Compact"/>
      </w:pPr>
      <w:r>
        <w:t xml:space="preserve">El pago es independiente del número exacto de tareas completadas en el mes, siempre que el Throughput real esté dentro del rango comprometido en el SLA.</w:t>
      </w:r>
    </w:p>
    <w:p>
      <w:pPr>
        <w:numPr>
          <w:ilvl w:val="0"/>
          <w:numId w:val="1009"/>
        </w:numPr>
        <w:pStyle w:val="Compact"/>
      </w:pPr>
      <w:r>
        <w:t xml:space="preserve">Si el Throughput del mes cae por debajo del mínimo comprometido por causas atribuibles al proveedor, el cliente puede aplicar la penalización proporcional definida en el contrato antes de efectuar el pago.</w:t>
      </w:r>
    </w:p>
    <w:sectPr>
      <w:headerReference w:type="default" r:id="rId9"/>
      <w:footerReference w:type="default" r:id="rId10"/>
      <w:headerReference w:type="first" r:id="rId11"/>
      <w:footerReference w:type="first" r:id="rId1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pBdr>
        <w:top w:val="single" w:sz="8" w:space="1" w:color="E97132"/>
      </w:pBdr>
      <w:tabs>
        <w:tab w:val="right" w:pos="9360"/>
      </w:tabs>
    </w:pPr>
    <w:r>
      <w:rPr>
        <w:rFonts w:ascii="Calibri" w:hAnsi="Calibri"/>
        <w:b w:val="0"/>
        <w:color w:val="AAAAAA"/>
        <w:sz w:val="16"/>
      </w:rPr>
      <w:t>Acuerdo de Nivel de Servicio (SLA) Kanban</w:t>
    </w:r>
    <w:r>
      <w:rPr>
        <w:rFonts w:ascii="Calibri" w:hAnsi="Calibri"/>
        <w:b w:val="0"/>
        <w:color w:val="AAAAAA"/>
        <w:sz w:val="16"/>
      </w:rPr>
      <w:tab/>
    </w:r>
    <w:r>
      <w:rPr>
        <w:rFonts w:ascii="Calibri" w:hAnsi="Calibri"/>
        <w:color w:val="AAAAAA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b w:val="0"/>
        <w:color w:val="AAAAAA"/>
        <w:sz w:val="16"/>
      </w:rPr>
      <w:t xml:space="preserve"> / </w:t>
    </w:r>
    <w:r>
      <w:rPr>
        <w:rFonts w:ascii="Calibri" w:hAnsi="Calibri"/>
        <w:color w:val="AAAAAA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pBdr>
        <w:top w:val="single" w:sz="8" w:space="1" w:color="E97132"/>
      </w:pBdr>
    </w:pPr>
    <w:r>
      <w:rPr>
        <w:rFonts w:ascii="Calibri" w:hAnsi="Calibri"/>
        <w:b w:val="0"/>
        <w:color w:val="AAAAAA"/>
        <w:sz w:val="16"/>
      </w:rPr>
      <w:t>Acuerdo de Nivel de Servicio (SLA) Kanban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shd w:val="clear" w:color="auto" w:fill="0E2841"/>
      <w:tabs>
        <w:tab w:val="right" w:pos="9360"/>
      </w:tabs>
    </w:pPr>
    <w:r>
      <w:rPr>
        <w:rFonts w:ascii="Calibri" w:hAnsi="Calibri"/>
        <w:b/>
        <w:color w:val="FFFFFF"/>
        <w:sz w:val="16"/>
      </w:rPr>
      <w:t xml:space="preserve">  SITPS-KAN-2026-05</w:t>
    </w:r>
    <w:r>
      <w:rPr>
        <w:rFonts w:ascii="Calibri" w:hAnsi="Calibri"/>
        <w:b w:val="0"/>
        <w:color w:val="FFFFFF"/>
        <w:sz w:val="16"/>
      </w:rPr>
      <w:tab/>
      <w:t xml:space="preserve">Strategic IT Project Solutions 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b w:val="0"/>
      <w:color w:val="222233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2026-05-18T22:26:40Z</dcterms:created>
  <dcterms:modified xsi:type="dcterms:W3CDTF">2026-05-18T22:26:40Z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