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Look w:firstColumn="1" w:firstRow="1" w:lastColumn="0" w:lastRow="0" w:noHBand="0" w:noVBand="1" w:val="04A0"/>
        <w:tblBorders>
          <w:top w:val="none"/>
          <w:left w:val="none"/>
          <w:bottom w:val="none"/>
          <w:right w:val="none"/>
          <w:insideH w:val="none"/>
          <w:insideV w:val="none"/>
        </w:tblBorders>
        <w:tblW w:w="5000" w:type="pct"/>
      </w:tblPr>
      <w:tblGrid>
        <w:gridCol w:w="9360"/>
      </w:tblGrid>
      <w:tr>
        <w:tc>
          <w:tcPr>
            <w:tcW w:type="dxa" w:w="9360"/>
            <w:shd w:val="clear" w:color="auto" w:fill="0E2841"/>
            <w:tcMar>
              <w:top w:w="180" w:type="dxa"/>
              <w:left w:w="180" w:type="dxa"/>
              <w:bottom w:w="180" w:type="dxa"/>
              <w:right w:w="180" w:type="dxa"/>
            </w:tcMar>
          </w:tcPr>
          <w:p>
            <w:pPr>
              <w:spacing w:before="200" w:after="80"/>
            </w:pPr>
            <w:r>
              <w:rPr>
                <w:rFonts w:ascii="Calibri" w:hAnsi="Calibri"/>
                <w:b/>
                <w:color w:val="FFFFFF"/>
                <w:sz w:val="36"/>
              </w:rPr>
              <w:t>Strategic IT Project Solutions</w:t>
            </w:r>
          </w:p>
          <w:p>
            <w:pPr>
              <w:spacing w:before="0" w:after="200"/>
            </w:pPr>
            <w:r>
              <w:rPr>
                <w:rFonts w:ascii="Calibri" w:hAnsi="Calibri"/>
                <w:b w:val="0"/>
                <w:color w:val="E97132"/>
                <w:sz w:val="22"/>
              </w:rPr>
              <w:t>Agile &amp; Project Management Advisory</w:t>
            </w:r>
          </w:p>
        </w:tc>
      </w:tr>
    </w:tbl>
    <w:p>
      <w:pPr>
        <w:spacing w:before="280" w:after="160"/>
        <w:jc w:val="center"/>
      </w:pPr>
      <w:r>
        <w:rPr>
          <w:rFonts w:ascii="Calibri" w:hAnsi="Calibri"/>
          <w:b/>
          <w:color w:val="AAAAAA"/>
          <w:sz w:val="18"/>
        </w:rPr>
        <w:t>SITPS-PMI-2026-03</w:t>
      </w:r>
    </w:p>
    <w:p>
      <w:pPr>
        <w:spacing w:before="0" w:after="240"/>
        <w:pBdr>
          <w:bottom w:val="single" w:sz="16" w:space="1" w:color="E97132"/>
        </w:pBdr>
      </w:pPr>
    </w:p>
    <w:p>
      <w:pPr>
        <w:spacing w:before="0" w:after="200"/>
        <w:jc w:val="center"/>
      </w:pPr>
      <w:r>
        <w:rPr>
          <w:rFonts w:ascii="Calibri" w:hAnsi="Calibri"/>
          <w:b/>
          <w:color w:val="0E2841"/>
          <w:sz w:val="44"/>
        </w:rPr>
        <w:t>Área 3 PMI: Gestión del Cronograma</w:t>
      </w:r>
    </w:p>
    <w:p>
      <w:pPr>
        <w:spacing w:before="0" w:after="80"/>
        <w:jc w:val="center"/>
      </w:pPr>
      <w:r>
        <w:rPr>
          <w:rFonts w:ascii="Calibri" w:hAnsi="Calibri"/>
          <w:b w:val="0"/>
          <w:color w:val="0E6251"/>
          <w:sz w:val="24"/>
        </w:rPr>
        <w:t>Sistema de Recomendación de Carrera Universitaria</w:t>
      </w:r>
    </w:p>
    <w:p>
      <w:pPr>
        <w:spacing w:before="0" w:after="280"/>
        <w:jc w:val="center"/>
      </w:pPr>
      <w:r>
        <w:rPr>
          <w:rFonts w:ascii="Calibri" w:hAnsi="Calibri"/>
          <w:b w:val="0"/>
          <w:color w:val="AAAAAA"/>
          <w:sz w:val="20"/>
        </w:rPr>
        <w:t>UVG Campus Central — 2026</w:t>
      </w:r>
    </w:p>
    <w:p>
      <w:pPr>
        <w:spacing w:before="0" w:after="240"/>
        <w:pBdr>
          <w:bottom w:val="single" w:sz="8" w:space="1" w:color="E8E8E8"/>
        </w:pBdr>
      </w:pPr>
    </w:p>
    <w:tbl>
      <w:tblPr>
        <w:tblLook w:firstColumn="1" w:firstRow="1" w:lastColumn="0" w:lastRow="0" w:noHBand="0" w:noVBand="1" w:val="04A0"/>
        <w:tblBorders>
          <w:top w:val="none"/>
          <w:left w:val="none"/>
          <w:bottom w:val="none"/>
          <w:right w:val="none"/>
          <w:insideH w:val="none"/>
          <w:insideV w:val="none"/>
        </w:tblBorders>
        <w:tblW w:w="5000" w:type="pct"/>
      </w:tblPr>
      <w:tblGrid>
        <w:gridCol w:w="1814"/>
        <w:gridCol w:w="7258"/>
      </w:tblGrid>
      <w:tr>
        <w:tc>
          <w:tcPr>
            <w:tcW w:w="1814" w:type="dxa"/>
          </w:tcPr>
          <w:p>
            <w:pPr>
              <w:spacing w:before="60" w:after="60"/>
            </w:pPr>
            <w:r>
              <w:rPr>
                <w:rFonts w:ascii="Calibri" w:hAnsi="Calibri"/>
                <w:b/>
                <w:color w:val="AAAAAA"/>
                <w:sz w:val="20"/>
              </w:rPr>
              <w:t>Proyecto</w:t>
            </w:r>
          </w:p>
        </w:tc>
        <w:tc>
          <w:tcPr>
            <w:tcW w:w="7258" w:type="dxa"/>
          </w:tcPr>
          <w:p>
            <w:pPr>
              <w:spacing w:before="60" w:after="60"/>
            </w:pPr>
            <w:r>
              <w:rPr>
                <w:rFonts w:ascii="Calibri" w:hAnsi="Calibri"/>
                <w:b w:val="0"/>
                <w:color w:val="0E2841"/>
                <w:sz w:val="20"/>
              </w:rPr>
              <w:t>Sistema de Recomendación Vocacional</w:t>
            </w:r>
          </w:p>
        </w:tc>
      </w:tr>
      <w:tr>
        <w:tc>
          <w:tcPr>
            <w:tcW w:w="1814" w:type="dxa"/>
          </w:tcPr>
          <w:p>
            <w:pPr>
              <w:spacing w:before="60" w:after="60"/>
            </w:pPr>
            <w:r>
              <w:rPr>
                <w:rFonts w:ascii="Calibri" w:hAnsi="Calibri"/>
                <w:b/>
                <w:color w:val="AAAAAA"/>
                <w:sz w:val="20"/>
              </w:rPr>
              <w:t>Cliente</w:t>
            </w:r>
          </w:p>
        </w:tc>
        <w:tc>
          <w:tcPr>
            <w:tcW w:w="7258" w:type="dxa"/>
          </w:tcPr>
          <w:p>
            <w:pPr>
              <w:spacing w:before="60" w:after="60"/>
            </w:pPr>
            <w:r>
              <w:rPr>
                <w:rFonts w:ascii="Calibri" w:hAnsi="Calibri"/>
                <w:b w:val="0"/>
                <w:color w:val="0E2841"/>
                <w:sz w:val="20"/>
              </w:rPr>
              <w:t>UVG Campus Central — Admisiones</w:t>
            </w:r>
          </w:p>
        </w:tc>
      </w:tr>
      <w:tr>
        <w:tc>
          <w:tcPr>
            <w:tcW w:w="1814" w:type="dxa"/>
          </w:tcPr>
          <w:p>
            <w:pPr>
              <w:spacing w:before="60" w:after="60"/>
            </w:pPr>
            <w:r>
              <w:rPr>
                <w:rFonts w:ascii="Calibri" w:hAnsi="Calibri"/>
                <w:b/>
                <w:color w:val="AAAAAA"/>
                <w:sz w:val="20"/>
              </w:rPr>
              <w:t>Product Owner</w:t>
            </w:r>
          </w:p>
        </w:tc>
        <w:tc>
          <w:tcPr>
            <w:tcW w:w="7258" w:type="dxa"/>
          </w:tcPr>
          <w:p>
            <w:pPr>
              <w:spacing w:before="60" w:after="60"/>
            </w:pPr>
            <w:r>
              <w:rPr>
                <w:rFonts w:ascii="Calibri" w:hAnsi="Calibri"/>
                <w:b w:val="0"/>
                <w:color w:val="0E2841"/>
                <w:sz w:val="20"/>
              </w:rPr>
              <w:t>Josué Say</w:t>
            </w:r>
          </w:p>
        </w:tc>
      </w:tr>
      <w:tr>
        <w:tc>
          <w:tcPr>
            <w:tcW w:w="1814" w:type="dxa"/>
          </w:tcPr>
          <w:p>
            <w:pPr>
              <w:spacing w:before="60" w:after="60"/>
            </w:pPr>
            <w:r>
              <w:rPr>
                <w:rFonts w:ascii="Calibri" w:hAnsi="Calibri"/>
                <w:b/>
                <w:color w:val="AAAAAA"/>
                <w:sz w:val="20"/>
              </w:rPr>
              <w:t>Sponsor</w:t>
            </w:r>
          </w:p>
        </w:tc>
        <w:tc>
          <w:tcPr>
            <w:tcW w:w="7258" w:type="dxa"/>
          </w:tcPr>
          <w:p>
            <w:pPr>
              <w:spacing w:before="60" w:after="60"/>
            </w:pPr>
            <w:r>
              <w:rPr>
                <w:rFonts w:ascii="Calibri" w:hAnsi="Calibri"/>
                <w:b w:val="0"/>
                <w:color w:val="0E2841"/>
                <w:sz w:val="20"/>
              </w:rPr>
              <w:t>Erick Oswaldo Marroquín Zamora</w:t>
            </w:r>
          </w:p>
        </w:tc>
      </w:tr>
      <w:tr>
        <w:tc>
          <w:tcPr>
            <w:tcW w:w="1814" w:type="dxa"/>
          </w:tcPr>
          <w:p>
            <w:pPr>
              <w:spacing w:before="60" w:after="60"/>
            </w:pPr>
            <w:r>
              <w:rPr>
                <w:rFonts w:ascii="Calibri" w:hAnsi="Calibri"/>
                <w:b/>
                <w:color w:val="AAAAAA"/>
                <w:sz w:val="20"/>
              </w:rPr>
              <w:t>Fecha</w:t>
            </w:r>
          </w:p>
        </w:tc>
        <w:tc>
          <w:tcPr>
            <w:tcW w:w="7258" w:type="dxa"/>
          </w:tcPr>
          <w:p>
            <w:pPr>
              <w:spacing w:before="60" w:after="60"/>
            </w:pPr>
            <w:r>
              <w:rPr>
                <w:rFonts w:ascii="Calibri" w:hAnsi="Calibri"/>
                <w:b w:val="0"/>
                <w:color w:val="0E2841"/>
                <w:sz w:val="20"/>
              </w:rPr>
              <w:t>Mayo 2026</w:t>
            </w:r>
          </w:p>
        </w:tc>
      </w:tr>
      <w:tr>
        <w:tc>
          <w:tcPr>
            <w:tcW w:w="1814" w:type="dxa"/>
          </w:tcPr>
          <w:p>
            <w:pPr>
              <w:spacing w:before="60" w:after="60"/>
            </w:pPr>
            <w:r>
              <w:rPr>
                <w:rFonts w:ascii="Calibri" w:hAnsi="Calibri"/>
                <w:b/>
                <w:color w:val="AAAAAA"/>
                <w:sz w:val="20"/>
              </w:rPr>
              <w:t>Versión</w:t>
            </w:r>
          </w:p>
        </w:tc>
        <w:tc>
          <w:tcPr>
            <w:tcW w:w="7258" w:type="dxa"/>
          </w:tcPr>
          <w:p>
            <w:pPr>
              <w:spacing w:before="60" w:after="60"/>
            </w:pPr>
            <w:r>
              <w:rPr>
                <w:rFonts w:ascii="Calibri" w:hAnsi="Calibri"/>
                <w:b w:val="0"/>
                <w:color w:val="0E2841"/>
                <w:sz w:val="20"/>
              </w:rPr>
              <w:t>1.0</w:t>
            </w:r>
          </w:p>
        </w:tc>
      </w:tr>
    </w:tbl>
    <w:p>
      <w:pPr>
        <w:spacing w:before="280" w:after="200"/>
        <w:pBdr>
          <w:bottom w:val="single" w:sz="16" w:space="1" w:color="E97132"/>
        </w:pBdr>
      </w:pPr>
    </w:p>
    <w:tbl>
      <w:tblPr>
        <w:tblLook w:firstColumn="1" w:firstRow="1" w:lastColumn="0" w:lastRow="0" w:noHBand="0" w:noVBand="1" w:val="04A0"/>
        <w:tblBorders>
          <w:top w:val="none"/>
          <w:left w:val="none"/>
          <w:bottom w:val="none"/>
          <w:right w:val="none"/>
          <w:insideH w:val="none"/>
          <w:insideV w:val="none"/>
        </w:tblBorders>
        <w:tblW w:w="5000" w:type="pct"/>
      </w:tblPr>
      <w:tblGrid>
        <w:gridCol w:w="9360"/>
      </w:tblGrid>
      <w:tr>
        <w:tc>
          <w:tcPr>
            <w:tcW w:type="dxa" w:w="9360"/>
            <w:shd w:val="clear" w:color="auto" w:fill="E8E8E8"/>
            <w:tcBorders>
              <w:top w:val="none"/>
              <w:bottom w:val="none"/>
              <w:right w:val="none"/>
              <w:left w:val="single" w:sz="18" w:space="0" w:color="0E6251"/>
            </w:tcBorders>
            <w:tcMar>
              <w:top w:w="160" w:type="dxa"/>
              <w:left w:w="160" w:type="dxa"/>
              <w:bottom w:w="160" w:type="dxa"/>
              <w:right w:w="160" w:type="dxa"/>
            </w:tcMar>
          </w:tcPr>
          <w:p>
            <w:pPr>
              <w:spacing w:before="120" w:after="120"/>
            </w:pPr>
            <w:r>
              <w:rPr>
                <w:rFonts w:ascii="Calibri" w:hAnsi="Calibri"/>
                <w:b/>
                <w:color w:val="0E2841"/>
                <w:sz w:val="20"/>
              </w:rPr>
              <w:t xml:space="preserve">Área PMI: </w:t>
            </w:r>
            <w:r>
              <w:rPr>
                <w:rFonts w:ascii="Calibri" w:hAnsi="Calibri"/>
                <w:b w:val="0"/>
                <w:color w:val="0E2841"/>
                <w:sz w:val="20"/>
              </w:rPr>
              <w:t>Área 3 — Gestión del Cronograma</w:t>
            </w:r>
          </w:p>
        </w:tc>
      </w:tr>
    </w:tbl>
    <w:p>
      <w:pPr>
        <w:spacing w:before="400" w:after="0"/>
      </w:pPr>
    </w:p>
    <w:p>
      <w:pPr>
        <w:spacing w:before="0" w:after="80"/>
        <w:pBdr>
          <w:bottom w:val="single" w:sz="6" w:space="1" w:color="E8E8E8"/>
        </w:pBdr>
      </w:pPr>
    </w:p>
    <w:p>
      <w:pPr>
        <w:spacing w:before="80" w:after="0"/>
        <w:tabs>
          <w:tab w:val="right" w:pos="9360"/>
        </w:tabs>
      </w:pPr>
      <w:r>
        <w:rPr>
          <w:rFonts w:ascii="Calibri" w:hAnsi="Calibri"/>
          <w:b w:val="0"/>
          <w:color w:val="AAAAAA"/>
          <w:sz w:val="16"/>
        </w:rPr>
        <w:t>Documento de uso interno — Strategic IT Project Solutions</w:t>
      </w:r>
      <w:r>
        <w:rPr>
          <w:rFonts w:ascii="Calibri" w:hAnsi="Calibri"/>
          <w:b w:val="0"/>
          <w:color w:val="AAAAAA"/>
          <w:sz w:val="16"/>
        </w:rPr>
        <w:tab/>
        <w:t>SITPS-PMI-2026-03 — v1.0</w:t>
      </w:r>
    </w:p>
    <w:p>
      <w:r>
        <w:br w:type="page"/>
      </w:r>
    </w:p>
    <w:p>
      <w:pPr>
        <w:pStyle w:val="Heading1"/>
      </w:pPr>
      <w:bookmarkStart w:id="20" w:name="área-3-pmi-gestión-del-cronograma"/>
      <w:r>
        <w:t xml:space="preserve">Área 3 PMI: Gestión del Cronograma</w:t>
      </w:r>
      <w:bookmarkEnd w:id="20"/>
    </w:p>
    <w:p>
      <w:pPr>
        <w:pStyle w:val="Heading2"/>
      </w:pPr>
      <w:bookmarkStart w:id="21" w:name="descripción-del-área"/>
      <w:r>
        <w:t xml:space="preserve">Descripción del área</w:t>
      </w:r>
      <w:bookmarkEnd w:id="21"/>
    </w:p>
    <w:p>
      <w:pPr>
        <w:pStyle w:val="FirstParagraph"/>
      </w:pPr>
      <w:r>
        <w:t xml:space="preserve">La Gestión del Cronograma es el área del PMBOK responsable de planificar, desarrollar, gestionar y controlar el tiempo del proyecto. Su propósito es establecer una línea base de cronograma que permita medir el avance real contra lo planificado y tomar decisiones informadas cuando hay desviaciones.</w:t>
      </w:r>
    </w:p>
    <w:p>
      <w:pPr>
        <w:pStyle w:val="BodyText"/>
      </w:pPr>
      <w:r>
        <w:t xml:space="preserve">En este proyecto, el cronograma opera en dos niveles: un Gantt macro de hitos PMI (H1–H8) que abarca todo el ciclo de vida del proyecto, y un Gantt micro de sprints (1–8) que detalla la ejecución ágil de la Fase 2. Ambos niveles son complementarios: el macro es el compromiso con el Sponsor; el micro es el plan de ejecución del equipo.</w:t>
      </w:r>
    </w:p>
    <w:p>
      <w:pPr>
        <w:pStyle w:val="Heading2"/>
      </w:pPr>
      <w:bookmarkStart w:id="22" w:name="gantt-macro-hitos-pmi"/>
      <w:r>
        <w:t xml:space="preserve">Gantt macro — hitos PMI</w:t>
      </w:r>
      <w:bookmarkEnd w:id="22"/>
    </w:p>
    <w:tbl>
      <w:tblPr>
        <w:tblStyle w:val="Table"/>
        <w:tblW w:type="pct" w:w="5000.0"/>
        <w:tblLook w:firstRow="1"/>
        <w:tblBorders>
          <w:top w:val="single" w:sz="4" w:space="0" w:color="0E6251"/>
          <w:left w:val="single" w:sz="4" w:space="0" w:color="0E6251"/>
          <w:bottom w:val="single" w:sz="4" w:space="0" w:color="0E6251"/>
          <w:right w:val="single" w:sz="4" w:space="0" w:color="0E6251"/>
          <w:insideH w:val="single" w:sz="4" w:space="0" w:color="0E6251"/>
          <w:insideV w:val="single" w:sz="4" w:space="0" w:color="0E6251"/>
        </w:tblBorders>
      </w:tblPr>
      <w:tblGrid>
        <w:gridCol w:w="1584"/>
        <w:gridCol w:w="1584"/>
        <w:gridCol w:w="1584"/>
        <w:gridCol w:w="1584"/>
        <w:gridCol w:w="1584"/>
      </w:tblGrid>
      <w:tr>
        <w:trPr>
          <w:cnfStyle w:firstRow="1"/>
        </w:trPr>
        <w:tc>
          <w:tcPr>
            <w:tcBorders>
              <w:bottom w:val="single"/>
            </w:tcBorders>
            <w:vAlign w:val="bottom"/>
            <w:shd w:val="clear" w:color="auto" w:fill="0E2841"/>
          </w:tcPr>
          <w:p>
            <w:pPr>
              <w:pStyle w:val="Compact"/>
              <w:jc w:val="left"/>
            </w:pPr>
            <w:r>
              <w:rPr>
                <w:rFonts w:ascii="Calibri" w:hAnsi="Calibri"/>
                <w:b/>
                <w:color w:val="FFFFFF"/>
                <w:sz w:val="18"/>
              </w:rPr>
              <w:t xml:space="preserve">ID</w:t>
            </w:r>
          </w:p>
        </w:tc>
        <w:tc>
          <w:tcPr>
            <w:tcBorders>
              <w:bottom w:val="single"/>
            </w:tcBorders>
            <w:vAlign w:val="bottom"/>
            <w:shd w:val="clear" w:color="auto" w:fill="0E2841"/>
          </w:tcPr>
          <w:p>
            <w:pPr>
              <w:pStyle w:val="Compact"/>
              <w:jc w:val="left"/>
            </w:pPr>
            <w:r>
              <w:rPr>
                <w:rFonts w:ascii="Calibri" w:hAnsi="Calibri"/>
                <w:b/>
                <w:color w:val="FFFFFF"/>
                <w:sz w:val="18"/>
              </w:rPr>
              <w:t xml:space="preserve">Hito</w:t>
            </w:r>
          </w:p>
        </w:tc>
        <w:tc>
          <w:tcPr>
            <w:tcBorders>
              <w:bottom w:val="single"/>
            </w:tcBorders>
            <w:vAlign w:val="bottom"/>
            <w:shd w:val="clear" w:color="auto" w:fill="0E2841"/>
          </w:tcPr>
          <w:p>
            <w:pPr>
              <w:pStyle w:val="Compact"/>
              <w:jc w:val="left"/>
            </w:pPr>
            <w:r>
              <w:rPr>
                <w:rFonts w:ascii="Calibri" w:hAnsi="Calibri"/>
                <w:b/>
                <w:color w:val="FFFFFF"/>
                <w:sz w:val="18"/>
              </w:rPr>
              <w:t xml:space="preserve">Fecha</w:t>
            </w:r>
          </w:p>
        </w:tc>
        <w:tc>
          <w:tcPr>
            <w:tcBorders>
              <w:bottom w:val="single"/>
            </w:tcBorders>
            <w:vAlign w:val="bottom"/>
            <w:shd w:val="clear" w:color="auto" w:fill="0E2841"/>
          </w:tcPr>
          <w:p>
            <w:pPr>
              <w:pStyle w:val="Compact"/>
              <w:jc w:val="left"/>
            </w:pPr>
            <w:r>
              <w:rPr>
                <w:rFonts w:ascii="Calibri" w:hAnsi="Calibri"/>
                <w:b/>
                <w:color w:val="FFFFFF"/>
                <w:sz w:val="18"/>
              </w:rPr>
              <w:t xml:space="preserve">Fase</w:t>
            </w:r>
          </w:p>
        </w:tc>
        <w:tc>
          <w:tcPr>
            <w:tcBorders>
              <w:bottom w:val="single"/>
            </w:tcBorders>
            <w:vAlign w:val="bottom"/>
            <w:shd w:val="clear" w:color="auto" w:fill="0E2841"/>
          </w:tcPr>
          <w:p>
            <w:pPr>
              <w:pStyle w:val="Compact"/>
              <w:jc w:val="left"/>
            </w:pPr>
            <w:r>
              <w:rPr>
                <w:rFonts w:ascii="Calibri" w:hAnsi="Calibri"/>
                <w:b/>
                <w:color w:val="FFFFFF"/>
                <w:sz w:val="18"/>
              </w:rPr>
              <w:t xml:space="preserve">Responsable</w:t>
            </w:r>
          </w:p>
        </w:tc>
      </w:tr>
      <w:tr>
        <w:tc>
          <w:tcPr>
            <w:shd w:val="clear" w:color="auto" w:fill="FFFFFF"/>
          </w:tcPr>
          <w:p>
            <w:pPr>
              <w:pStyle w:val="Compact"/>
              <w:jc w:val="left"/>
            </w:pPr>
            <w:r>
              <w:rPr>
                <w:rFonts w:ascii="Calibri" w:hAnsi="Calibri"/>
                <w:sz w:val="18"/>
              </w:rPr>
              <w:t xml:space="preserve">H1</w:t>
            </w:r>
          </w:p>
        </w:tc>
        <w:tc>
          <w:tcPr>
            <w:shd w:val="clear" w:color="auto" w:fill="FFFFFF"/>
          </w:tcPr>
          <w:p>
            <w:pPr>
              <w:pStyle w:val="Compact"/>
              <w:jc w:val="left"/>
            </w:pPr>
            <w:r>
              <w:rPr>
                <w:rFonts w:ascii="Calibri" w:hAnsi="Calibri"/>
                <w:sz w:val="18"/>
              </w:rPr>
              <w:t xml:space="preserve">Inicio de planificación</w:t>
            </w:r>
          </w:p>
        </w:tc>
        <w:tc>
          <w:tcPr>
            <w:shd w:val="clear" w:color="auto" w:fill="FFFFFF"/>
          </w:tcPr>
          <w:p>
            <w:pPr>
              <w:pStyle w:val="Compact"/>
              <w:jc w:val="left"/>
            </w:pPr>
            <w:r>
              <w:rPr>
                <w:rFonts w:ascii="Calibri" w:hAnsi="Calibri"/>
                <w:sz w:val="18"/>
              </w:rPr>
              <w:t xml:space="preserve">10 mar 2026</w:t>
            </w:r>
          </w:p>
        </w:tc>
        <w:tc>
          <w:tcPr>
            <w:shd w:val="clear" w:color="auto" w:fill="FFFFFF"/>
          </w:tcPr>
          <w:p>
            <w:pPr>
              <w:pStyle w:val="Compact"/>
              <w:jc w:val="left"/>
            </w:pPr>
            <w:r>
              <w:rPr>
                <w:rFonts w:ascii="Calibri" w:hAnsi="Calibri"/>
                <w:sz w:val="18"/>
              </w:rPr>
              <w:t xml:space="preserve">Fase 1 — Planificación</w:t>
            </w:r>
          </w:p>
        </w:tc>
        <w:tc>
          <w:tcPr>
            <w:shd w:val="clear" w:color="auto" w:fill="FFFFFF"/>
          </w:tcPr>
          <w:p>
            <w:pPr>
              <w:pStyle w:val="Compact"/>
              <w:jc w:val="left"/>
            </w:pPr>
            <w:r>
              <w:rPr>
                <w:rFonts w:ascii="Calibri" w:hAnsi="Calibri"/>
                <w:sz w:val="18"/>
              </w:rPr>
              <w:t xml:space="preserve">PO Say</w:t>
            </w:r>
          </w:p>
        </w:tc>
      </w:tr>
      <w:tr>
        <w:tc>
          <w:tcPr>
            <w:shd w:val="clear" w:color="auto" w:fill="E8E8E8"/>
          </w:tcPr>
          <w:p>
            <w:pPr>
              <w:pStyle w:val="Compact"/>
              <w:jc w:val="left"/>
            </w:pPr>
            <w:r>
              <w:rPr>
                <w:rFonts w:ascii="Calibri" w:hAnsi="Calibri"/>
                <w:sz w:val="18"/>
              </w:rPr>
              <w:t xml:space="preserve">H2</w:t>
            </w:r>
          </w:p>
        </w:tc>
        <w:tc>
          <w:tcPr>
            <w:shd w:val="clear" w:color="auto" w:fill="E8E8E8"/>
          </w:tcPr>
          <w:p>
            <w:pPr>
              <w:pStyle w:val="Compact"/>
              <w:jc w:val="left"/>
            </w:pPr>
            <w:r>
              <w:rPr>
                <w:rFonts w:ascii="Calibri" w:hAnsi="Calibri"/>
                <w:sz w:val="18"/>
              </w:rPr>
              <w:t xml:space="preserve">Entrega documentos de planificación</w:t>
            </w:r>
          </w:p>
        </w:tc>
        <w:tc>
          <w:tcPr>
            <w:shd w:val="clear" w:color="auto" w:fill="E8E8E8"/>
          </w:tcPr>
          <w:p>
            <w:pPr>
              <w:pStyle w:val="Compact"/>
              <w:jc w:val="left"/>
            </w:pPr>
            <w:r>
              <w:rPr>
                <w:rFonts w:ascii="Calibri" w:hAnsi="Calibri"/>
                <w:sz w:val="18"/>
              </w:rPr>
              <w:t xml:space="preserve">10 mar 2026</w:t>
            </w:r>
          </w:p>
        </w:tc>
        <w:tc>
          <w:tcPr>
            <w:shd w:val="clear" w:color="auto" w:fill="E8E8E8"/>
          </w:tcPr>
          <w:p>
            <w:pPr>
              <w:pStyle w:val="Compact"/>
              <w:jc w:val="left"/>
            </w:pPr>
            <w:r>
              <w:rPr>
                <w:rFonts w:ascii="Calibri" w:hAnsi="Calibri"/>
                <w:sz w:val="18"/>
              </w:rPr>
              <w:t xml:space="preserve">Fase 1 — Planificación</w:t>
            </w:r>
          </w:p>
        </w:tc>
        <w:tc>
          <w:tcPr>
            <w:shd w:val="clear" w:color="auto" w:fill="E8E8E8"/>
          </w:tcPr>
          <w:p>
            <w:pPr>
              <w:pStyle w:val="Compact"/>
              <w:jc w:val="left"/>
            </w:pPr>
            <w:r>
              <w:rPr>
                <w:rFonts w:ascii="Calibri" w:hAnsi="Calibri"/>
                <w:sz w:val="18"/>
              </w:rPr>
              <w:t xml:space="preserve">PO Say</w:t>
            </w:r>
          </w:p>
        </w:tc>
      </w:tr>
      <w:tr>
        <w:tc>
          <w:tcPr>
            <w:shd w:val="clear" w:color="auto" w:fill="FFFFFF"/>
          </w:tcPr>
          <w:p>
            <w:pPr>
              <w:pStyle w:val="Compact"/>
              <w:jc w:val="left"/>
            </w:pPr>
            <w:r>
              <w:rPr>
                <w:rFonts w:ascii="Calibri" w:hAnsi="Calibri"/>
                <w:sz w:val="18"/>
              </w:rPr>
              <w:t xml:space="preserve">H3</w:t>
            </w:r>
          </w:p>
        </w:tc>
        <w:tc>
          <w:tcPr>
            <w:shd w:val="clear" w:color="auto" w:fill="FFFFFF"/>
          </w:tcPr>
          <w:p>
            <w:pPr>
              <w:pStyle w:val="Compact"/>
              <w:jc w:val="left"/>
            </w:pPr>
            <w:r>
              <w:rPr>
                <w:rFonts w:ascii="Calibri" w:hAnsi="Calibri"/>
                <w:sz w:val="18"/>
              </w:rPr>
              <w:t xml:space="preserve">Inicio ejecución — Sprint 1</w:t>
            </w:r>
          </w:p>
        </w:tc>
        <w:tc>
          <w:tcPr>
            <w:shd w:val="clear" w:color="auto" w:fill="FFFFFF"/>
          </w:tcPr>
          <w:p>
            <w:pPr>
              <w:pStyle w:val="Compact"/>
              <w:jc w:val="left"/>
            </w:pPr>
            <w:r>
              <w:rPr>
                <w:rFonts w:ascii="Calibri" w:hAnsi="Calibri"/>
                <w:sz w:val="18"/>
              </w:rPr>
              <w:t xml:space="preserve">1 ene 2027</w:t>
            </w:r>
          </w:p>
        </w:tc>
        <w:tc>
          <w:tcPr>
            <w:shd w:val="clear" w:color="auto" w:fill="FFFFFF"/>
          </w:tcPr>
          <w:p>
            <w:pPr>
              <w:pStyle w:val="Compact"/>
              <w:jc w:val="left"/>
            </w:pPr>
            <w:r>
              <w:rPr>
                <w:rFonts w:ascii="Calibri" w:hAnsi="Calibri"/>
                <w:sz w:val="18"/>
              </w:rPr>
              <w:t xml:space="preserve">Fase 2 — Ejecución</w:t>
            </w:r>
          </w:p>
        </w:tc>
        <w:tc>
          <w:tcPr>
            <w:shd w:val="clear" w:color="auto" w:fill="FFFFFF"/>
          </w:tcPr>
          <w:p>
            <w:pPr>
              <w:pStyle w:val="Compact"/>
              <w:jc w:val="left"/>
            </w:pPr>
            <w:r>
              <w:rPr>
                <w:rFonts w:ascii="Calibri" w:hAnsi="Calibri"/>
                <w:sz w:val="18"/>
              </w:rPr>
              <w:t xml:space="preserve">SM Cordero</w:t>
            </w:r>
          </w:p>
        </w:tc>
      </w:tr>
      <w:tr>
        <w:tc>
          <w:tcPr>
            <w:shd w:val="clear" w:color="auto" w:fill="E8E8E8"/>
          </w:tcPr>
          <w:p>
            <w:pPr>
              <w:pStyle w:val="Compact"/>
              <w:jc w:val="left"/>
            </w:pPr>
            <w:r>
              <w:rPr>
                <w:rFonts w:ascii="Calibri" w:hAnsi="Calibri"/>
                <w:sz w:val="18"/>
              </w:rPr>
              <w:t xml:space="preserve">H4</w:t>
            </w:r>
          </w:p>
        </w:tc>
        <w:tc>
          <w:tcPr>
            <w:shd w:val="clear" w:color="auto" w:fill="E8E8E8"/>
          </w:tcPr>
          <w:p>
            <w:pPr>
              <w:pStyle w:val="Compact"/>
              <w:jc w:val="left"/>
            </w:pPr>
            <w:r>
              <w:rPr>
                <w:rFonts w:ascii="Calibri" w:hAnsi="Calibri"/>
                <w:sz w:val="18"/>
              </w:rPr>
              <w:t xml:space="preserve">Validación catálogo carreras (Admisiones)</w:t>
            </w:r>
          </w:p>
        </w:tc>
        <w:tc>
          <w:tcPr>
            <w:shd w:val="clear" w:color="auto" w:fill="E8E8E8"/>
          </w:tcPr>
          <w:p>
            <w:pPr>
              <w:pStyle w:val="Compact"/>
              <w:jc w:val="left"/>
            </w:pPr>
            <w:r>
              <w:rPr>
                <w:rFonts w:ascii="Calibri" w:hAnsi="Calibri"/>
                <w:sz w:val="18"/>
              </w:rPr>
              <w:t xml:space="preserve">11 feb 2027</w:t>
            </w:r>
          </w:p>
        </w:tc>
        <w:tc>
          <w:tcPr>
            <w:shd w:val="clear" w:color="auto" w:fill="E8E8E8"/>
          </w:tcPr>
          <w:p>
            <w:pPr>
              <w:pStyle w:val="Compact"/>
              <w:jc w:val="left"/>
            </w:pPr>
            <w:r>
              <w:rPr>
                <w:rFonts w:ascii="Calibri" w:hAnsi="Calibri"/>
                <w:sz w:val="18"/>
              </w:rPr>
              <w:t xml:space="preserve">Fase 2 — Sprint 3</w:t>
            </w:r>
          </w:p>
        </w:tc>
        <w:tc>
          <w:tcPr>
            <w:shd w:val="clear" w:color="auto" w:fill="E8E8E8"/>
          </w:tcPr>
          <w:p>
            <w:pPr>
              <w:pStyle w:val="Compact"/>
              <w:jc w:val="left"/>
            </w:pPr>
            <w:r>
              <w:rPr>
                <w:rFonts w:ascii="Calibri" w:hAnsi="Calibri"/>
                <w:sz w:val="18"/>
              </w:rPr>
              <w:t xml:space="preserve">PO Say + S3 Admisiones</w:t>
            </w:r>
          </w:p>
        </w:tc>
      </w:tr>
      <w:tr>
        <w:tc>
          <w:tcPr>
            <w:shd w:val="clear" w:color="auto" w:fill="FFFFFF"/>
          </w:tcPr>
          <w:p>
            <w:pPr>
              <w:pStyle w:val="Compact"/>
              <w:jc w:val="left"/>
            </w:pPr>
            <w:r>
              <w:rPr>
                <w:rFonts w:ascii="Calibri" w:hAnsi="Calibri"/>
                <w:sz w:val="18"/>
              </w:rPr>
              <w:t xml:space="preserve">H5</w:t>
            </w:r>
          </w:p>
        </w:tc>
        <w:tc>
          <w:tcPr>
            <w:shd w:val="clear" w:color="auto" w:fill="FFFFFF"/>
          </w:tcPr>
          <w:p>
            <w:pPr>
              <w:pStyle w:val="Compact"/>
              <w:jc w:val="left"/>
            </w:pPr>
            <w:r>
              <w:rPr>
                <w:rFonts w:ascii="Calibri" w:hAnsi="Calibri"/>
                <w:sz w:val="18"/>
              </w:rPr>
              <w:t xml:space="preserve">Motor de recomendación funcional</w:t>
            </w:r>
          </w:p>
        </w:tc>
        <w:tc>
          <w:tcPr>
            <w:shd w:val="clear" w:color="auto" w:fill="FFFFFF"/>
          </w:tcPr>
          <w:p>
            <w:pPr>
              <w:pStyle w:val="Compact"/>
              <w:jc w:val="left"/>
            </w:pPr>
            <w:r>
              <w:rPr>
                <w:rFonts w:ascii="Calibri" w:hAnsi="Calibri"/>
                <w:sz w:val="18"/>
              </w:rPr>
              <w:t xml:space="preserve">25 feb 2027</w:t>
            </w:r>
          </w:p>
        </w:tc>
        <w:tc>
          <w:tcPr>
            <w:shd w:val="clear" w:color="auto" w:fill="FFFFFF"/>
          </w:tcPr>
          <w:p>
            <w:pPr>
              <w:pStyle w:val="Compact"/>
              <w:jc w:val="left"/>
            </w:pPr>
            <w:r>
              <w:rPr>
                <w:rFonts w:ascii="Calibri" w:hAnsi="Calibri"/>
                <w:sz w:val="18"/>
              </w:rPr>
              <w:t xml:space="preserve">Fase 2 — Sprint 4</w:t>
            </w:r>
          </w:p>
        </w:tc>
        <w:tc>
          <w:tcPr>
            <w:shd w:val="clear" w:color="auto" w:fill="FFFFFF"/>
          </w:tcPr>
          <w:p>
            <w:pPr>
              <w:pStyle w:val="Compact"/>
              <w:jc w:val="left"/>
            </w:pPr>
            <w:r>
              <w:rPr>
                <w:rFonts w:ascii="Calibri" w:hAnsi="Calibri"/>
                <w:sz w:val="18"/>
              </w:rPr>
              <w:t xml:space="preserve">Developer Cruz</w:t>
            </w:r>
          </w:p>
        </w:tc>
      </w:tr>
      <w:tr>
        <w:tc>
          <w:tcPr>
            <w:shd w:val="clear" w:color="auto" w:fill="E8E8E8"/>
          </w:tcPr>
          <w:p>
            <w:pPr>
              <w:pStyle w:val="Compact"/>
              <w:jc w:val="left"/>
            </w:pPr>
            <w:r>
              <w:rPr>
                <w:rFonts w:ascii="Calibri" w:hAnsi="Calibri"/>
                <w:sz w:val="18"/>
              </w:rPr>
              <w:t xml:space="preserve">H6</w:t>
            </w:r>
          </w:p>
        </w:tc>
        <w:tc>
          <w:tcPr>
            <w:shd w:val="clear" w:color="auto" w:fill="E8E8E8"/>
          </w:tcPr>
          <w:p>
            <w:pPr>
              <w:pStyle w:val="Compact"/>
              <w:jc w:val="left"/>
            </w:pPr>
            <w:r>
              <w:rPr>
                <w:rFonts w:ascii="Calibri" w:hAnsi="Calibri"/>
                <w:sz w:val="18"/>
              </w:rPr>
              <w:t xml:space="preserve">Pruebas de usabilidad con usuarios reales</w:t>
            </w:r>
          </w:p>
        </w:tc>
        <w:tc>
          <w:tcPr>
            <w:shd w:val="clear" w:color="auto" w:fill="E8E8E8"/>
          </w:tcPr>
          <w:p>
            <w:pPr>
              <w:pStyle w:val="Compact"/>
              <w:jc w:val="left"/>
            </w:pPr>
            <w:r>
              <w:rPr>
                <w:rFonts w:ascii="Calibri" w:hAnsi="Calibri"/>
                <w:sz w:val="18"/>
              </w:rPr>
              <w:t xml:space="preserve">8 abr 2027</w:t>
            </w:r>
          </w:p>
        </w:tc>
        <w:tc>
          <w:tcPr>
            <w:shd w:val="clear" w:color="auto" w:fill="E8E8E8"/>
          </w:tcPr>
          <w:p>
            <w:pPr>
              <w:pStyle w:val="Compact"/>
              <w:jc w:val="left"/>
            </w:pPr>
            <w:r>
              <w:rPr>
                <w:rFonts w:ascii="Calibri" w:hAnsi="Calibri"/>
                <w:sz w:val="18"/>
              </w:rPr>
              <w:t xml:space="preserve">Fase 2 — Sprint 7</w:t>
            </w:r>
          </w:p>
        </w:tc>
        <w:tc>
          <w:tcPr>
            <w:shd w:val="clear" w:color="auto" w:fill="E8E8E8"/>
          </w:tcPr>
          <w:p>
            <w:pPr>
              <w:pStyle w:val="Compact"/>
              <w:jc w:val="left"/>
            </w:pPr>
            <w:r>
              <w:rPr>
                <w:rFonts w:ascii="Calibri" w:hAnsi="Calibri"/>
                <w:sz w:val="18"/>
              </w:rPr>
              <w:t xml:space="preserve">PO Say + S8 Estudiantes</w:t>
            </w:r>
          </w:p>
        </w:tc>
      </w:tr>
      <w:tr>
        <w:tc>
          <w:tcPr>
            <w:shd w:val="clear" w:color="auto" w:fill="FFFFFF"/>
          </w:tcPr>
          <w:p>
            <w:pPr>
              <w:pStyle w:val="Compact"/>
              <w:jc w:val="left"/>
            </w:pPr>
            <w:r>
              <w:rPr>
                <w:rFonts w:ascii="Calibri" w:hAnsi="Calibri"/>
                <w:sz w:val="18"/>
              </w:rPr>
              <w:t xml:space="preserve">H7</w:t>
            </w:r>
          </w:p>
        </w:tc>
        <w:tc>
          <w:tcPr>
            <w:shd w:val="clear" w:color="auto" w:fill="FFFFFF"/>
          </w:tcPr>
          <w:p>
            <w:pPr>
              <w:pStyle w:val="Compact"/>
              <w:jc w:val="left"/>
            </w:pPr>
            <w:r>
              <w:rPr>
                <w:rFonts w:ascii="Calibri" w:hAnsi="Calibri"/>
                <w:sz w:val="18"/>
              </w:rPr>
              <w:t xml:space="preserve">Entrega MVP — cierre técnico</w:t>
            </w:r>
          </w:p>
        </w:tc>
        <w:tc>
          <w:tcPr>
            <w:shd w:val="clear" w:color="auto" w:fill="FFFFFF"/>
          </w:tcPr>
          <w:p>
            <w:pPr>
              <w:pStyle w:val="Compact"/>
              <w:jc w:val="left"/>
            </w:pPr>
            <w:r>
              <w:rPr>
                <w:rFonts w:ascii="Calibri" w:hAnsi="Calibri"/>
                <w:sz w:val="18"/>
              </w:rPr>
              <w:t xml:space="preserve">22 abr 2027</w:t>
            </w:r>
          </w:p>
        </w:tc>
        <w:tc>
          <w:tcPr>
            <w:shd w:val="clear" w:color="auto" w:fill="FFFFFF"/>
          </w:tcPr>
          <w:p>
            <w:pPr>
              <w:pStyle w:val="Compact"/>
              <w:jc w:val="left"/>
            </w:pPr>
            <w:r>
              <w:rPr>
                <w:rFonts w:ascii="Calibri" w:hAnsi="Calibri"/>
                <w:sz w:val="18"/>
              </w:rPr>
              <w:t xml:space="preserve">Fase 2 — Sprint 8</w:t>
            </w:r>
          </w:p>
        </w:tc>
        <w:tc>
          <w:tcPr>
            <w:shd w:val="clear" w:color="auto" w:fill="FFFFFF"/>
          </w:tcPr>
          <w:p>
            <w:pPr>
              <w:pStyle w:val="Compact"/>
              <w:jc w:val="left"/>
            </w:pPr>
            <w:r>
              <w:rPr>
                <w:rFonts w:ascii="Calibri" w:hAnsi="Calibri"/>
                <w:sz w:val="18"/>
              </w:rPr>
              <w:t xml:space="preserve">PO Say</w:t>
            </w:r>
          </w:p>
        </w:tc>
      </w:tr>
      <w:tr>
        <w:tc>
          <w:tcPr>
            <w:shd w:val="clear" w:color="auto" w:fill="E8E8E8"/>
          </w:tcPr>
          <w:p>
            <w:pPr>
              <w:pStyle w:val="Compact"/>
              <w:jc w:val="left"/>
            </w:pPr>
            <w:r>
              <w:rPr>
                <w:rFonts w:ascii="Calibri" w:hAnsi="Calibri"/>
                <w:sz w:val="18"/>
              </w:rPr>
              <w:t xml:space="preserve">H8</w:t>
            </w:r>
          </w:p>
        </w:tc>
        <w:tc>
          <w:tcPr>
            <w:shd w:val="clear" w:color="auto" w:fill="E8E8E8"/>
          </w:tcPr>
          <w:p>
            <w:pPr>
              <w:pStyle w:val="Compact"/>
              <w:jc w:val="left"/>
            </w:pPr>
            <w:r>
              <w:rPr>
                <w:rFonts w:ascii="Calibri" w:hAnsi="Calibri"/>
                <w:sz w:val="18"/>
              </w:rPr>
              <w:t xml:space="preserve">Firma del Acta de Cierre</w:t>
            </w:r>
          </w:p>
        </w:tc>
        <w:tc>
          <w:tcPr>
            <w:shd w:val="clear" w:color="auto" w:fill="E8E8E8"/>
          </w:tcPr>
          <w:p>
            <w:pPr>
              <w:pStyle w:val="Compact"/>
              <w:jc w:val="left"/>
            </w:pPr>
            <w:r>
              <w:rPr>
                <w:rFonts w:ascii="Calibri" w:hAnsi="Calibri"/>
                <w:sz w:val="18"/>
              </w:rPr>
              <w:t xml:space="preserve">[POR CONFIRMAR CON SPONSOR]</w:t>
            </w:r>
          </w:p>
        </w:tc>
        <w:tc>
          <w:tcPr>
            <w:shd w:val="clear" w:color="auto" w:fill="E8E8E8"/>
          </w:tcPr>
          <w:p>
            <w:pPr>
              <w:pStyle w:val="Compact"/>
              <w:jc w:val="left"/>
            </w:pPr>
            <w:r>
              <w:rPr>
                <w:rFonts w:ascii="Calibri" w:hAnsi="Calibri"/>
                <w:sz w:val="18"/>
              </w:rPr>
              <w:t xml:space="preserve">Fase 3 — Cierre</w:t>
            </w:r>
          </w:p>
        </w:tc>
        <w:tc>
          <w:tcPr>
            <w:shd w:val="clear" w:color="auto" w:fill="E8E8E8"/>
          </w:tcPr>
          <w:p>
            <w:pPr>
              <w:pStyle w:val="Compact"/>
              <w:jc w:val="left"/>
            </w:pPr>
            <w:r>
              <w:rPr>
                <w:rFonts w:ascii="Calibri" w:hAnsi="Calibri"/>
                <w:sz w:val="18"/>
              </w:rPr>
              <w:t xml:space="preserve">PO Say + S1 Marroquín</w:t>
            </w:r>
          </w:p>
        </w:tc>
      </w:tr>
    </w:tbl>
    <w:p>
      <w:pPr>
        <w:pStyle w:val="Heading2"/>
      </w:pPr>
      <w:bookmarkStart w:id="23" w:name="gantt-micro-8-sprints-de-ejecución"/>
      <w:r>
        <w:t xml:space="preserve">Gantt micro — 8 sprints de ejecución</w:t>
      </w:r>
      <w:bookmarkEnd w:id="23"/>
    </w:p>
    <w:tbl>
      <w:tblPr>
        <w:tblStyle w:val="Table"/>
        <w:tblW w:type="pct" w:w="5000.0"/>
        <w:tblLook w:firstRow="1"/>
        <w:tblBorders>
          <w:top w:val="single" w:sz="4" w:space="0" w:color="0E6251"/>
          <w:left w:val="single" w:sz="4" w:space="0" w:color="0E6251"/>
          <w:bottom w:val="single" w:sz="4" w:space="0" w:color="0E6251"/>
          <w:right w:val="single" w:sz="4" w:space="0" w:color="0E6251"/>
          <w:insideH w:val="single" w:sz="4" w:space="0" w:color="0E6251"/>
          <w:insideV w:val="single" w:sz="4" w:space="0" w:color="0E6251"/>
        </w:tblBorders>
      </w:tblPr>
      <w:tblGrid>
        <w:gridCol w:w="1584"/>
        <w:gridCol w:w="1584"/>
        <w:gridCol w:w="1584"/>
        <w:gridCol w:w="1584"/>
        <w:gridCol w:w="1584"/>
      </w:tblGrid>
      <w:tr>
        <w:trPr>
          <w:cnfStyle w:firstRow="1"/>
        </w:trPr>
        <w:tc>
          <w:tcPr>
            <w:tcBorders>
              <w:bottom w:val="single"/>
            </w:tcBorders>
            <w:vAlign w:val="bottom"/>
            <w:shd w:val="clear" w:color="auto" w:fill="0E2841"/>
          </w:tcPr>
          <w:p>
            <w:pPr>
              <w:pStyle w:val="Compact"/>
              <w:jc w:val="left"/>
            </w:pPr>
            <w:r>
              <w:rPr>
                <w:rFonts w:ascii="Calibri" w:hAnsi="Calibri"/>
                <w:b/>
                <w:color w:val="FFFFFF"/>
                <w:sz w:val="18"/>
              </w:rPr>
              <w:t xml:space="preserve">Sprint</w:t>
            </w:r>
          </w:p>
        </w:tc>
        <w:tc>
          <w:tcPr>
            <w:tcBorders>
              <w:bottom w:val="single"/>
            </w:tcBorders>
            <w:vAlign w:val="bottom"/>
            <w:shd w:val="clear" w:color="auto" w:fill="0E2841"/>
          </w:tcPr>
          <w:p>
            <w:pPr>
              <w:pStyle w:val="Compact"/>
              <w:jc w:val="left"/>
            </w:pPr>
            <w:r>
              <w:rPr>
                <w:rFonts w:ascii="Calibri" w:hAnsi="Calibri"/>
                <w:b/>
                <w:color w:val="FFFFFF"/>
                <w:sz w:val="18"/>
              </w:rPr>
              <w:t xml:space="preserve">Período</w:t>
            </w:r>
          </w:p>
        </w:tc>
        <w:tc>
          <w:tcPr>
            <w:tcBorders>
              <w:bottom w:val="single"/>
            </w:tcBorders>
            <w:vAlign w:val="bottom"/>
            <w:shd w:val="clear" w:color="auto" w:fill="0E2841"/>
          </w:tcPr>
          <w:p>
            <w:pPr>
              <w:pStyle w:val="Compact"/>
              <w:jc w:val="left"/>
            </w:pPr>
            <w:r>
              <w:rPr>
                <w:rFonts w:ascii="Calibri" w:hAnsi="Calibri"/>
                <w:b/>
                <w:color w:val="FFFFFF"/>
                <w:sz w:val="18"/>
              </w:rPr>
              <w:t xml:space="preserve">Días hábiles</w:t>
            </w:r>
          </w:p>
        </w:tc>
        <w:tc>
          <w:tcPr>
            <w:tcBorders>
              <w:bottom w:val="single"/>
            </w:tcBorders>
            <w:vAlign w:val="bottom"/>
            <w:shd w:val="clear" w:color="auto" w:fill="0E2841"/>
          </w:tcPr>
          <w:p>
            <w:pPr>
              <w:pStyle w:val="Compact"/>
              <w:jc w:val="left"/>
            </w:pPr>
            <w:r>
              <w:rPr>
                <w:rFonts w:ascii="Calibri" w:hAnsi="Calibri"/>
                <w:b/>
                <w:color w:val="FFFFFF"/>
                <w:sz w:val="18"/>
              </w:rPr>
              <w:t xml:space="preserve">Story Points</w:t>
            </w:r>
          </w:p>
        </w:tc>
        <w:tc>
          <w:tcPr>
            <w:tcBorders>
              <w:bottom w:val="single"/>
            </w:tcBorders>
            <w:vAlign w:val="bottom"/>
            <w:shd w:val="clear" w:color="auto" w:fill="0E2841"/>
          </w:tcPr>
          <w:p>
            <w:pPr>
              <w:pStyle w:val="Compact"/>
              <w:jc w:val="left"/>
            </w:pPr>
            <w:r>
              <w:rPr>
                <w:rFonts w:ascii="Calibri" w:hAnsi="Calibri"/>
                <w:b/>
                <w:color w:val="FFFFFF"/>
                <w:sz w:val="18"/>
              </w:rPr>
              <w:t xml:space="preserve">Épicas cubiertas</w:t>
            </w:r>
          </w:p>
        </w:tc>
      </w:tr>
      <w:tr>
        <w:tc>
          <w:tcPr>
            <w:shd w:val="clear" w:color="auto" w:fill="FFFFFF"/>
          </w:tcPr>
          <w:p>
            <w:pPr>
              <w:pStyle w:val="Compact"/>
              <w:jc w:val="left"/>
            </w:pPr>
            <w:r>
              <w:rPr>
                <w:rFonts w:ascii="Calibri" w:hAnsi="Calibri"/>
                <w:sz w:val="18"/>
              </w:rPr>
              <w:t xml:space="preserve">Sprint 1</w:t>
            </w:r>
          </w:p>
        </w:tc>
        <w:tc>
          <w:tcPr>
            <w:shd w:val="clear" w:color="auto" w:fill="FFFFFF"/>
          </w:tcPr>
          <w:p>
            <w:pPr>
              <w:pStyle w:val="Compact"/>
              <w:jc w:val="left"/>
            </w:pPr>
            <w:r>
              <w:rPr>
                <w:rFonts w:ascii="Calibri" w:hAnsi="Calibri"/>
                <w:sz w:val="18"/>
              </w:rPr>
              <w:t xml:space="preserve">1 ene – 14 ene 2027</w:t>
            </w:r>
          </w:p>
        </w:tc>
        <w:tc>
          <w:tcPr>
            <w:shd w:val="clear" w:color="auto" w:fill="FFFFFF"/>
          </w:tcPr>
          <w:p>
            <w:pPr>
              <w:pStyle w:val="Compact"/>
              <w:jc w:val="left"/>
            </w:pPr>
            <w:r>
              <w:rPr>
                <w:rFonts w:ascii="Calibri" w:hAnsi="Calibri"/>
                <w:sz w:val="18"/>
              </w:rPr>
              <w:t xml:space="preserve">10</w:t>
            </w:r>
          </w:p>
        </w:tc>
        <w:tc>
          <w:tcPr>
            <w:shd w:val="clear" w:color="auto" w:fill="FFFFFF"/>
          </w:tcPr>
          <w:p>
            <w:pPr>
              <w:pStyle w:val="Compact"/>
              <w:jc w:val="left"/>
            </w:pPr>
            <w:r>
              <w:rPr>
                <w:rFonts w:ascii="Calibri" w:hAnsi="Calibri"/>
                <w:sz w:val="18"/>
              </w:rPr>
              <w:t xml:space="preserve">13 SP</w:t>
            </w:r>
          </w:p>
        </w:tc>
        <w:tc>
          <w:tcPr>
            <w:shd w:val="clear" w:color="auto" w:fill="FFFFFF"/>
          </w:tcPr>
          <w:p>
            <w:pPr>
              <w:pStyle w:val="Compact"/>
              <w:jc w:val="left"/>
            </w:pPr>
            <w:r>
              <w:rPr>
                <w:rFonts w:ascii="Calibri" w:hAnsi="Calibri"/>
                <w:sz w:val="18"/>
              </w:rPr>
              <w:t xml:space="preserve">EP01 (completa)</w:t>
            </w:r>
          </w:p>
        </w:tc>
      </w:tr>
      <w:tr>
        <w:tc>
          <w:tcPr>
            <w:shd w:val="clear" w:color="auto" w:fill="E8E8E8"/>
          </w:tcPr>
          <w:p>
            <w:pPr>
              <w:pStyle w:val="Compact"/>
              <w:jc w:val="left"/>
            </w:pPr>
            <w:r>
              <w:rPr>
                <w:rFonts w:ascii="Calibri" w:hAnsi="Calibri"/>
                <w:sz w:val="18"/>
              </w:rPr>
              <w:t xml:space="preserve">Sprint 2</w:t>
            </w:r>
          </w:p>
        </w:tc>
        <w:tc>
          <w:tcPr>
            <w:shd w:val="clear" w:color="auto" w:fill="E8E8E8"/>
          </w:tcPr>
          <w:p>
            <w:pPr>
              <w:pStyle w:val="Compact"/>
              <w:jc w:val="left"/>
            </w:pPr>
            <w:r>
              <w:rPr>
                <w:rFonts w:ascii="Calibri" w:hAnsi="Calibri"/>
                <w:sz w:val="18"/>
              </w:rPr>
              <w:t xml:space="preserve">15 ene – 28 ene 2027</w:t>
            </w:r>
          </w:p>
        </w:tc>
        <w:tc>
          <w:tcPr>
            <w:shd w:val="clear" w:color="auto" w:fill="E8E8E8"/>
          </w:tcPr>
          <w:p>
            <w:pPr>
              <w:pStyle w:val="Compact"/>
              <w:jc w:val="left"/>
            </w:pPr>
            <w:r>
              <w:rPr>
                <w:rFonts w:ascii="Calibri" w:hAnsi="Calibri"/>
                <w:sz w:val="18"/>
              </w:rPr>
              <w:t xml:space="preserve">10</w:t>
            </w:r>
          </w:p>
        </w:tc>
        <w:tc>
          <w:tcPr>
            <w:shd w:val="clear" w:color="auto" w:fill="E8E8E8"/>
          </w:tcPr>
          <w:p>
            <w:pPr>
              <w:pStyle w:val="Compact"/>
              <w:jc w:val="left"/>
            </w:pPr>
            <w:r>
              <w:rPr>
                <w:rFonts w:ascii="Calibri" w:hAnsi="Calibri"/>
                <w:sz w:val="18"/>
              </w:rPr>
              <w:t xml:space="preserve">15 SP</w:t>
            </w:r>
          </w:p>
        </w:tc>
        <w:tc>
          <w:tcPr>
            <w:shd w:val="clear" w:color="auto" w:fill="E8E8E8"/>
          </w:tcPr>
          <w:p>
            <w:pPr>
              <w:pStyle w:val="Compact"/>
              <w:jc w:val="left"/>
            </w:pPr>
            <w:r>
              <w:rPr>
                <w:rFonts w:ascii="Calibri" w:hAnsi="Calibri"/>
                <w:sz w:val="18"/>
              </w:rPr>
              <w:t xml:space="preserve">EP01 (cierre) + EP02 (inicio)</w:t>
            </w:r>
          </w:p>
        </w:tc>
      </w:tr>
      <w:tr>
        <w:tc>
          <w:tcPr>
            <w:shd w:val="clear" w:color="auto" w:fill="FFFFFF"/>
          </w:tcPr>
          <w:p>
            <w:pPr>
              <w:pStyle w:val="Compact"/>
              <w:jc w:val="left"/>
            </w:pPr>
            <w:r>
              <w:rPr>
                <w:rFonts w:ascii="Calibri" w:hAnsi="Calibri"/>
                <w:sz w:val="18"/>
              </w:rPr>
              <w:t xml:space="preserve">Sprint 3</w:t>
            </w:r>
          </w:p>
        </w:tc>
        <w:tc>
          <w:tcPr>
            <w:shd w:val="clear" w:color="auto" w:fill="FFFFFF"/>
          </w:tcPr>
          <w:p>
            <w:pPr>
              <w:pStyle w:val="Compact"/>
              <w:jc w:val="left"/>
            </w:pPr>
            <w:r>
              <w:rPr>
                <w:rFonts w:ascii="Calibri" w:hAnsi="Calibri"/>
                <w:sz w:val="18"/>
              </w:rPr>
              <w:t xml:space="preserve">29 ene – 11 feb 2027</w:t>
            </w:r>
          </w:p>
        </w:tc>
        <w:tc>
          <w:tcPr>
            <w:shd w:val="clear" w:color="auto" w:fill="FFFFFF"/>
          </w:tcPr>
          <w:p>
            <w:pPr>
              <w:pStyle w:val="Compact"/>
              <w:jc w:val="left"/>
            </w:pPr>
            <w:r>
              <w:rPr>
                <w:rFonts w:ascii="Calibri" w:hAnsi="Calibri"/>
                <w:sz w:val="18"/>
              </w:rPr>
              <w:t xml:space="preserve">10</w:t>
            </w:r>
          </w:p>
        </w:tc>
        <w:tc>
          <w:tcPr>
            <w:shd w:val="clear" w:color="auto" w:fill="FFFFFF"/>
          </w:tcPr>
          <w:p>
            <w:pPr>
              <w:pStyle w:val="Compact"/>
              <w:jc w:val="left"/>
            </w:pPr>
            <w:r>
              <w:rPr>
                <w:rFonts w:ascii="Calibri" w:hAnsi="Calibri"/>
                <w:sz w:val="18"/>
              </w:rPr>
              <w:t xml:space="preserve">16 SP</w:t>
            </w:r>
          </w:p>
        </w:tc>
        <w:tc>
          <w:tcPr>
            <w:shd w:val="clear" w:color="auto" w:fill="FFFFFF"/>
          </w:tcPr>
          <w:p>
            <w:pPr>
              <w:pStyle w:val="Compact"/>
              <w:jc w:val="left"/>
            </w:pPr>
            <w:r>
              <w:rPr>
                <w:rFonts w:ascii="Calibri" w:hAnsi="Calibri"/>
                <w:sz w:val="18"/>
              </w:rPr>
              <w:t xml:space="preserve">EP02 (cierre) + EP03 (inicio) — H4 al cierre</w:t>
            </w:r>
          </w:p>
        </w:tc>
      </w:tr>
      <w:tr>
        <w:tc>
          <w:tcPr>
            <w:shd w:val="clear" w:color="auto" w:fill="E8E8E8"/>
          </w:tcPr>
          <w:p>
            <w:pPr>
              <w:pStyle w:val="Compact"/>
              <w:jc w:val="left"/>
            </w:pPr>
            <w:r>
              <w:rPr>
                <w:rFonts w:ascii="Calibri" w:hAnsi="Calibri"/>
                <w:sz w:val="18"/>
              </w:rPr>
              <w:t xml:space="preserve">Sprint 4</w:t>
            </w:r>
          </w:p>
        </w:tc>
        <w:tc>
          <w:tcPr>
            <w:shd w:val="clear" w:color="auto" w:fill="E8E8E8"/>
          </w:tcPr>
          <w:p>
            <w:pPr>
              <w:pStyle w:val="Compact"/>
              <w:jc w:val="left"/>
            </w:pPr>
            <w:r>
              <w:rPr>
                <w:rFonts w:ascii="Calibri" w:hAnsi="Calibri"/>
                <w:sz w:val="18"/>
              </w:rPr>
              <w:t xml:space="preserve">12 feb – 25 feb 2027</w:t>
            </w:r>
          </w:p>
        </w:tc>
        <w:tc>
          <w:tcPr>
            <w:shd w:val="clear" w:color="auto" w:fill="E8E8E8"/>
          </w:tcPr>
          <w:p>
            <w:pPr>
              <w:pStyle w:val="Compact"/>
              <w:jc w:val="left"/>
            </w:pPr>
            <w:r>
              <w:rPr>
                <w:rFonts w:ascii="Calibri" w:hAnsi="Calibri"/>
                <w:sz w:val="18"/>
              </w:rPr>
              <w:t xml:space="preserve">10</w:t>
            </w:r>
          </w:p>
        </w:tc>
        <w:tc>
          <w:tcPr>
            <w:shd w:val="clear" w:color="auto" w:fill="E8E8E8"/>
          </w:tcPr>
          <w:p>
            <w:pPr>
              <w:pStyle w:val="Compact"/>
              <w:jc w:val="left"/>
            </w:pPr>
            <w:r>
              <w:rPr>
                <w:rFonts w:ascii="Calibri" w:hAnsi="Calibri"/>
                <w:sz w:val="18"/>
              </w:rPr>
              <w:t xml:space="preserve">13 SP</w:t>
            </w:r>
          </w:p>
        </w:tc>
        <w:tc>
          <w:tcPr>
            <w:shd w:val="clear" w:color="auto" w:fill="E8E8E8"/>
          </w:tcPr>
          <w:p>
            <w:pPr>
              <w:pStyle w:val="Compact"/>
              <w:jc w:val="left"/>
            </w:pPr>
            <w:r>
              <w:rPr>
                <w:rFonts w:ascii="Calibri" w:hAnsi="Calibri"/>
                <w:sz w:val="18"/>
              </w:rPr>
              <w:t xml:space="preserve">EP03 (completa) — H5 al cierre</w:t>
            </w:r>
          </w:p>
        </w:tc>
      </w:tr>
      <w:tr>
        <w:tc>
          <w:tcPr>
            <w:shd w:val="clear" w:color="auto" w:fill="FFFFFF"/>
          </w:tcPr>
          <w:p>
            <w:pPr>
              <w:pStyle w:val="Compact"/>
              <w:jc w:val="left"/>
            </w:pPr>
            <w:r>
              <w:rPr>
                <w:rFonts w:ascii="Calibri" w:hAnsi="Calibri"/>
                <w:sz w:val="18"/>
              </w:rPr>
              <w:t xml:space="preserve">Sprint 5</w:t>
            </w:r>
          </w:p>
        </w:tc>
        <w:tc>
          <w:tcPr>
            <w:shd w:val="clear" w:color="auto" w:fill="FFFFFF"/>
          </w:tcPr>
          <w:p>
            <w:pPr>
              <w:pStyle w:val="Compact"/>
              <w:jc w:val="left"/>
            </w:pPr>
            <w:r>
              <w:rPr>
                <w:rFonts w:ascii="Calibri" w:hAnsi="Calibri"/>
                <w:sz w:val="18"/>
              </w:rPr>
              <w:t xml:space="preserve">26 feb – 11 mar 2027</w:t>
            </w:r>
          </w:p>
        </w:tc>
        <w:tc>
          <w:tcPr>
            <w:shd w:val="clear" w:color="auto" w:fill="FFFFFF"/>
          </w:tcPr>
          <w:p>
            <w:pPr>
              <w:pStyle w:val="Compact"/>
              <w:jc w:val="left"/>
            </w:pPr>
            <w:r>
              <w:rPr>
                <w:rFonts w:ascii="Calibri" w:hAnsi="Calibri"/>
                <w:sz w:val="18"/>
              </w:rPr>
              <w:t xml:space="preserve">10</w:t>
            </w:r>
          </w:p>
        </w:tc>
        <w:tc>
          <w:tcPr>
            <w:shd w:val="clear" w:color="auto" w:fill="FFFFFF"/>
          </w:tcPr>
          <w:p>
            <w:pPr>
              <w:pStyle w:val="Compact"/>
              <w:jc w:val="left"/>
            </w:pPr>
            <w:r>
              <w:rPr>
                <w:rFonts w:ascii="Calibri" w:hAnsi="Calibri"/>
                <w:sz w:val="18"/>
              </w:rPr>
              <w:t xml:space="preserve">16 SP</w:t>
            </w:r>
          </w:p>
        </w:tc>
        <w:tc>
          <w:tcPr>
            <w:shd w:val="clear" w:color="auto" w:fill="FFFFFF"/>
          </w:tcPr>
          <w:p>
            <w:pPr>
              <w:pStyle w:val="Compact"/>
              <w:jc w:val="left"/>
            </w:pPr>
            <w:r>
              <w:rPr>
                <w:rFonts w:ascii="Calibri" w:hAnsi="Calibri"/>
                <w:sz w:val="18"/>
              </w:rPr>
              <w:t xml:space="preserve">EP04 (completa)</w:t>
            </w:r>
          </w:p>
        </w:tc>
      </w:tr>
      <w:tr>
        <w:tc>
          <w:tcPr>
            <w:shd w:val="clear" w:color="auto" w:fill="E8E8E8"/>
          </w:tcPr>
          <w:p>
            <w:pPr>
              <w:pStyle w:val="Compact"/>
              <w:jc w:val="left"/>
            </w:pPr>
            <w:r>
              <w:rPr>
                <w:rFonts w:ascii="Calibri" w:hAnsi="Calibri"/>
                <w:sz w:val="18"/>
              </w:rPr>
              <w:t xml:space="preserve">Sprint 6</w:t>
            </w:r>
          </w:p>
        </w:tc>
        <w:tc>
          <w:tcPr>
            <w:shd w:val="clear" w:color="auto" w:fill="E8E8E8"/>
          </w:tcPr>
          <w:p>
            <w:pPr>
              <w:pStyle w:val="Compact"/>
              <w:jc w:val="left"/>
            </w:pPr>
            <w:r>
              <w:rPr>
                <w:rFonts w:ascii="Calibri" w:hAnsi="Calibri"/>
                <w:sz w:val="18"/>
              </w:rPr>
              <w:t xml:space="preserve">12 mar – 25 mar 2027</w:t>
            </w:r>
          </w:p>
        </w:tc>
        <w:tc>
          <w:tcPr>
            <w:shd w:val="clear" w:color="auto" w:fill="E8E8E8"/>
          </w:tcPr>
          <w:p>
            <w:pPr>
              <w:pStyle w:val="Compact"/>
              <w:jc w:val="left"/>
            </w:pPr>
            <w:r>
              <w:rPr>
                <w:rFonts w:ascii="Calibri" w:hAnsi="Calibri"/>
                <w:sz w:val="18"/>
              </w:rPr>
              <w:t xml:space="preserve">10</w:t>
            </w:r>
          </w:p>
        </w:tc>
        <w:tc>
          <w:tcPr>
            <w:shd w:val="clear" w:color="auto" w:fill="E8E8E8"/>
          </w:tcPr>
          <w:p>
            <w:pPr>
              <w:pStyle w:val="Compact"/>
              <w:jc w:val="left"/>
            </w:pPr>
            <w:r>
              <w:rPr>
                <w:rFonts w:ascii="Calibri" w:hAnsi="Calibri"/>
                <w:sz w:val="18"/>
              </w:rPr>
              <w:t xml:space="preserve">13 SP</w:t>
            </w:r>
          </w:p>
        </w:tc>
        <w:tc>
          <w:tcPr>
            <w:shd w:val="clear" w:color="auto" w:fill="E8E8E8"/>
          </w:tcPr>
          <w:p>
            <w:pPr>
              <w:pStyle w:val="Compact"/>
              <w:jc w:val="left"/>
            </w:pPr>
            <w:r>
              <w:rPr>
                <w:rFonts w:ascii="Calibri" w:hAnsi="Calibri"/>
                <w:sz w:val="18"/>
              </w:rPr>
              <w:t xml:space="preserve">EP05 (inicio)</w:t>
            </w:r>
          </w:p>
        </w:tc>
      </w:tr>
      <w:tr>
        <w:tc>
          <w:tcPr>
            <w:shd w:val="clear" w:color="auto" w:fill="FFFFFF"/>
          </w:tcPr>
          <w:p>
            <w:pPr>
              <w:pStyle w:val="Compact"/>
              <w:jc w:val="left"/>
            </w:pPr>
            <w:r>
              <w:rPr>
                <w:rFonts w:ascii="Calibri" w:hAnsi="Calibri"/>
                <w:sz w:val="18"/>
              </w:rPr>
              <w:t xml:space="preserve">Sprint 7</w:t>
            </w:r>
          </w:p>
        </w:tc>
        <w:tc>
          <w:tcPr>
            <w:shd w:val="clear" w:color="auto" w:fill="FFFFFF"/>
          </w:tcPr>
          <w:p>
            <w:pPr>
              <w:pStyle w:val="Compact"/>
              <w:jc w:val="left"/>
            </w:pPr>
            <w:r>
              <w:rPr>
                <w:rFonts w:ascii="Calibri" w:hAnsi="Calibri"/>
                <w:sz w:val="18"/>
              </w:rPr>
              <w:t xml:space="preserve">26 mar – 8 abr 2027</w:t>
            </w:r>
          </w:p>
        </w:tc>
        <w:tc>
          <w:tcPr>
            <w:shd w:val="clear" w:color="auto" w:fill="FFFFFF"/>
          </w:tcPr>
          <w:p>
            <w:pPr>
              <w:pStyle w:val="Compact"/>
              <w:jc w:val="left"/>
            </w:pPr>
            <w:r>
              <w:rPr>
                <w:rFonts w:ascii="Calibri" w:hAnsi="Calibri"/>
                <w:sz w:val="18"/>
              </w:rPr>
              <w:t xml:space="preserve">10</w:t>
            </w:r>
          </w:p>
        </w:tc>
        <w:tc>
          <w:tcPr>
            <w:shd w:val="clear" w:color="auto" w:fill="FFFFFF"/>
          </w:tcPr>
          <w:p>
            <w:pPr>
              <w:pStyle w:val="Compact"/>
              <w:jc w:val="left"/>
            </w:pPr>
            <w:r>
              <w:rPr>
                <w:rFonts w:ascii="Calibri" w:hAnsi="Calibri"/>
                <w:sz w:val="18"/>
              </w:rPr>
              <w:t xml:space="preserve">16 SP</w:t>
            </w:r>
          </w:p>
        </w:tc>
        <w:tc>
          <w:tcPr>
            <w:shd w:val="clear" w:color="auto" w:fill="FFFFFF"/>
          </w:tcPr>
          <w:p>
            <w:pPr>
              <w:pStyle w:val="Compact"/>
              <w:jc w:val="left"/>
            </w:pPr>
            <w:r>
              <w:rPr>
                <w:rFonts w:ascii="Calibri" w:hAnsi="Calibri"/>
                <w:sz w:val="18"/>
              </w:rPr>
              <w:t xml:space="preserve">EP05 (cierre) + EP06 (inicio) — H6 al cierre</w:t>
            </w:r>
          </w:p>
        </w:tc>
      </w:tr>
      <w:tr>
        <w:tc>
          <w:tcPr>
            <w:shd w:val="clear" w:color="auto" w:fill="E8E8E8"/>
          </w:tcPr>
          <w:p>
            <w:pPr>
              <w:pStyle w:val="Compact"/>
              <w:jc w:val="left"/>
            </w:pPr>
            <w:r>
              <w:rPr>
                <w:rFonts w:ascii="Calibri" w:hAnsi="Calibri"/>
                <w:sz w:val="18"/>
              </w:rPr>
              <w:t xml:space="preserve">Sprint 8</w:t>
            </w:r>
          </w:p>
        </w:tc>
        <w:tc>
          <w:tcPr>
            <w:shd w:val="clear" w:color="auto" w:fill="E8E8E8"/>
          </w:tcPr>
          <w:p>
            <w:pPr>
              <w:pStyle w:val="Compact"/>
              <w:jc w:val="left"/>
            </w:pPr>
            <w:r>
              <w:rPr>
                <w:rFonts w:ascii="Calibri" w:hAnsi="Calibri"/>
                <w:sz w:val="18"/>
              </w:rPr>
              <w:t xml:space="preserve">9 abr – 22 abr 2027</w:t>
            </w:r>
          </w:p>
        </w:tc>
        <w:tc>
          <w:tcPr>
            <w:shd w:val="clear" w:color="auto" w:fill="E8E8E8"/>
          </w:tcPr>
          <w:p>
            <w:pPr>
              <w:pStyle w:val="Compact"/>
              <w:jc w:val="left"/>
            </w:pPr>
            <w:r>
              <w:rPr>
                <w:rFonts w:ascii="Calibri" w:hAnsi="Calibri"/>
                <w:sz w:val="18"/>
              </w:rPr>
              <w:t xml:space="preserve">10</w:t>
            </w:r>
          </w:p>
        </w:tc>
        <w:tc>
          <w:tcPr>
            <w:shd w:val="clear" w:color="auto" w:fill="E8E8E8"/>
          </w:tcPr>
          <w:p>
            <w:pPr>
              <w:pStyle w:val="Compact"/>
              <w:jc w:val="left"/>
            </w:pPr>
            <w:r>
              <w:rPr>
                <w:rFonts w:ascii="Calibri" w:hAnsi="Calibri"/>
                <w:sz w:val="18"/>
              </w:rPr>
              <w:t xml:space="preserve">19 SP</w:t>
            </w:r>
          </w:p>
        </w:tc>
        <w:tc>
          <w:tcPr>
            <w:shd w:val="clear" w:color="auto" w:fill="E8E8E8"/>
          </w:tcPr>
          <w:p>
            <w:pPr>
              <w:pStyle w:val="Compact"/>
              <w:jc w:val="left"/>
            </w:pPr>
            <w:r>
              <w:rPr>
                <w:rFonts w:ascii="Calibri" w:hAnsi="Calibri"/>
                <w:sz w:val="18"/>
              </w:rPr>
              <w:t xml:space="preserve">EP06 (holgura + MVP) — H7 al cierre</w:t>
            </w:r>
          </w:p>
        </w:tc>
      </w:tr>
      <w:tr>
        <w:tc>
          <w:tcPr>
            <w:shd w:val="clear" w:color="auto" w:fill="FFFFFF"/>
          </w:tcPr>
          <w:p>
            <w:pPr>
              <w:pStyle w:val="Compact"/>
              <w:jc w:val="left"/>
            </w:pPr>
            <w:r>
              <w:rPr>
                <w:rFonts w:ascii="Calibri" w:hAnsi="Calibri"/>
                <w:b/>
                <w:sz w:val="18"/>
              </w:rPr>
              <w:t xml:space="preserve">Total</w:t>
            </w:r>
          </w:p>
        </w:tc>
        <w:tc>
          <w:tcPr>
            <w:shd w:val="clear" w:color="auto" w:fill="FFFFFF"/>
          </w:tcPr>
          <w:p>
            <w:pPr>
              <w:pStyle w:val="Compact"/>
              <w:jc w:val="left"/>
            </w:pPr>
            <w:r>
              <w:rPr>
                <w:rFonts w:ascii="Calibri" w:hAnsi="Calibri"/>
                <w:b/>
                <w:sz w:val="18"/>
              </w:rPr>
              <w:t xml:space="preserve">1 ene – 22 abr 2027</w:t>
            </w:r>
          </w:p>
        </w:tc>
        <w:tc>
          <w:tcPr>
            <w:shd w:val="clear" w:color="auto" w:fill="FFFFFF"/>
          </w:tcPr>
          <w:p>
            <w:pPr>
              <w:pStyle w:val="Compact"/>
              <w:jc w:val="left"/>
            </w:pPr>
            <w:r>
              <w:rPr>
                <w:rFonts w:ascii="Calibri" w:hAnsi="Calibri"/>
                <w:b/>
                <w:sz w:val="18"/>
              </w:rPr>
              <w:t xml:space="preserve">80</w:t>
            </w:r>
          </w:p>
        </w:tc>
        <w:tc>
          <w:tcPr>
            <w:shd w:val="clear" w:color="auto" w:fill="FFFFFF"/>
          </w:tcPr>
          <w:p>
            <w:pPr>
              <w:pStyle w:val="Compact"/>
              <w:jc w:val="left"/>
            </w:pPr>
            <w:r>
              <w:rPr>
                <w:rFonts w:ascii="Calibri" w:hAnsi="Calibri"/>
                <w:b/>
                <w:sz w:val="18"/>
              </w:rPr>
              <w:t xml:space="preserve">121 SP</w:t>
            </w:r>
          </w:p>
        </w:tc>
        <w:tc>
          <w:tcPr>
            <w:shd w:val="clear" w:color="auto" w:fill="FFFFFF"/>
          </w:tcPr>
          <w:p>
            <w:pPr>
              <w:pStyle w:val="Compact"/>
              <w:jc w:val="left"/>
            </w:pPr>
            <w:r>
              <w:rPr>
                <w:rFonts w:ascii="Calibri" w:hAnsi="Calibri"/>
                <w:b/>
                <w:sz w:val="18"/>
              </w:rPr>
              <w:t xml:space="preserve">EP01 – EP06</w:t>
            </w:r>
          </w:p>
        </w:tc>
      </w:tr>
    </w:tbl>
    <w:p>
      <w:pPr>
        <w:pStyle w:val="Heading3"/>
      </w:pPr>
      <w:bookmarkStart w:id="24" w:name="distribución-de-story-points-por-sprint"/>
      <w:r>
        <w:t xml:space="preserve">Distribución de story points por sprint</w:t>
      </w:r>
      <w:bookmarkEnd w:id="24"/>
    </w:p>
    <w:tbl>
      <w:tblPr>
        <w:tblStyle w:val="Table"/>
        <w:tblW w:type="pct" w:w="0.0"/>
        <w:tblLook w:firstRow="1"/>
        <w:tblBorders>
          <w:top w:val="single" w:sz="4" w:space="0" w:color="0E6251"/>
          <w:left w:val="single" w:sz="4" w:space="0" w:color="0E6251"/>
          <w:bottom w:val="single" w:sz="4" w:space="0" w:color="0E6251"/>
          <w:right w:val="single" w:sz="4" w:space="0" w:color="0E6251"/>
          <w:insideH w:val="single" w:sz="4" w:space="0" w:color="0E6251"/>
          <w:insideV w:val="single" w:sz="4" w:space="0" w:color="0E6251"/>
        </w:tblBorders>
      </w:tblPr>
      <w:tblGrid/>
      <w:tr>
        <w:trPr>
          <w:cnfStyle w:firstRow="1"/>
        </w:trPr>
        <w:tc>
          <w:tcPr>
            <w:tcBorders>
              <w:bottom w:val="single"/>
            </w:tcBorders>
            <w:vAlign w:val="bottom"/>
            <w:shd w:val="clear" w:color="auto" w:fill="0E2841"/>
          </w:tcPr>
          <w:p>
            <w:pPr>
              <w:pStyle w:val="Compact"/>
              <w:jc w:val="left"/>
            </w:pPr>
            <w:r>
              <w:rPr>
                <w:rFonts w:ascii="Calibri" w:hAnsi="Calibri"/>
                <w:b/>
                <w:color w:val="FFFFFF"/>
                <w:sz w:val="18"/>
              </w:rPr>
              <w:t xml:space="preserve">Sprint</w:t>
            </w:r>
          </w:p>
        </w:tc>
        <w:tc>
          <w:tcPr>
            <w:tcBorders>
              <w:bottom w:val="single"/>
            </w:tcBorders>
            <w:vAlign w:val="bottom"/>
            <w:shd w:val="clear" w:color="auto" w:fill="0E2841"/>
          </w:tcPr>
          <w:p>
            <w:pPr>
              <w:pStyle w:val="Compact"/>
              <w:jc w:val="left"/>
            </w:pPr>
            <w:r>
              <w:rPr>
                <w:rFonts w:ascii="Calibri" w:hAnsi="Calibri"/>
                <w:b/>
                <w:color w:val="FFFFFF"/>
                <w:sz w:val="18"/>
              </w:rPr>
              <w:t xml:space="preserve">SP planificados</w:t>
            </w:r>
          </w:p>
        </w:tc>
        <w:tc>
          <w:tcPr>
            <w:tcBorders>
              <w:bottom w:val="single"/>
            </w:tcBorders>
            <w:vAlign w:val="bottom"/>
            <w:shd w:val="clear" w:color="auto" w:fill="0E2841"/>
          </w:tcPr>
          <w:p>
            <w:pPr>
              <w:pStyle w:val="Compact"/>
              <w:jc w:val="left"/>
            </w:pPr>
            <w:r>
              <w:rPr>
                <w:rFonts w:ascii="Calibri" w:hAnsi="Calibri"/>
                <w:b/>
                <w:color w:val="FFFFFF"/>
                <w:sz w:val="18"/>
              </w:rPr>
              <w:t xml:space="preserve">% del total</w:t>
            </w:r>
          </w:p>
        </w:tc>
      </w:tr>
      <w:tr>
        <w:tc>
          <w:tcPr>
            <w:shd w:val="clear" w:color="auto" w:fill="FFFFFF"/>
          </w:tcPr>
          <w:p>
            <w:pPr>
              <w:pStyle w:val="Compact"/>
              <w:jc w:val="left"/>
            </w:pPr>
            <w:r>
              <w:rPr>
                <w:rFonts w:ascii="Calibri" w:hAnsi="Calibri"/>
                <w:sz w:val="18"/>
              </w:rPr>
              <w:t xml:space="preserve">Sprint 1</w:t>
            </w:r>
          </w:p>
        </w:tc>
        <w:tc>
          <w:tcPr>
            <w:shd w:val="clear" w:color="auto" w:fill="FFFFFF"/>
          </w:tcPr>
          <w:p>
            <w:pPr>
              <w:pStyle w:val="Compact"/>
              <w:jc w:val="left"/>
            </w:pPr>
            <w:r>
              <w:rPr>
                <w:rFonts w:ascii="Calibri" w:hAnsi="Calibri"/>
                <w:sz w:val="18"/>
              </w:rPr>
              <w:t xml:space="preserve">13</w:t>
            </w:r>
          </w:p>
        </w:tc>
        <w:tc>
          <w:tcPr>
            <w:shd w:val="clear" w:color="auto" w:fill="FFFFFF"/>
          </w:tcPr>
          <w:p>
            <w:pPr>
              <w:pStyle w:val="Compact"/>
              <w:jc w:val="left"/>
            </w:pPr>
            <w:r>
              <w:rPr>
                <w:rFonts w:ascii="Calibri" w:hAnsi="Calibri"/>
                <w:sz w:val="18"/>
              </w:rPr>
              <w:t xml:space="preserve">10.7%</w:t>
            </w:r>
          </w:p>
        </w:tc>
      </w:tr>
      <w:tr>
        <w:tc>
          <w:tcPr>
            <w:shd w:val="clear" w:color="auto" w:fill="E8E8E8"/>
          </w:tcPr>
          <w:p>
            <w:pPr>
              <w:pStyle w:val="Compact"/>
              <w:jc w:val="left"/>
            </w:pPr>
            <w:r>
              <w:rPr>
                <w:rFonts w:ascii="Calibri" w:hAnsi="Calibri"/>
                <w:sz w:val="18"/>
              </w:rPr>
              <w:t xml:space="preserve">Sprint 2</w:t>
            </w:r>
          </w:p>
        </w:tc>
        <w:tc>
          <w:tcPr>
            <w:shd w:val="clear" w:color="auto" w:fill="E8E8E8"/>
          </w:tcPr>
          <w:p>
            <w:pPr>
              <w:pStyle w:val="Compact"/>
              <w:jc w:val="left"/>
            </w:pPr>
            <w:r>
              <w:rPr>
                <w:rFonts w:ascii="Calibri" w:hAnsi="Calibri"/>
                <w:sz w:val="18"/>
              </w:rPr>
              <w:t xml:space="preserve">15</w:t>
            </w:r>
          </w:p>
        </w:tc>
        <w:tc>
          <w:tcPr>
            <w:shd w:val="clear" w:color="auto" w:fill="E8E8E8"/>
          </w:tcPr>
          <w:p>
            <w:pPr>
              <w:pStyle w:val="Compact"/>
              <w:jc w:val="left"/>
            </w:pPr>
            <w:r>
              <w:rPr>
                <w:rFonts w:ascii="Calibri" w:hAnsi="Calibri"/>
                <w:sz w:val="18"/>
              </w:rPr>
              <w:t xml:space="preserve">12.4%</w:t>
            </w:r>
          </w:p>
        </w:tc>
      </w:tr>
      <w:tr>
        <w:tc>
          <w:tcPr>
            <w:shd w:val="clear" w:color="auto" w:fill="FFFFFF"/>
          </w:tcPr>
          <w:p>
            <w:pPr>
              <w:pStyle w:val="Compact"/>
              <w:jc w:val="left"/>
            </w:pPr>
            <w:r>
              <w:rPr>
                <w:rFonts w:ascii="Calibri" w:hAnsi="Calibri"/>
                <w:sz w:val="18"/>
              </w:rPr>
              <w:t xml:space="preserve">Sprint 3</w:t>
            </w:r>
          </w:p>
        </w:tc>
        <w:tc>
          <w:tcPr>
            <w:shd w:val="clear" w:color="auto" w:fill="FFFFFF"/>
          </w:tcPr>
          <w:p>
            <w:pPr>
              <w:pStyle w:val="Compact"/>
              <w:jc w:val="left"/>
            </w:pPr>
            <w:r>
              <w:rPr>
                <w:rFonts w:ascii="Calibri" w:hAnsi="Calibri"/>
                <w:sz w:val="18"/>
              </w:rPr>
              <w:t xml:space="preserve">16</w:t>
            </w:r>
          </w:p>
        </w:tc>
        <w:tc>
          <w:tcPr>
            <w:shd w:val="clear" w:color="auto" w:fill="FFFFFF"/>
          </w:tcPr>
          <w:p>
            <w:pPr>
              <w:pStyle w:val="Compact"/>
              <w:jc w:val="left"/>
            </w:pPr>
            <w:r>
              <w:rPr>
                <w:rFonts w:ascii="Calibri" w:hAnsi="Calibri"/>
                <w:sz w:val="18"/>
              </w:rPr>
              <w:t xml:space="preserve">13.2%</w:t>
            </w:r>
          </w:p>
        </w:tc>
      </w:tr>
      <w:tr>
        <w:tc>
          <w:tcPr>
            <w:shd w:val="clear" w:color="auto" w:fill="E8E8E8"/>
          </w:tcPr>
          <w:p>
            <w:pPr>
              <w:pStyle w:val="Compact"/>
              <w:jc w:val="left"/>
            </w:pPr>
            <w:r>
              <w:rPr>
                <w:rFonts w:ascii="Calibri" w:hAnsi="Calibri"/>
                <w:sz w:val="18"/>
              </w:rPr>
              <w:t xml:space="preserve">Sprint 4</w:t>
            </w:r>
          </w:p>
        </w:tc>
        <w:tc>
          <w:tcPr>
            <w:shd w:val="clear" w:color="auto" w:fill="E8E8E8"/>
          </w:tcPr>
          <w:p>
            <w:pPr>
              <w:pStyle w:val="Compact"/>
              <w:jc w:val="left"/>
            </w:pPr>
            <w:r>
              <w:rPr>
                <w:rFonts w:ascii="Calibri" w:hAnsi="Calibri"/>
                <w:sz w:val="18"/>
              </w:rPr>
              <w:t xml:space="preserve">13</w:t>
            </w:r>
          </w:p>
        </w:tc>
        <w:tc>
          <w:tcPr>
            <w:shd w:val="clear" w:color="auto" w:fill="E8E8E8"/>
          </w:tcPr>
          <w:p>
            <w:pPr>
              <w:pStyle w:val="Compact"/>
              <w:jc w:val="left"/>
            </w:pPr>
            <w:r>
              <w:rPr>
                <w:rFonts w:ascii="Calibri" w:hAnsi="Calibri"/>
                <w:sz w:val="18"/>
              </w:rPr>
              <w:t xml:space="preserve">10.7%</w:t>
            </w:r>
          </w:p>
        </w:tc>
      </w:tr>
      <w:tr>
        <w:tc>
          <w:tcPr>
            <w:shd w:val="clear" w:color="auto" w:fill="FFFFFF"/>
          </w:tcPr>
          <w:p>
            <w:pPr>
              <w:pStyle w:val="Compact"/>
              <w:jc w:val="left"/>
            </w:pPr>
            <w:r>
              <w:rPr>
                <w:rFonts w:ascii="Calibri" w:hAnsi="Calibri"/>
                <w:sz w:val="18"/>
              </w:rPr>
              <w:t xml:space="preserve">Sprint 5</w:t>
            </w:r>
          </w:p>
        </w:tc>
        <w:tc>
          <w:tcPr>
            <w:shd w:val="clear" w:color="auto" w:fill="FFFFFF"/>
          </w:tcPr>
          <w:p>
            <w:pPr>
              <w:pStyle w:val="Compact"/>
              <w:jc w:val="left"/>
            </w:pPr>
            <w:r>
              <w:rPr>
                <w:rFonts w:ascii="Calibri" w:hAnsi="Calibri"/>
                <w:sz w:val="18"/>
              </w:rPr>
              <w:t xml:space="preserve">16</w:t>
            </w:r>
          </w:p>
        </w:tc>
        <w:tc>
          <w:tcPr>
            <w:shd w:val="clear" w:color="auto" w:fill="FFFFFF"/>
          </w:tcPr>
          <w:p>
            <w:pPr>
              <w:pStyle w:val="Compact"/>
              <w:jc w:val="left"/>
            </w:pPr>
            <w:r>
              <w:rPr>
                <w:rFonts w:ascii="Calibri" w:hAnsi="Calibri"/>
                <w:sz w:val="18"/>
              </w:rPr>
              <w:t xml:space="preserve">13.2%</w:t>
            </w:r>
          </w:p>
        </w:tc>
      </w:tr>
      <w:tr>
        <w:tc>
          <w:tcPr>
            <w:shd w:val="clear" w:color="auto" w:fill="E8E8E8"/>
          </w:tcPr>
          <w:p>
            <w:pPr>
              <w:pStyle w:val="Compact"/>
              <w:jc w:val="left"/>
            </w:pPr>
            <w:r>
              <w:rPr>
                <w:rFonts w:ascii="Calibri" w:hAnsi="Calibri"/>
                <w:sz w:val="18"/>
              </w:rPr>
              <w:t xml:space="preserve">Sprint 6</w:t>
            </w:r>
          </w:p>
        </w:tc>
        <w:tc>
          <w:tcPr>
            <w:shd w:val="clear" w:color="auto" w:fill="E8E8E8"/>
          </w:tcPr>
          <w:p>
            <w:pPr>
              <w:pStyle w:val="Compact"/>
              <w:jc w:val="left"/>
            </w:pPr>
            <w:r>
              <w:rPr>
                <w:rFonts w:ascii="Calibri" w:hAnsi="Calibri"/>
                <w:sz w:val="18"/>
              </w:rPr>
              <w:t xml:space="preserve">13</w:t>
            </w:r>
          </w:p>
        </w:tc>
        <w:tc>
          <w:tcPr>
            <w:shd w:val="clear" w:color="auto" w:fill="E8E8E8"/>
          </w:tcPr>
          <w:p>
            <w:pPr>
              <w:pStyle w:val="Compact"/>
              <w:jc w:val="left"/>
            </w:pPr>
            <w:r>
              <w:rPr>
                <w:rFonts w:ascii="Calibri" w:hAnsi="Calibri"/>
                <w:sz w:val="18"/>
              </w:rPr>
              <w:t xml:space="preserve">10.7%</w:t>
            </w:r>
          </w:p>
        </w:tc>
      </w:tr>
      <w:tr>
        <w:tc>
          <w:tcPr>
            <w:shd w:val="clear" w:color="auto" w:fill="FFFFFF"/>
          </w:tcPr>
          <w:p>
            <w:pPr>
              <w:pStyle w:val="Compact"/>
              <w:jc w:val="left"/>
            </w:pPr>
            <w:r>
              <w:rPr>
                <w:rFonts w:ascii="Calibri" w:hAnsi="Calibri"/>
                <w:sz w:val="18"/>
              </w:rPr>
              <w:t xml:space="preserve">Sprint 7</w:t>
            </w:r>
          </w:p>
        </w:tc>
        <w:tc>
          <w:tcPr>
            <w:shd w:val="clear" w:color="auto" w:fill="FFFFFF"/>
          </w:tcPr>
          <w:p>
            <w:pPr>
              <w:pStyle w:val="Compact"/>
              <w:jc w:val="left"/>
            </w:pPr>
            <w:r>
              <w:rPr>
                <w:rFonts w:ascii="Calibri" w:hAnsi="Calibri"/>
                <w:sz w:val="18"/>
              </w:rPr>
              <w:t xml:space="preserve">16</w:t>
            </w:r>
          </w:p>
        </w:tc>
        <w:tc>
          <w:tcPr>
            <w:shd w:val="clear" w:color="auto" w:fill="FFFFFF"/>
          </w:tcPr>
          <w:p>
            <w:pPr>
              <w:pStyle w:val="Compact"/>
              <w:jc w:val="left"/>
            </w:pPr>
            <w:r>
              <w:rPr>
                <w:rFonts w:ascii="Calibri" w:hAnsi="Calibri"/>
                <w:sz w:val="18"/>
              </w:rPr>
              <w:t xml:space="preserve">13.2%</w:t>
            </w:r>
          </w:p>
        </w:tc>
      </w:tr>
      <w:tr>
        <w:tc>
          <w:tcPr>
            <w:shd w:val="clear" w:color="auto" w:fill="E8E8E8"/>
          </w:tcPr>
          <w:p>
            <w:pPr>
              <w:pStyle w:val="Compact"/>
              <w:jc w:val="left"/>
            </w:pPr>
            <w:r>
              <w:rPr>
                <w:rFonts w:ascii="Calibri" w:hAnsi="Calibri"/>
                <w:sz w:val="18"/>
              </w:rPr>
              <w:t xml:space="preserve">Sprint 8</w:t>
            </w:r>
          </w:p>
        </w:tc>
        <w:tc>
          <w:tcPr>
            <w:shd w:val="clear" w:color="auto" w:fill="E8E8E8"/>
          </w:tcPr>
          <w:p>
            <w:pPr>
              <w:pStyle w:val="Compact"/>
              <w:jc w:val="left"/>
            </w:pPr>
            <w:r>
              <w:rPr>
                <w:rFonts w:ascii="Calibri" w:hAnsi="Calibri"/>
                <w:sz w:val="18"/>
              </w:rPr>
              <w:t xml:space="preserve">19</w:t>
            </w:r>
          </w:p>
        </w:tc>
        <w:tc>
          <w:tcPr>
            <w:shd w:val="clear" w:color="auto" w:fill="E8E8E8"/>
          </w:tcPr>
          <w:p>
            <w:pPr>
              <w:pStyle w:val="Compact"/>
              <w:jc w:val="left"/>
            </w:pPr>
            <w:r>
              <w:rPr>
                <w:rFonts w:ascii="Calibri" w:hAnsi="Calibri"/>
                <w:sz w:val="18"/>
              </w:rPr>
              <w:t xml:space="preserve">15.7%</w:t>
            </w:r>
          </w:p>
        </w:tc>
      </w:tr>
      <w:tr>
        <w:tc>
          <w:tcPr>
            <w:shd w:val="clear" w:color="auto" w:fill="FFFFFF"/>
          </w:tcPr>
          <w:p>
            <w:pPr>
              <w:pStyle w:val="Compact"/>
              <w:jc w:val="left"/>
            </w:pPr>
            <w:r>
              <w:rPr>
                <w:rFonts w:ascii="Calibri" w:hAnsi="Calibri"/>
                <w:b/>
                <w:sz w:val="18"/>
              </w:rPr>
              <w:t xml:space="preserve">Total</w:t>
            </w:r>
          </w:p>
        </w:tc>
        <w:tc>
          <w:tcPr>
            <w:shd w:val="clear" w:color="auto" w:fill="FFFFFF"/>
          </w:tcPr>
          <w:p>
            <w:pPr>
              <w:pStyle w:val="Compact"/>
              <w:jc w:val="left"/>
            </w:pPr>
            <w:r>
              <w:rPr>
                <w:rFonts w:ascii="Calibri" w:hAnsi="Calibri"/>
                <w:b/>
                <w:sz w:val="18"/>
              </w:rPr>
              <w:t xml:space="preserve">121</w:t>
            </w:r>
          </w:p>
        </w:tc>
        <w:tc>
          <w:tcPr>
            <w:shd w:val="clear" w:color="auto" w:fill="FFFFFF"/>
          </w:tcPr>
          <w:p>
            <w:pPr>
              <w:pStyle w:val="Compact"/>
              <w:jc w:val="left"/>
            </w:pPr>
            <w:r>
              <w:rPr>
                <w:rFonts w:ascii="Calibri" w:hAnsi="Calibri"/>
                <w:b/>
                <w:sz w:val="18"/>
              </w:rPr>
              <w:t xml:space="preserve">100%</w:t>
            </w:r>
          </w:p>
        </w:tc>
      </w:tr>
    </w:tbl>
    <w:p>
      <w:pPr>
        <w:pStyle w:val="Heading2"/>
      </w:pPr>
      <w:bookmarkStart w:id="25" w:name="X8f6540e91312cb0469faeaa64bc4c14d19a2825"/>
      <w:r>
        <w:t xml:space="preserve">El buffer del 25% como parte del cronograma planificado</w:t>
      </w:r>
      <w:bookmarkEnd w:id="25"/>
    </w:p>
    <w:p>
      <w:pPr>
        <w:pStyle w:val="FirstParagraph"/>
      </w:pPr>
      <w:r>
        <w:t xml:space="preserve">El sprint 8 funciona como sprint de holgura planificada. Esta reserva de capacidad equivale aproximadamente al 10% del tiempo total de ejecución (1 sprint de 8 planificados con capacidad ampliada de 19 SP, absorbiendo el rol de holgura y MVP/Acta de Cierre).</w:t>
      </w:r>
    </w:p>
    <w:p>
      <w:pPr>
        <w:pStyle w:val="BodyText"/>
      </w:pPr>
      <w:r>
        <w:rPr>
          <w:b/>
        </w:rPr>
        <w:t xml:space="preserve">El buffer es parte del cronograma, no un error de estimación.</w:t>
      </w:r>
      <w:r>
        <w:t xml:space="preserve"> </w:t>
      </w:r>
      <w:r>
        <w:t xml:space="preserve">Se incluye deliberadamente para absorber desviaciones previsibles identificadas durante la planificación de riesgos.</w:t>
      </w:r>
    </w:p>
    <w:p>
      <w:pPr>
        <w:pStyle w:val="Heading3"/>
      </w:pPr>
      <w:bookmarkStart w:id="26" w:name="qué-absorben-los-sprints-de-holgura"/>
      <w:r>
        <w:t xml:space="preserve">Qué absorben los sprints de holgura</w:t>
      </w:r>
      <w:bookmarkEnd w:id="26"/>
    </w:p>
    <w:tbl>
      <w:tblPr>
        <w:tblStyle w:val="Table"/>
        <w:tblW w:type="pct" w:w="5000.0"/>
        <w:tblLook w:firstRow="1"/>
        <w:tblBorders>
          <w:top w:val="single" w:sz="4" w:space="0" w:color="0E6251"/>
          <w:left w:val="single" w:sz="4" w:space="0" w:color="0E6251"/>
          <w:bottom w:val="single" w:sz="4" w:space="0" w:color="0E6251"/>
          <w:right w:val="single" w:sz="4" w:space="0" w:color="0E6251"/>
          <w:insideH w:val="single" w:sz="4" w:space="0" w:color="0E6251"/>
          <w:insideV w:val="single" w:sz="4" w:space="0" w:color="0E6251"/>
        </w:tblBorders>
      </w:tblPr>
      <w:tblGrid>
        <w:gridCol w:w="2640"/>
        <w:gridCol w:w="2640"/>
        <w:gridCol w:w="2640"/>
      </w:tblGrid>
      <w:tr>
        <w:trPr>
          <w:cnfStyle w:firstRow="1"/>
        </w:trPr>
        <w:tc>
          <w:tcPr>
            <w:tcBorders>
              <w:bottom w:val="single"/>
            </w:tcBorders>
            <w:vAlign w:val="bottom"/>
            <w:shd w:val="clear" w:color="auto" w:fill="0E2841"/>
          </w:tcPr>
          <w:p>
            <w:pPr>
              <w:pStyle w:val="Compact"/>
              <w:jc w:val="left"/>
            </w:pPr>
            <w:r>
              <w:rPr>
                <w:rFonts w:ascii="Calibri" w:hAnsi="Calibri"/>
                <w:b/>
                <w:color w:val="FFFFFF"/>
                <w:sz w:val="18"/>
              </w:rPr>
              <w:t xml:space="preserve">Riesgo</w:t>
            </w:r>
          </w:p>
        </w:tc>
        <w:tc>
          <w:tcPr>
            <w:tcBorders>
              <w:bottom w:val="single"/>
            </w:tcBorders>
            <w:vAlign w:val="bottom"/>
            <w:shd w:val="clear" w:color="auto" w:fill="0E2841"/>
          </w:tcPr>
          <w:p>
            <w:pPr>
              <w:pStyle w:val="Compact"/>
              <w:jc w:val="left"/>
            </w:pPr>
            <w:r>
              <w:rPr>
                <w:rFonts w:ascii="Calibri" w:hAnsi="Calibri"/>
                <w:b/>
                <w:color w:val="FFFFFF"/>
                <w:sz w:val="18"/>
              </w:rPr>
              <w:t xml:space="preserve">Descripción</w:t>
            </w:r>
          </w:p>
        </w:tc>
        <w:tc>
          <w:tcPr>
            <w:tcBorders>
              <w:bottom w:val="single"/>
            </w:tcBorders>
            <w:vAlign w:val="bottom"/>
            <w:shd w:val="clear" w:color="auto" w:fill="0E2841"/>
          </w:tcPr>
          <w:p>
            <w:pPr>
              <w:pStyle w:val="Compact"/>
              <w:jc w:val="left"/>
            </w:pPr>
            <w:r>
              <w:rPr>
                <w:rFonts w:ascii="Calibri" w:hAnsi="Calibri"/>
                <w:b/>
                <w:color w:val="FFFFFF"/>
                <w:sz w:val="18"/>
              </w:rPr>
              <w:t xml:space="preserve">Cómo lo absorbe el buffer</w:t>
            </w:r>
          </w:p>
        </w:tc>
      </w:tr>
      <w:tr>
        <w:tc>
          <w:tcPr>
            <w:shd w:val="clear" w:color="auto" w:fill="FFFFFF"/>
          </w:tcPr>
          <w:p>
            <w:pPr>
              <w:pStyle w:val="Compact"/>
              <w:jc w:val="left"/>
            </w:pPr>
            <w:r>
              <w:rPr>
                <w:rFonts w:ascii="Calibri" w:hAnsi="Calibri"/>
                <w:sz w:val="18"/>
              </w:rPr>
              <w:t xml:space="preserve">R1</w:t>
            </w:r>
          </w:p>
        </w:tc>
        <w:tc>
          <w:tcPr>
            <w:shd w:val="clear" w:color="auto" w:fill="FFFFFF"/>
          </w:tcPr>
          <w:p>
            <w:pPr>
              <w:pStyle w:val="Compact"/>
              <w:jc w:val="left"/>
            </w:pPr>
            <w:r>
              <w:rPr>
                <w:rFonts w:ascii="Calibri" w:hAnsi="Calibri"/>
                <w:sz w:val="18"/>
              </w:rPr>
              <w:t xml:space="preserve">Cambios de requerimientos (probabilidad media)</w:t>
            </w:r>
          </w:p>
        </w:tc>
        <w:tc>
          <w:tcPr>
            <w:shd w:val="clear" w:color="auto" w:fill="FFFFFF"/>
          </w:tcPr>
          <w:p>
            <w:pPr>
              <w:pStyle w:val="Compact"/>
              <w:jc w:val="left"/>
            </w:pPr>
            <w:r>
              <w:rPr>
                <w:rFonts w:ascii="Calibri" w:hAnsi="Calibri"/>
                <w:sz w:val="18"/>
              </w:rPr>
              <w:t xml:space="preserve">Si el cliente solicita ajustes al catálogo o a las reglas del motor tras la validación de H4, el buffer permite incorporarlos sin sacrificar las épicas core.</w:t>
            </w:r>
          </w:p>
        </w:tc>
      </w:tr>
      <w:tr>
        <w:tc>
          <w:tcPr>
            <w:shd w:val="clear" w:color="auto" w:fill="E8E8E8"/>
          </w:tcPr>
          <w:p>
            <w:pPr>
              <w:pStyle w:val="Compact"/>
              <w:jc w:val="left"/>
            </w:pPr>
            <w:r>
              <w:rPr>
                <w:rFonts w:ascii="Calibri" w:hAnsi="Calibri"/>
                <w:sz w:val="18"/>
              </w:rPr>
              <w:t xml:space="preserve">R2</w:t>
            </w:r>
          </w:p>
        </w:tc>
        <w:tc>
          <w:tcPr>
            <w:shd w:val="clear" w:color="auto" w:fill="E8E8E8"/>
          </w:tcPr>
          <w:p>
            <w:pPr>
              <w:pStyle w:val="Compact"/>
              <w:jc w:val="left"/>
            </w:pPr>
            <w:r>
              <w:rPr>
                <w:rFonts w:ascii="Calibri" w:hAnsi="Calibri"/>
                <w:sz w:val="18"/>
              </w:rPr>
              <w:t xml:space="preserve">Retraso técnico cloud (probabilidad media)</w:t>
            </w:r>
          </w:p>
        </w:tc>
        <w:tc>
          <w:tcPr>
            <w:shd w:val="clear" w:color="auto" w:fill="E8E8E8"/>
          </w:tcPr>
          <w:p>
            <w:pPr>
              <w:pStyle w:val="Compact"/>
              <w:jc w:val="left"/>
            </w:pPr>
            <w:r>
              <w:rPr>
                <w:rFonts w:ascii="Calibri" w:hAnsi="Calibri"/>
                <w:sz w:val="18"/>
              </w:rPr>
              <w:t xml:space="preserve">Si el entorno cloud tiene problemas de configuración o disponibilidad durante EP04–EP05, el buffer permite continuar con trabajo offline y sincronizar sin comprometer H7.</w:t>
            </w:r>
          </w:p>
        </w:tc>
      </w:tr>
      <w:tr>
        <w:tc>
          <w:tcPr>
            <w:shd w:val="clear" w:color="auto" w:fill="FFFFFF"/>
          </w:tcPr>
          <w:p>
            <w:pPr>
              <w:pStyle w:val="Compact"/>
              <w:jc w:val="left"/>
            </w:pPr>
            <w:r>
              <w:rPr>
                <w:rFonts w:ascii="Calibri" w:hAnsi="Calibri"/>
                <w:sz w:val="18"/>
              </w:rPr>
              <w:t xml:space="preserve">R7</w:t>
            </w:r>
          </w:p>
        </w:tc>
        <w:tc>
          <w:tcPr>
            <w:shd w:val="clear" w:color="auto" w:fill="FFFFFF"/>
          </w:tcPr>
          <w:p>
            <w:pPr>
              <w:pStyle w:val="Compact"/>
              <w:jc w:val="left"/>
            </w:pPr>
            <w:r>
              <w:rPr>
                <w:rFonts w:ascii="Calibri" w:hAnsi="Calibri"/>
                <w:sz w:val="18"/>
              </w:rPr>
              <w:t xml:space="preserve">Baja adopción de usuarios (probabilidad media)</w:t>
            </w:r>
          </w:p>
        </w:tc>
        <w:tc>
          <w:tcPr>
            <w:shd w:val="clear" w:color="auto" w:fill="FFFFFF"/>
          </w:tcPr>
          <w:p>
            <w:pPr>
              <w:pStyle w:val="Compact"/>
              <w:jc w:val="left"/>
            </w:pPr>
            <w:r>
              <w:rPr>
                <w:rFonts w:ascii="Calibri" w:hAnsi="Calibri"/>
                <w:sz w:val="18"/>
              </w:rPr>
              <w:t xml:space="preserve">Las pruebas de usabilidad en H6 (sprint 7) pueden revelar ajustes de UX necesarios. El sprint 8 tiene capacidad para incorporar correcciones de usabilidad antes del cierre.</w:t>
            </w:r>
          </w:p>
        </w:tc>
      </w:tr>
    </w:tbl>
    <w:p>
      <w:pPr>
        <w:pStyle w:val="Heading2"/>
      </w:pPr>
      <w:bookmarkStart w:id="27" w:name="X3336072d7752a42397d2cb571bb805aa16d57a0"/>
      <w:r>
        <w:t xml:space="preserve">Principio del cronograma en planificación</w:t>
      </w:r>
      <w:bookmarkEnd w:id="27"/>
    </w:p>
    <w:p>
      <w:pPr>
        <w:pStyle w:val="FirstParagraph"/>
      </w:pPr>
      <w:r>
        <w:t xml:space="preserve">Como establece el criterio académico del curso:</w:t>
      </w:r>
      <w:r>
        <w:t xml:space="preserve"> </w:t>
      </w:r>
      <w:r>
        <w:t xml:space="preserve">“</w:t>
      </w:r>
      <w:r>
        <w:t xml:space="preserve">El Gantt en la planeación es una estimación, no un compromiso al minuto.</w:t>
      </w:r>
      <w:r>
        <w:t xml:space="preserve">”</w:t>
      </w:r>
    </w:p>
    <w:p>
      <w:pPr>
        <w:pStyle w:val="BodyText"/>
      </w:pPr>
      <w:r>
        <w:t xml:space="preserve">Este principio tiene implicaciones prácticas para este proyecto:</w:t>
      </w:r>
    </w:p>
    <w:p>
      <w:pPr>
        <w:numPr>
          <w:ilvl w:val="0"/>
          <w:numId w:val="1001"/>
        </w:numPr>
        <w:pStyle w:val="Compact"/>
      </w:pPr>
      <w:r>
        <w:t xml:space="preserve">Las fechas del Gantt micro son proyecciones basadas en la velocidad estimada del equipo. La velocidad real se medirá sprint a sprint y los ajustes se incorporan en la Retrospectiva.</w:t>
      </w:r>
    </w:p>
    <w:p>
      <w:pPr>
        <w:numPr>
          <w:ilvl w:val="0"/>
          <w:numId w:val="1001"/>
        </w:numPr>
        <w:pStyle w:val="Compact"/>
      </w:pPr>
      <w:r>
        <w:t xml:space="preserve">El Gantt macro (hitos H1–H8) tiene mayor rigidez porque representa compromisos con el Sponsor. Las fechas de los hitos son las que no deben deslizarse sin un CR aprobado.</w:t>
      </w:r>
    </w:p>
    <w:p>
      <w:pPr>
        <w:numPr>
          <w:ilvl w:val="0"/>
          <w:numId w:val="1001"/>
        </w:numPr>
        <w:pStyle w:val="Compact"/>
      </w:pPr>
      <w:r>
        <w:t xml:space="preserve">El buffer del sprint 8 convierte una estimación (Gantt micro) en un plan con resiliencia: el equipo puede absorber variaciones sin invalidar el compromiso con el Sponsor (Gantt macro, H7 = 22 abr 2027).</w:t>
      </w:r>
    </w:p>
    <w:p>
      <w:pPr>
        <w:pStyle w:val="Heading2"/>
      </w:pPr>
      <w:bookmarkStart w:id="28" w:name="X1005c543beed8f4f9c1e81df7b8be057b41e1eb"/>
      <w:r>
        <w:t xml:space="preserve">Monitoreo del cronograma durante la ejecución</w:t>
      </w:r>
      <w:bookmarkEnd w:id="28"/>
    </w:p>
    <w:p>
      <w:pPr>
        <w:pStyle w:val="FirstParagraph"/>
      </w:pPr>
      <w:r>
        <w:t xml:space="preserve">El desempeño del cronograma se monitorea con el índice SPI (Schedule Performance Index) de EVM:</w:t>
      </w:r>
    </w:p>
    <w:p>
      <w:pPr>
        <w:numPr>
          <w:ilvl w:val="0"/>
          <w:numId w:val="1002"/>
        </w:numPr>
        <w:pStyle w:val="Compact"/>
      </w:pPr>
      <w:r>
        <w:t xml:space="preserve">SPI = EV / PV</w:t>
      </w:r>
    </w:p>
    <w:p>
      <w:pPr>
        <w:numPr>
          <w:ilvl w:val="0"/>
          <w:numId w:val="1002"/>
        </w:numPr>
        <w:pStyle w:val="Compact"/>
      </w:pPr>
      <w:r>
        <w:t xml:space="preserve">SPI &gt; 1.0: el equipo está adelantado respecto al plan.</w:t>
      </w:r>
    </w:p>
    <w:p>
      <w:pPr>
        <w:numPr>
          <w:ilvl w:val="0"/>
          <w:numId w:val="1002"/>
        </w:numPr>
        <w:pStyle w:val="Compact"/>
      </w:pPr>
      <w:r>
        <w:t xml:space="preserve">SPI = 1.0: el equipo está exactamente en el plan.</w:t>
      </w:r>
    </w:p>
    <w:p>
      <w:pPr>
        <w:numPr>
          <w:ilvl w:val="0"/>
          <w:numId w:val="1002"/>
        </w:numPr>
        <w:pStyle w:val="Compact"/>
      </w:pPr>
      <w:r>
        <w:t xml:space="preserve">SPI &lt; 1.0: el equipo está retrasado respecto al plan.</w:t>
      </w:r>
    </w:p>
    <w:p>
      <w:pPr>
        <w:pStyle w:val="FirstParagraph"/>
      </w:pPr>
      <w:r>
        <w:t xml:space="preserve">Si el SPI cae por debajo de 0.90 durante dos sprints consecutivos, se activa el protocolo de escalamiento al Sponsor según el canal C1 del plan de comunicaciones. Ver EVM completo en SITPS-PMI-2026-12.</w:t>
      </w:r>
    </w:p>
    <w:p>
      <w:pPr>
        <w:pStyle w:val="Heading2"/>
      </w:pPr>
      <w:bookmarkStart w:id="29" w:name="ruta-crítica-del-proyecto"/>
      <w:r>
        <w:t xml:space="preserve">Ruta crítica del proyecto</w:t>
      </w:r>
      <w:bookmarkEnd w:id="29"/>
    </w:p>
    <w:p>
      <w:pPr>
        <w:pStyle w:val="FirstParagraph"/>
      </w:pPr>
      <w:r>
        <w:t xml:space="preserve">La ruta crítica es la secuencia de hitos interdependientes cuyo retraso impacta directamente la fecha de entrega H7. No existe margen de holgura en ninguno de estos hitos sin comprometer H7.</w:t>
      </w:r>
    </w:p>
    <w:p>
      <w:pPr>
        <w:pStyle w:val="SourceCode"/>
      </w:pPr>
      <w:r>
        <w:rPr>
          <w:rStyle w:val="VerbatimChar"/>
        </w:rPr>
        <w:t xml:space="preserve">H1 (Inicio planificación) -&gt; H2 (Entrega documentos) -&gt; H3 (Inicio sprint 1) -&gt; H4 (Validación catálogo, sprint 3) -&gt; H5 (Motor funcional, sprint 4) -&gt; H6 (Pruebas usabilidad, sprint 7) -&gt; H7 (Entrega MVP, sprint 8)</w:t>
      </w:r>
    </w:p>
    <w:p>
      <w:pPr>
        <w:pStyle w:val="FirstParagraph"/>
      </w:pPr>
      <w:r>
        <w:t xml:space="preserve">Cada hito de la ruta crítica tiene un responsable de verificación y una dependencia lógica con el anterior:</w:t>
      </w:r>
    </w:p>
    <w:tbl>
      <w:tblPr>
        <w:tblStyle w:val="Table"/>
        <w:tblW w:type="pct" w:w="5000.0"/>
        <w:tblLook w:firstRow="1"/>
        <w:tblBorders>
          <w:top w:val="single" w:sz="4" w:space="0" w:color="0E6251"/>
          <w:left w:val="single" w:sz="4" w:space="0" w:color="0E6251"/>
          <w:bottom w:val="single" w:sz="4" w:space="0" w:color="0E6251"/>
          <w:right w:val="single" w:sz="4" w:space="0" w:color="0E6251"/>
          <w:insideH w:val="single" w:sz="4" w:space="0" w:color="0E6251"/>
          <w:insideV w:val="single" w:sz="4" w:space="0" w:color="0E6251"/>
        </w:tblBorders>
      </w:tblPr>
      <w:tblGrid>
        <w:gridCol w:w="1980"/>
        <w:gridCol w:w="1980"/>
        <w:gridCol w:w="1980"/>
        <w:gridCol w:w="1980"/>
      </w:tblGrid>
      <w:tr>
        <w:trPr>
          <w:cnfStyle w:firstRow="1"/>
        </w:trPr>
        <w:tc>
          <w:tcPr>
            <w:tcBorders>
              <w:bottom w:val="single"/>
            </w:tcBorders>
            <w:vAlign w:val="bottom"/>
            <w:shd w:val="clear" w:color="auto" w:fill="0E2841"/>
          </w:tcPr>
          <w:p>
            <w:pPr>
              <w:pStyle w:val="Compact"/>
              <w:jc w:val="left"/>
            </w:pPr>
            <w:r>
              <w:rPr>
                <w:rFonts w:ascii="Calibri" w:hAnsi="Calibri"/>
                <w:b/>
                <w:color w:val="FFFFFF"/>
                <w:sz w:val="18"/>
              </w:rPr>
              <w:t xml:space="preserve">Hito</w:t>
            </w:r>
          </w:p>
        </w:tc>
        <w:tc>
          <w:tcPr>
            <w:tcBorders>
              <w:bottom w:val="single"/>
            </w:tcBorders>
            <w:vAlign w:val="bottom"/>
            <w:shd w:val="clear" w:color="auto" w:fill="0E2841"/>
          </w:tcPr>
          <w:p>
            <w:pPr>
              <w:pStyle w:val="Compact"/>
              <w:jc w:val="left"/>
            </w:pPr>
            <w:r>
              <w:rPr>
                <w:rFonts w:ascii="Calibri" w:hAnsi="Calibri"/>
                <w:b/>
                <w:color w:val="FFFFFF"/>
                <w:sz w:val="18"/>
              </w:rPr>
              <w:t xml:space="preserve">Dependencia previa</w:t>
            </w:r>
          </w:p>
        </w:tc>
        <w:tc>
          <w:tcPr>
            <w:tcBorders>
              <w:bottom w:val="single"/>
            </w:tcBorders>
            <w:vAlign w:val="bottom"/>
            <w:shd w:val="clear" w:color="auto" w:fill="0E2841"/>
          </w:tcPr>
          <w:p>
            <w:pPr>
              <w:pStyle w:val="Compact"/>
              <w:jc w:val="left"/>
            </w:pPr>
            <w:r>
              <w:rPr>
                <w:rFonts w:ascii="Calibri" w:hAnsi="Calibri"/>
                <w:b/>
                <w:color w:val="FFFFFF"/>
                <w:sz w:val="18"/>
              </w:rPr>
              <w:t xml:space="preserve">Dependencia siguiente</w:t>
            </w:r>
          </w:p>
        </w:tc>
        <w:tc>
          <w:tcPr>
            <w:tcBorders>
              <w:bottom w:val="single"/>
            </w:tcBorders>
            <w:vAlign w:val="bottom"/>
            <w:shd w:val="clear" w:color="auto" w:fill="0E2841"/>
          </w:tcPr>
          <w:p>
            <w:pPr>
              <w:pStyle w:val="Compact"/>
              <w:jc w:val="left"/>
            </w:pPr>
            <w:r>
              <w:rPr>
                <w:rFonts w:ascii="Calibri" w:hAnsi="Calibri"/>
                <w:b/>
                <w:color w:val="FFFFFF"/>
                <w:sz w:val="18"/>
              </w:rPr>
              <w:t xml:space="preserve">Por qué es crítico</w:t>
            </w:r>
          </w:p>
        </w:tc>
      </w:tr>
      <w:tr>
        <w:tc>
          <w:tcPr>
            <w:shd w:val="clear" w:color="auto" w:fill="FFFFFF"/>
          </w:tcPr>
          <w:p>
            <w:pPr>
              <w:pStyle w:val="Compact"/>
              <w:jc w:val="left"/>
            </w:pPr>
            <w:r>
              <w:rPr>
                <w:rFonts w:ascii="Calibri" w:hAnsi="Calibri"/>
                <w:sz w:val="18"/>
              </w:rPr>
              <w:t xml:space="preserve">H3</w:t>
            </w:r>
          </w:p>
        </w:tc>
        <w:tc>
          <w:tcPr>
            <w:shd w:val="clear" w:color="auto" w:fill="FFFFFF"/>
          </w:tcPr>
          <w:p>
            <w:pPr>
              <w:pStyle w:val="Compact"/>
              <w:jc w:val="left"/>
            </w:pPr>
            <w:r>
              <w:rPr>
                <w:rFonts w:ascii="Calibri" w:hAnsi="Calibri"/>
                <w:sz w:val="18"/>
              </w:rPr>
              <w:t xml:space="preserve">H2 completo + SLA cloud firmado</w:t>
            </w:r>
          </w:p>
        </w:tc>
        <w:tc>
          <w:tcPr>
            <w:shd w:val="clear" w:color="auto" w:fill="FFFFFF"/>
          </w:tcPr>
          <w:p>
            <w:pPr>
              <w:pStyle w:val="Compact"/>
              <w:jc w:val="left"/>
            </w:pPr>
            <w:r>
              <w:rPr>
                <w:rFonts w:ascii="Calibri" w:hAnsi="Calibri"/>
                <w:sz w:val="18"/>
              </w:rPr>
              <w:t xml:space="preserve">Sprint 1 inicia</w:t>
            </w:r>
          </w:p>
        </w:tc>
        <w:tc>
          <w:tcPr>
            <w:shd w:val="clear" w:color="auto" w:fill="FFFFFF"/>
          </w:tcPr>
          <w:p>
            <w:pPr>
              <w:pStyle w:val="Compact"/>
              <w:jc w:val="left"/>
            </w:pPr>
            <w:r>
              <w:rPr>
                <w:rFonts w:ascii="Calibri" w:hAnsi="Calibri"/>
                <w:sz w:val="18"/>
              </w:rPr>
              <w:t xml:space="preserve">Sin H3 no hay Fase 2. Retraso directo en todo lo demás.</w:t>
            </w:r>
          </w:p>
        </w:tc>
      </w:tr>
      <w:tr>
        <w:tc>
          <w:tcPr>
            <w:shd w:val="clear" w:color="auto" w:fill="E8E8E8"/>
          </w:tcPr>
          <w:p>
            <w:pPr>
              <w:pStyle w:val="Compact"/>
              <w:jc w:val="left"/>
            </w:pPr>
            <w:r>
              <w:rPr>
                <w:rFonts w:ascii="Calibri" w:hAnsi="Calibri"/>
                <w:sz w:val="18"/>
              </w:rPr>
              <w:t xml:space="preserve">H4</w:t>
            </w:r>
          </w:p>
        </w:tc>
        <w:tc>
          <w:tcPr>
            <w:shd w:val="clear" w:color="auto" w:fill="E8E8E8"/>
          </w:tcPr>
          <w:p>
            <w:pPr>
              <w:pStyle w:val="Compact"/>
              <w:jc w:val="left"/>
            </w:pPr>
            <w:r>
              <w:rPr>
                <w:rFonts w:ascii="Calibri" w:hAnsi="Calibri"/>
                <w:sz w:val="18"/>
              </w:rPr>
              <w:t xml:space="preserve">Sprint 3 completado, EP03 en curso</w:t>
            </w:r>
          </w:p>
        </w:tc>
        <w:tc>
          <w:tcPr>
            <w:shd w:val="clear" w:color="auto" w:fill="E8E8E8"/>
          </w:tcPr>
          <w:p>
            <w:pPr>
              <w:pStyle w:val="Compact"/>
              <w:jc w:val="left"/>
            </w:pPr>
            <w:r>
              <w:rPr>
                <w:rFonts w:ascii="Calibri" w:hAnsi="Calibri"/>
                <w:sz w:val="18"/>
              </w:rPr>
              <w:t xml:space="preserve">EP04 puede comenzar con datos validados</w:t>
            </w:r>
          </w:p>
        </w:tc>
        <w:tc>
          <w:tcPr>
            <w:shd w:val="clear" w:color="auto" w:fill="E8E8E8"/>
          </w:tcPr>
          <w:p>
            <w:pPr>
              <w:pStyle w:val="Compact"/>
              <w:jc w:val="left"/>
            </w:pPr>
            <w:r>
              <w:rPr>
                <w:rFonts w:ascii="Calibri" w:hAnsi="Calibri"/>
                <w:sz w:val="18"/>
              </w:rPr>
              <w:t xml:space="preserve">EP04 y EP05 dependen del catálogo validado. Sin H4, el motor no tiene datos confiables.</w:t>
            </w:r>
          </w:p>
        </w:tc>
      </w:tr>
      <w:tr>
        <w:tc>
          <w:tcPr>
            <w:shd w:val="clear" w:color="auto" w:fill="FFFFFF"/>
          </w:tcPr>
          <w:p>
            <w:pPr>
              <w:pStyle w:val="Compact"/>
              <w:jc w:val="left"/>
            </w:pPr>
            <w:r>
              <w:rPr>
                <w:rFonts w:ascii="Calibri" w:hAnsi="Calibri"/>
                <w:sz w:val="18"/>
              </w:rPr>
              <w:t xml:space="preserve">H5</w:t>
            </w:r>
          </w:p>
        </w:tc>
        <w:tc>
          <w:tcPr>
            <w:shd w:val="clear" w:color="auto" w:fill="FFFFFF"/>
          </w:tcPr>
          <w:p>
            <w:pPr>
              <w:pStyle w:val="Compact"/>
              <w:jc w:val="left"/>
            </w:pPr>
            <w:r>
              <w:rPr>
                <w:rFonts w:ascii="Calibri" w:hAnsi="Calibri"/>
                <w:sz w:val="18"/>
              </w:rPr>
              <w:t xml:space="preserve">Sprint 4 completado, EP03 funcional</w:t>
            </w:r>
          </w:p>
        </w:tc>
        <w:tc>
          <w:tcPr>
            <w:shd w:val="clear" w:color="auto" w:fill="FFFFFF"/>
          </w:tcPr>
          <w:p>
            <w:pPr>
              <w:pStyle w:val="Compact"/>
              <w:jc w:val="left"/>
            </w:pPr>
            <w:r>
              <w:rPr>
                <w:rFonts w:ascii="Calibri" w:hAnsi="Calibri"/>
                <w:sz w:val="18"/>
              </w:rPr>
              <w:t xml:space="preserve">EP04 puede comenzar con datos validados</w:t>
            </w:r>
          </w:p>
        </w:tc>
        <w:tc>
          <w:tcPr>
            <w:shd w:val="clear" w:color="auto" w:fill="FFFFFF"/>
          </w:tcPr>
          <w:p>
            <w:pPr>
              <w:pStyle w:val="Compact"/>
              <w:jc w:val="left"/>
            </w:pPr>
            <w:r>
              <w:rPr>
                <w:rFonts w:ascii="Calibri" w:hAnsi="Calibri"/>
                <w:sz w:val="18"/>
              </w:rPr>
              <w:t xml:space="preserve">EP04 y EP05 dependen de un catálogo validado. Sin H5, los módulos de recomendación y análisis quedan sin base de datos confiable.</w:t>
            </w:r>
          </w:p>
        </w:tc>
      </w:tr>
      <w:tr>
        <w:tc>
          <w:tcPr>
            <w:shd w:val="clear" w:color="auto" w:fill="E8E8E8"/>
          </w:tcPr>
          <w:p>
            <w:pPr>
              <w:pStyle w:val="Compact"/>
              <w:jc w:val="left"/>
            </w:pPr>
            <w:r>
              <w:rPr>
                <w:rFonts w:ascii="Calibri" w:hAnsi="Calibri"/>
                <w:sz w:val="18"/>
              </w:rPr>
              <w:t xml:space="preserve">H6</w:t>
            </w:r>
          </w:p>
        </w:tc>
        <w:tc>
          <w:tcPr>
            <w:shd w:val="clear" w:color="auto" w:fill="E8E8E8"/>
          </w:tcPr>
          <w:p>
            <w:pPr>
              <w:pStyle w:val="Compact"/>
              <w:jc w:val="left"/>
            </w:pPr>
            <w:r>
              <w:rPr>
                <w:rFonts w:ascii="Calibri" w:hAnsi="Calibri"/>
                <w:sz w:val="18"/>
              </w:rPr>
              <w:t xml:space="preserve">Sprint 7 completado, EP06 en estado demostrable</w:t>
            </w:r>
          </w:p>
        </w:tc>
        <w:tc>
          <w:tcPr>
            <w:shd w:val="clear" w:color="auto" w:fill="E8E8E8"/>
          </w:tcPr>
          <w:p>
            <w:pPr>
              <w:pStyle w:val="Compact"/>
              <w:jc w:val="left"/>
            </w:pPr>
            <w:r>
              <w:rPr>
                <w:rFonts w:ascii="Calibri" w:hAnsi="Calibri"/>
                <w:sz w:val="18"/>
              </w:rPr>
              <w:t xml:space="preserve">Sprint 8 tiene insumos de usabilidad</w:t>
            </w:r>
          </w:p>
        </w:tc>
        <w:tc>
          <w:tcPr>
            <w:shd w:val="clear" w:color="auto" w:fill="E8E8E8"/>
          </w:tcPr>
          <w:p>
            <w:pPr>
              <w:pStyle w:val="Compact"/>
              <w:jc w:val="left"/>
            </w:pPr>
            <w:r>
              <w:rPr>
                <w:rFonts w:ascii="Calibri" w:hAnsi="Calibri"/>
                <w:sz w:val="18"/>
              </w:rPr>
              <w:t xml:space="preserve">Los resultados de H6 determinan los ajustes de UX del sprint 8. Sin H6, el sprint 8 opera sin retroalimentación real.</w:t>
            </w:r>
          </w:p>
        </w:tc>
      </w:tr>
      <w:tr>
        <w:tc>
          <w:tcPr>
            <w:shd w:val="clear" w:color="auto" w:fill="FFFFFF"/>
          </w:tcPr>
          <w:p>
            <w:pPr>
              <w:pStyle w:val="Compact"/>
              <w:jc w:val="left"/>
            </w:pPr>
            <w:r>
              <w:rPr>
                <w:rFonts w:ascii="Calibri" w:hAnsi="Calibri"/>
                <w:sz w:val="18"/>
              </w:rPr>
              <w:t xml:space="preserve">H7</w:t>
            </w:r>
          </w:p>
        </w:tc>
        <w:tc>
          <w:tcPr>
            <w:shd w:val="clear" w:color="auto" w:fill="FFFFFF"/>
          </w:tcPr>
          <w:p>
            <w:pPr>
              <w:pStyle w:val="Compact"/>
              <w:jc w:val="left"/>
            </w:pPr>
            <w:r>
              <w:rPr>
                <w:rFonts w:ascii="Calibri" w:hAnsi="Calibri"/>
                <w:sz w:val="18"/>
              </w:rPr>
              <w:t xml:space="preserve">Sprint 8 completado, todas las HU Done según DoD</w:t>
            </w:r>
          </w:p>
        </w:tc>
        <w:tc>
          <w:tcPr>
            <w:shd w:val="clear" w:color="auto" w:fill="FFFFFF"/>
          </w:tcPr>
          <w:p>
            <w:pPr>
              <w:pStyle w:val="Compact"/>
              <w:jc w:val="left"/>
            </w:pPr>
            <w:r>
              <w:rPr>
                <w:rFonts w:ascii="Calibri" w:hAnsi="Calibri"/>
                <w:sz w:val="18"/>
              </w:rPr>
              <w:t xml:space="preserve">H8 puede planificarse</w:t>
            </w:r>
          </w:p>
        </w:tc>
        <w:tc>
          <w:tcPr>
            <w:shd w:val="clear" w:color="auto" w:fill="FFFFFF"/>
          </w:tcPr>
          <w:p>
            <w:pPr>
              <w:pStyle w:val="Compact"/>
              <w:jc w:val="left"/>
            </w:pPr>
            <w:r>
              <w:rPr>
                <w:rFonts w:ascii="Calibri" w:hAnsi="Calibri"/>
                <w:sz w:val="18"/>
              </w:rPr>
              <w:t xml:space="preserve">Es la fecha fija de entrega académica. Sin H7 no existe entregable para el Sponsor.</w:t>
            </w:r>
          </w:p>
        </w:tc>
      </w:tr>
    </w:tbl>
    <w:p>
      <w:pPr>
        <w:pStyle w:val="Heading2"/>
      </w:pPr>
      <w:bookmarkStart w:id="30" w:name="supuestos-del-cronograma"/>
      <w:r>
        <w:t xml:space="preserve">Supuestos del cronograma</w:t>
      </w:r>
      <w:bookmarkEnd w:id="30"/>
    </w:p>
    <w:tbl>
      <w:tblPr>
        <w:tblStyle w:val="Table"/>
        <w:tblW w:type="pct" w:w="5000.0"/>
        <w:tblLook w:firstRow="1"/>
        <w:tblBorders>
          <w:top w:val="single" w:sz="4" w:space="0" w:color="0E6251"/>
          <w:left w:val="single" w:sz="4" w:space="0" w:color="0E6251"/>
          <w:bottom w:val="single" w:sz="4" w:space="0" w:color="0E6251"/>
          <w:right w:val="single" w:sz="4" w:space="0" w:color="0E6251"/>
          <w:insideH w:val="single" w:sz="4" w:space="0" w:color="0E6251"/>
          <w:insideV w:val="single" w:sz="4" w:space="0" w:color="0E6251"/>
        </w:tblBorders>
      </w:tblPr>
      <w:tblGrid>
        <w:gridCol w:w="2640"/>
        <w:gridCol w:w="2640"/>
        <w:gridCol w:w="2640"/>
      </w:tblGrid>
      <w:tr>
        <w:trPr>
          <w:cnfStyle w:firstRow="1"/>
        </w:trPr>
        <w:tc>
          <w:tcPr>
            <w:tcBorders>
              <w:bottom w:val="single"/>
            </w:tcBorders>
            <w:vAlign w:val="bottom"/>
            <w:shd w:val="clear" w:color="auto" w:fill="0E2841"/>
          </w:tcPr>
          <w:p>
            <w:pPr>
              <w:pStyle w:val="Compact"/>
              <w:jc w:val="left"/>
            </w:pPr>
            <w:r>
              <w:rPr>
                <w:rFonts w:ascii="Calibri" w:hAnsi="Calibri"/>
                <w:b/>
                <w:color w:val="FFFFFF"/>
                <w:sz w:val="18"/>
              </w:rPr>
              <w:t xml:space="preserve">#</w:t>
            </w:r>
          </w:p>
        </w:tc>
        <w:tc>
          <w:tcPr>
            <w:tcBorders>
              <w:bottom w:val="single"/>
            </w:tcBorders>
            <w:vAlign w:val="bottom"/>
            <w:shd w:val="clear" w:color="auto" w:fill="0E2841"/>
          </w:tcPr>
          <w:p>
            <w:pPr>
              <w:pStyle w:val="Compact"/>
              <w:jc w:val="left"/>
            </w:pPr>
            <w:r>
              <w:rPr>
                <w:rFonts w:ascii="Calibri" w:hAnsi="Calibri"/>
                <w:b/>
                <w:color w:val="FFFFFF"/>
                <w:sz w:val="18"/>
              </w:rPr>
              <w:t xml:space="preserve">Supuesto</w:t>
            </w:r>
          </w:p>
        </w:tc>
        <w:tc>
          <w:tcPr>
            <w:tcBorders>
              <w:bottom w:val="single"/>
            </w:tcBorders>
            <w:vAlign w:val="bottom"/>
            <w:shd w:val="clear" w:color="auto" w:fill="0E2841"/>
          </w:tcPr>
          <w:p>
            <w:pPr>
              <w:pStyle w:val="Compact"/>
              <w:jc w:val="left"/>
            </w:pPr>
            <w:r>
              <w:rPr>
                <w:rFonts w:ascii="Calibri" w:hAnsi="Calibri"/>
                <w:b/>
                <w:color w:val="FFFFFF"/>
                <w:sz w:val="18"/>
              </w:rPr>
              <w:t xml:space="preserve">Impacto si no se cumple</w:t>
            </w:r>
          </w:p>
        </w:tc>
      </w:tr>
      <w:tr>
        <w:tc>
          <w:tcPr>
            <w:shd w:val="clear" w:color="auto" w:fill="FFFFFF"/>
          </w:tcPr>
          <w:p>
            <w:pPr>
              <w:pStyle w:val="Compact"/>
              <w:jc w:val="left"/>
            </w:pPr>
            <w:r>
              <w:rPr>
                <w:rFonts w:ascii="Calibri" w:hAnsi="Calibri"/>
                <w:sz w:val="18"/>
              </w:rPr>
              <w:t xml:space="preserve">SCH-SA-1</w:t>
            </w:r>
          </w:p>
        </w:tc>
        <w:tc>
          <w:tcPr>
            <w:shd w:val="clear" w:color="auto" w:fill="FFFFFF"/>
          </w:tcPr>
          <w:p>
            <w:pPr>
              <w:pStyle w:val="Compact"/>
              <w:jc w:val="left"/>
            </w:pPr>
            <w:r>
              <w:rPr>
                <w:rFonts w:ascii="Calibri" w:hAnsi="Calibri"/>
                <w:sz w:val="18"/>
              </w:rPr>
              <w:t xml:space="preserve">El equipo puede sostener una velocidad de 13–16 SP por sprint durante los 7 sprints de carga completa (S1–S7).</w:t>
            </w:r>
          </w:p>
        </w:tc>
        <w:tc>
          <w:tcPr>
            <w:shd w:val="clear" w:color="auto" w:fill="FFFFFF"/>
          </w:tcPr>
          <w:p>
            <w:pPr>
              <w:pStyle w:val="Compact"/>
              <w:jc w:val="left"/>
            </w:pPr>
            <w:r>
              <w:rPr>
                <w:rFonts w:ascii="Calibri" w:hAnsi="Calibri"/>
                <w:sz w:val="18"/>
              </w:rPr>
              <w:t xml:space="preserve">Si la velocidad baja a menos de 10 SP/sprint de forma sostenida, el buffer del sprint 8 se consume antes de H7, comprometiendo la entrega.</w:t>
            </w:r>
          </w:p>
        </w:tc>
      </w:tr>
      <w:tr>
        <w:tc>
          <w:tcPr>
            <w:shd w:val="clear" w:color="auto" w:fill="E8E8E8"/>
          </w:tcPr>
          <w:p>
            <w:pPr>
              <w:pStyle w:val="Compact"/>
              <w:jc w:val="left"/>
            </w:pPr>
            <w:r>
              <w:rPr>
                <w:rFonts w:ascii="Calibri" w:hAnsi="Calibri"/>
                <w:sz w:val="18"/>
              </w:rPr>
              <w:t xml:space="preserve">SCH-SA-2</w:t>
            </w:r>
          </w:p>
        </w:tc>
        <w:tc>
          <w:tcPr>
            <w:shd w:val="clear" w:color="auto" w:fill="E8E8E8"/>
          </w:tcPr>
          <w:p>
            <w:pPr>
              <w:pStyle w:val="Compact"/>
              <w:jc w:val="left"/>
            </w:pPr>
            <w:r>
              <w:rPr>
                <w:rFonts w:ascii="Calibri" w:hAnsi="Calibri"/>
                <w:sz w:val="18"/>
              </w:rPr>
              <w:t xml:space="preserve">No existen interrupciones de más de 2 días hábiles continuos por festividades, licencias o eventos académicos durante los 8 sprints (1 ene – 22 abr 2027).</w:t>
            </w:r>
          </w:p>
        </w:tc>
        <w:tc>
          <w:tcPr>
            <w:shd w:val="clear" w:color="auto" w:fill="E8E8E8"/>
          </w:tcPr>
          <w:p>
            <w:pPr>
              <w:pStyle w:val="Compact"/>
              <w:jc w:val="left"/>
            </w:pPr>
            <w:r>
              <w:rPr>
                <w:rFonts w:ascii="Calibri" w:hAnsi="Calibri"/>
                <w:sz w:val="18"/>
              </w:rPr>
              <w:t xml:space="preserve">El Gantt micro asume 10 días hábiles por sprint. Cualquier día hábil perdido no recuperado reduce la capacidad efectiva del sprint.</w:t>
            </w:r>
          </w:p>
        </w:tc>
      </w:tr>
      <w:tr>
        <w:tc>
          <w:tcPr>
            <w:shd w:val="clear" w:color="auto" w:fill="FFFFFF"/>
          </w:tcPr>
          <w:p>
            <w:pPr>
              <w:pStyle w:val="Compact"/>
              <w:jc w:val="left"/>
            </w:pPr>
            <w:r>
              <w:rPr>
                <w:rFonts w:ascii="Calibri" w:hAnsi="Calibri"/>
                <w:sz w:val="18"/>
              </w:rPr>
              <w:t xml:space="preserve">SCH-SA-3</w:t>
            </w:r>
          </w:p>
        </w:tc>
        <w:tc>
          <w:tcPr>
            <w:shd w:val="clear" w:color="auto" w:fill="FFFFFF"/>
          </w:tcPr>
          <w:p>
            <w:pPr>
              <w:pStyle w:val="Compact"/>
              <w:jc w:val="left"/>
            </w:pPr>
            <w:r>
              <w:rPr>
                <w:rFonts w:ascii="Calibri" w:hAnsi="Calibri"/>
                <w:sz w:val="18"/>
              </w:rPr>
              <w:t xml:space="preserve">El SLA con el proveedor cloud (S10) garantiza disponibilidad del entorno de staging desde el H3. Si el entorno no está listo para el sprint 1, los developers pueden trabajar localmente (Docker) sin pérdida de sprint completo.</w:t>
            </w:r>
          </w:p>
        </w:tc>
        <w:tc>
          <w:tcPr>
            <w:shd w:val="clear" w:color="auto" w:fill="FFFFFF"/>
          </w:tcPr>
          <w:p>
            <w:pPr>
              <w:pStyle w:val="Compact"/>
              <w:jc w:val="left"/>
            </w:pPr>
            <w:r>
              <w:rPr>
                <w:rFonts w:ascii="Calibri" w:hAnsi="Calibri"/>
                <w:sz w:val="18"/>
              </w:rPr>
              <w:t xml:space="preserve">Activación de R2. El sprint 1 opera en modo degradado local; la integración se completa cuando el entorno cloud esté disponible.</w:t>
            </w:r>
          </w:p>
        </w:tc>
      </w:tr>
      <w:tr>
        <w:tc>
          <w:tcPr>
            <w:shd w:val="clear" w:color="auto" w:fill="E8E8E8"/>
          </w:tcPr>
          <w:p>
            <w:pPr>
              <w:pStyle w:val="Compact"/>
              <w:jc w:val="left"/>
            </w:pPr>
            <w:r>
              <w:rPr>
                <w:rFonts w:ascii="Calibri" w:hAnsi="Calibri"/>
                <w:sz w:val="18"/>
              </w:rPr>
              <w:t xml:space="preserve">SCH-SA-4</w:t>
            </w:r>
          </w:p>
        </w:tc>
        <w:tc>
          <w:tcPr>
            <w:shd w:val="clear" w:color="auto" w:fill="E8E8E8"/>
          </w:tcPr>
          <w:p>
            <w:pPr>
              <w:pStyle w:val="Compact"/>
              <w:jc w:val="left"/>
            </w:pPr>
            <w:r>
              <w:rPr>
                <w:rFonts w:ascii="Calibri" w:hAnsi="Calibri"/>
                <w:sz w:val="18"/>
              </w:rPr>
              <w:t xml:space="preserve">La Dirección de Admisiones (S3) puede asignar un validador disponible para la revisión del catálogo EP03 antes del 11 de febrero de 2027 (H4).</w:t>
            </w:r>
          </w:p>
        </w:tc>
        <w:tc>
          <w:tcPr>
            <w:shd w:val="clear" w:color="auto" w:fill="E8E8E8"/>
          </w:tcPr>
          <w:p>
            <w:pPr>
              <w:pStyle w:val="Compact"/>
              <w:jc w:val="left"/>
            </w:pPr>
            <w:r>
              <w:rPr>
                <w:rFonts w:ascii="Calibri" w:hAnsi="Calibri"/>
                <w:sz w:val="18"/>
              </w:rPr>
              <w:t xml:space="preserve">Si H4 se pospone más de 5 días hábiles, EP04 inicia con el catálogo provisional, y la validación formal se registra como CR menor.</w:t>
            </w:r>
          </w:p>
        </w:tc>
      </w:tr>
    </w:tbl>
    <w:p>
      <w:pPr>
        <w:pStyle w:val="Heading2"/>
      </w:pPr>
      <w:bookmarkStart w:id="31" w:name="restricciones-temporales"/>
      <w:r>
        <w:t xml:space="preserve">Restricciones temporales</w:t>
      </w:r>
      <w:bookmarkEnd w:id="31"/>
    </w:p>
    <w:tbl>
      <w:tblPr>
        <w:tblStyle w:val="Table"/>
        <w:tblW w:type="pct" w:w="5000.0"/>
        <w:tblLook w:firstRow="1"/>
        <w:tblBorders>
          <w:top w:val="single" w:sz="4" w:space="0" w:color="0E6251"/>
          <w:left w:val="single" w:sz="4" w:space="0" w:color="0E6251"/>
          <w:bottom w:val="single" w:sz="4" w:space="0" w:color="0E6251"/>
          <w:right w:val="single" w:sz="4" w:space="0" w:color="0E6251"/>
          <w:insideH w:val="single" w:sz="4" w:space="0" w:color="0E6251"/>
          <w:insideV w:val="single" w:sz="4" w:space="0" w:color="0E6251"/>
        </w:tblBorders>
      </w:tblPr>
      <w:tblGrid>
        <w:gridCol w:w="1980"/>
        <w:gridCol w:w="1980"/>
        <w:gridCol w:w="1980"/>
        <w:gridCol w:w="1980"/>
      </w:tblGrid>
      <w:tr>
        <w:trPr>
          <w:cnfStyle w:firstRow="1"/>
        </w:trPr>
        <w:tc>
          <w:tcPr>
            <w:tcBorders>
              <w:bottom w:val="single"/>
            </w:tcBorders>
            <w:vAlign w:val="bottom"/>
            <w:shd w:val="clear" w:color="auto" w:fill="0E2841"/>
          </w:tcPr>
          <w:p>
            <w:pPr>
              <w:pStyle w:val="Compact"/>
              <w:jc w:val="left"/>
            </w:pPr>
            <w:r>
              <w:rPr>
                <w:rFonts w:ascii="Calibri" w:hAnsi="Calibri"/>
                <w:b/>
                <w:color w:val="FFFFFF"/>
                <w:sz w:val="18"/>
              </w:rPr>
              <w:t xml:space="preserve">#</w:t>
            </w:r>
          </w:p>
        </w:tc>
        <w:tc>
          <w:tcPr>
            <w:tcBorders>
              <w:bottom w:val="single"/>
            </w:tcBorders>
            <w:vAlign w:val="bottom"/>
            <w:shd w:val="clear" w:color="auto" w:fill="0E2841"/>
          </w:tcPr>
          <w:p>
            <w:pPr>
              <w:pStyle w:val="Compact"/>
              <w:jc w:val="left"/>
            </w:pPr>
            <w:r>
              <w:rPr>
                <w:rFonts w:ascii="Calibri" w:hAnsi="Calibri"/>
                <w:b/>
                <w:color w:val="FFFFFF"/>
                <w:sz w:val="18"/>
              </w:rPr>
              <w:t xml:space="preserve">Restricción</w:t>
            </w:r>
          </w:p>
        </w:tc>
        <w:tc>
          <w:tcPr>
            <w:tcBorders>
              <w:bottom w:val="single"/>
            </w:tcBorders>
            <w:vAlign w:val="bottom"/>
            <w:shd w:val="clear" w:color="auto" w:fill="0E2841"/>
          </w:tcPr>
          <w:p>
            <w:pPr>
              <w:pStyle w:val="Compact"/>
              <w:jc w:val="left"/>
            </w:pPr>
            <w:r>
              <w:rPr>
                <w:rFonts w:ascii="Calibri" w:hAnsi="Calibri"/>
                <w:b/>
                <w:color w:val="FFFFFF"/>
                <w:sz w:val="18"/>
              </w:rPr>
              <w:t xml:space="preserve">Fuente</w:t>
            </w:r>
          </w:p>
        </w:tc>
        <w:tc>
          <w:tcPr>
            <w:tcBorders>
              <w:bottom w:val="single"/>
            </w:tcBorders>
            <w:vAlign w:val="bottom"/>
            <w:shd w:val="clear" w:color="auto" w:fill="0E2841"/>
          </w:tcPr>
          <w:p>
            <w:pPr>
              <w:pStyle w:val="Compact"/>
              <w:jc w:val="left"/>
            </w:pPr>
            <w:r>
              <w:rPr>
                <w:rFonts w:ascii="Calibri" w:hAnsi="Calibri"/>
                <w:b/>
                <w:color w:val="FFFFFF"/>
                <w:sz w:val="18"/>
              </w:rPr>
              <w:t xml:space="preserve">Flexible</w:t>
            </w:r>
          </w:p>
        </w:tc>
      </w:tr>
      <w:tr>
        <w:tc>
          <w:tcPr>
            <w:shd w:val="clear" w:color="auto" w:fill="FFFFFF"/>
          </w:tcPr>
          <w:p>
            <w:pPr>
              <w:pStyle w:val="Compact"/>
              <w:jc w:val="left"/>
            </w:pPr>
            <w:r>
              <w:rPr>
                <w:rFonts w:ascii="Calibri" w:hAnsi="Calibri"/>
                <w:sz w:val="18"/>
              </w:rPr>
              <w:t xml:space="preserve">RT-1</w:t>
            </w:r>
          </w:p>
        </w:tc>
        <w:tc>
          <w:tcPr>
            <w:shd w:val="clear" w:color="auto" w:fill="FFFFFF"/>
          </w:tcPr>
          <w:p>
            <w:pPr>
              <w:pStyle w:val="Compact"/>
              <w:jc w:val="left"/>
            </w:pPr>
            <w:r>
              <w:rPr>
                <w:rFonts w:ascii="Calibri" w:hAnsi="Calibri"/>
                <w:sz w:val="18"/>
              </w:rPr>
              <w:t xml:space="preserve">H7 (entrega del MVP) el 22 de abril de 2027 es una fecha fija determinada por el calendario académico del Sponsor. No es negociable sin aprobación del CCB ampliado.</w:t>
            </w:r>
          </w:p>
        </w:tc>
        <w:tc>
          <w:tcPr>
            <w:shd w:val="clear" w:color="auto" w:fill="FFFFFF"/>
          </w:tcPr>
          <w:p>
            <w:pPr>
              <w:pStyle w:val="Compact"/>
              <w:jc w:val="left"/>
            </w:pPr>
            <w:r>
              <w:rPr>
                <w:rFonts w:ascii="Calibri" w:hAnsi="Calibri"/>
                <w:sz w:val="18"/>
              </w:rPr>
              <w:t xml:space="preserve">Contrato académico — S1 Marroquín</w:t>
            </w:r>
          </w:p>
        </w:tc>
        <w:tc>
          <w:tcPr>
            <w:shd w:val="clear" w:color="auto" w:fill="FFFFFF"/>
          </w:tcPr>
          <w:p>
            <w:pPr>
              <w:pStyle w:val="Compact"/>
              <w:jc w:val="left"/>
            </w:pPr>
            <w:r>
              <w:rPr>
                <w:rFonts w:ascii="Calibri" w:hAnsi="Calibri"/>
                <w:sz w:val="18"/>
              </w:rPr>
              <w:t xml:space="preserve">No</w:t>
            </w:r>
          </w:p>
        </w:tc>
      </w:tr>
      <w:tr>
        <w:tc>
          <w:tcPr>
            <w:shd w:val="clear" w:color="auto" w:fill="E8E8E8"/>
          </w:tcPr>
          <w:p>
            <w:pPr>
              <w:pStyle w:val="Compact"/>
              <w:jc w:val="left"/>
            </w:pPr>
            <w:r>
              <w:rPr>
                <w:rFonts w:ascii="Calibri" w:hAnsi="Calibri"/>
                <w:sz w:val="18"/>
              </w:rPr>
              <w:t xml:space="preserve">RT-2</w:t>
            </w:r>
          </w:p>
        </w:tc>
        <w:tc>
          <w:tcPr>
            <w:shd w:val="clear" w:color="auto" w:fill="E8E8E8"/>
          </w:tcPr>
          <w:p>
            <w:pPr>
              <w:pStyle w:val="Compact"/>
              <w:jc w:val="left"/>
            </w:pPr>
            <w:r>
              <w:rPr>
                <w:rFonts w:ascii="Calibri" w:hAnsi="Calibri"/>
                <w:sz w:val="18"/>
              </w:rPr>
              <w:t xml:space="preserve">Los 8 sprints deben caber entre el 1 de enero y el 22 de abril de 2027 (80 días hábiles máximos). No es posible agregar un sprint 9 sin modificar H7.</w:t>
            </w:r>
          </w:p>
        </w:tc>
        <w:tc>
          <w:tcPr>
            <w:shd w:val="clear" w:color="auto" w:fill="E8E8E8"/>
          </w:tcPr>
          <w:p>
            <w:pPr>
              <w:pStyle w:val="Compact"/>
              <w:jc w:val="left"/>
            </w:pPr>
            <w:r>
              <w:rPr>
                <w:rFonts w:ascii="Calibri" w:hAnsi="Calibri"/>
                <w:sz w:val="18"/>
              </w:rPr>
              <w:t xml:space="preserve">Capacidad del equipo y fecha fija H7</w:t>
            </w:r>
          </w:p>
        </w:tc>
        <w:tc>
          <w:tcPr>
            <w:shd w:val="clear" w:color="auto" w:fill="E8E8E8"/>
          </w:tcPr>
          <w:p>
            <w:pPr>
              <w:pStyle w:val="Compact"/>
              <w:jc w:val="left"/>
            </w:pPr>
            <w:r>
              <w:rPr>
                <w:rFonts w:ascii="Calibri" w:hAnsi="Calibri"/>
                <w:sz w:val="18"/>
              </w:rPr>
              <w:t xml:space="preserve">No</w:t>
            </w:r>
          </w:p>
        </w:tc>
      </w:tr>
      <w:tr>
        <w:tc>
          <w:tcPr>
            <w:shd w:val="clear" w:color="auto" w:fill="FFFFFF"/>
          </w:tcPr>
          <w:p>
            <w:pPr>
              <w:pStyle w:val="Compact"/>
              <w:jc w:val="left"/>
            </w:pPr>
            <w:r>
              <w:rPr>
                <w:rFonts w:ascii="Calibri" w:hAnsi="Calibri"/>
                <w:sz w:val="18"/>
              </w:rPr>
              <w:t xml:space="preserve">RT-3</w:t>
            </w:r>
          </w:p>
        </w:tc>
        <w:tc>
          <w:tcPr>
            <w:shd w:val="clear" w:color="auto" w:fill="FFFFFF"/>
          </w:tcPr>
          <w:p>
            <w:pPr>
              <w:pStyle w:val="Compact"/>
              <w:jc w:val="left"/>
            </w:pPr>
            <w:r>
              <w:rPr>
                <w:rFonts w:ascii="Calibri" w:hAnsi="Calibri"/>
                <w:sz w:val="18"/>
              </w:rPr>
              <w:t xml:space="preserve">La validación del catálogo (H4) debe completarse al cierre del sprint 3 (11 feb 2027) para que EP04 pueda iniciarse en el sprint 4 con datos válidos.</w:t>
            </w:r>
          </w:p>
        </w:tc>
        <w:tc>
          <w:tcPr>
            <w:shd w:val="clear" w:color="auto" w:fill="FFFFFF"/>
          </w:tcPr>
          <w:p>
            <w:pPr>
              <w:pStyle w:val="Compact"/>
              <w:jc w:val="left"/>
            </w:pPr>
            <w:r>
              <w:rPr>
                <w:rFonts w:ascii="Calibri" w:hAnsi="Calibri"/>
                <w:sz w:val="18"/>
              </w:rPr>
              <w:t xml:space="preserve">Dependencia lógica EP03</w:t>
            </w:r>
            <w:r>
              <w:rPr>
                <w:rFonts w:ascii="Calibri" w:hAnsi="Calibri"/>
                <w:sz w:val="18"/>
              </w:rPr>
              <w:t xml:space="preserve"> </w:t>
            </w:r>
            <m:oMath>
              <m:r>
                <m:t>→</m:t>
              </m:r>
            </m:oMath>
            <w:r>
              <w:rPr>
                <w:rFonts w:ascii="Calibri" w:hAnsi="Calibri"/>
                <w:sz w:val="18"/>
              </w:rPr>
              <w:t xml:space="preserve"> </w:t>
            </w:r>
            <w:r>
              <w:rPr>
                <w:rFonts w:ascii="Calibri" w:hAnsi="Calibri"/>
                <w:sz w:val="18"/>
              </w:rPr>
              <w:t xml:space="preserve">EP04</w:t>
            </w:r>
          </w:p>
        </w:tc>
        <w:tc>
          <w:tcPr>
            <w:shd w:val="clear" w:color="auto" w:fill="FFFFFF"/>
          </w:tcPr>
          <w:p>
            <w:pPr>
              <w:pStyle w:val="Compact"/>
              <w:jc w:val="left"/>
            </w:pPr>
            <w:r>
              <w:rPr>
                <w:rFonts w:ascii="Calibri" w:hAnsi="Calibri"/>
                <w:sz w:val="18"/>
              </w:rPr>
              <w:t xml:space="preserve">Parcial — se puede posponer hasta inicio S5 con CR</w:t>
            </w:r>
          </w:p>
        </w:tc>
      </w:tr>
      <w:tr>
        <w:tc>
          <w:tcPr>
            <w:shd w:val="clear" w:color="auto" w:fill="E8E8E8"/>
          </w:tcPr>
          <w:p>
            <w:pPr>
              <w:pStyle w:val="Compact"/>
              <w:jc w:val="left"/>
            </w:pPr>
            <w:r>
              <w:rPr>
                <w:rFonts w:ascii="Calibri" w:hAnsi="Calibri"/>
                <w:sz w:val="18"/>
              </w:rPr>
              <w:t xml:space="preserve">RT-4</w:t>
            </w:r>
          </w:p>
        </w:tc>
        <w:tc>
          <w:tcPr>
            <w:shd w:val="clear" w:color="auto" w:fill="E8E8E8"/>
          </w:tcPr>
          <w:p>
            <w:pPr>
              <w:pStyle w:val="Compact"/>
              <w:jc w:val="left"/>
            </w:pPr>
            <w:r>
              <w:rPr>
                <w:rFonts w:ascii="Calibri" w:hAnsi="Calibri"/>
                <w:sz w:val="18"/>
              </w:rPr>
              <w:t xml:space="preserve">Las pruebas de usabilidad (H6) deben ejecutarse durante el sprint 7 (26 mar–8 abr 2027) para que el sprint 8 tenga tiempo de incorporar ajustes. No pueden posponerse al sprint 8.</w:t>
            </w:r>
          </w:p>
        </w:tc>
        <w:tc>
          <w:tcPr>
            <w:shd w:val="clear" w:color="auto" w:fill="E8E8E8"/>
          </w:tcPr>
          <w:p>
            <w:pPr>
              <w:pStyle w:val="Compact"/>
              <w:jc w:val="left"/>
            </w:pPr>
            <w:r>
              <w:rPr>
                <w:rFonts w:ascii="Calibri" w:hAnsi="Calibri"/>
                <w:sz w:val="18"/>
              </w:rPr>
              <w:t xml:space="preserve">Dependencia lógica H6</w:t>
            </w:r>
            <w:r>
              <w:rPr>
                <w:rFonts w:ascii="Calibri" w:hAnsi="Calibri"/>
                <w:sz w:val="18"/>
              </w:rPr>
              <w:t xml:space="preserve"> </w:t>
            </w:r>
            <m:oMath>
              <m:r>
                <m:t>→</m:t>
              </m:r>
            </m:oMath>
            <w:r>
              <w:rPr>
                <w:rFonts w:ascii="Calibri" w:hAnsi="Calibri"/>
                <w:sz w:val="18"/>
              </w:rPr>
              <w:t xml:space="preserve"> </w:t>
            </w:r>
            <w:r>
              <w:rPr>
                <w:rFonts w:ascii="Calibri" w:hAnsi="Calibri"/>
                <w:sz w:val="18"/>
              </w:rPr>
              <w:t xml:space="preserve">ajustes sprint 8</w:t>
            </w:r>
          </w:p>
        </w:tc>
        <w:tc>
          <w:tcPr>
            <w:shd w:val="clear" w:color="auto" w:fill="E8E8E8"/>
          </w:tcPr>
          <w:p>
            <w:pPr>
              <w:pStyle w:val="Compact"/>
              <w:jc w:val="left"/>
            </w:pPr>
            <w:r>
              <w:rPr>
                <w:rFonts w:ascii="Calibri" w:hAnsi="Calibri"/>
                <w:sz w:val="18"/>
              </w:rPr>
              <w:t xml:space="preserve">No</w:t>
            </w:r>
          </w:p>
        </w:tc>
      </w:tr>
    </w:tbl>
    <w:sectPr>
      <w:headerReference w:type="default" r:id="rId9"/>
      <w:footerReference w:type="default" r:id="rId10"/>
      <w:headerReference w:type="first" r:id="rId11"/>
      <w:footerReference w:type="first" r:id="rId12"/>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80" w:after="0"/>
      <w:pBdr>
        <w:top w:val="single" w:sz="8" w:space="1" w:color="E97132"/>
      </w:pBdr>
      <w:tabs>
        <w:tab w:val="right" w:pos="9360"/>
      </w:tabs>
    </w:pPr>
    <w:r>
      <w:rPr>
        <w:rFonts w:ascii="Calibri" w:hAnsi="Calibri"/>
        <w:b w:val="0"/>
        <w:color w:val="AAAAAA"/>
        <w:sz w:val="16"/>
      </w:rPr>
      <w:t>Área 3 PMI: Gestión del Cronograma</w:t>
    </w:r>
    <w:r>
      <w:rPr>
        <w:rFonts w:ascii="Calibri" w:hAnsi="Calibri"/>
        <w:b w:val="0"/>
        <w:color w:val="AAAAAA"/>
        <w:sz w:val="16"/>
      </w:rPr>
      <w:tab/>
    </w:r>
    <w:r>
      <w:rPr>
        <w:rFonts w:ascii="Calibri" w:hAnsi="Calibri"/>
        <w:color w:val="AAAAAA"/>
        <w:sz w:val="16"/>
      </w:rPr>
      <w:fldChar w:fldCharType="begin"/>
      <w:instrText xml:space="preserve"> PAGE </w:instrText>
      <w:fldChar w:fldCharType="end"/>
    </w:r>
    <w:r>
      <w:rPr>
        <w:rFonts w:ascii="Calibri" w:hAnsi="Calibri"/>
        <w:b w:val="0"/>
        <w:color w:val="AAAAAA"/>
        <w:sz w:val="16"/>
      </w:rPr>
      <w:t xml:space="preserve"> / </w:t>
    </w:r>
    <w:r>
      <w:rPr>
        <w:rFonts w:ascii="Calibri" w:hAnsi="Calibri"/>
        <w:color w:val="AAAAAA"/>
        <w:sz w:val="16"/>
      </w:rPr>
      <w:fldChar w:fldCharType="begin"/>
      <w:instrText xml:space="preserve"> NUMPAGES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80"/>
      <w:pBdr>
        <w:top w:val="single" w:sz="8" w:space="1" w:color="E97132"/>
      </w:pBdr>
    </w:pPr>
    <w:r>
      <w:rPr>
        <w:rFonts w:ascii="Calibri" w:hAnsi="Calibri"/>
        <w:b w:val="0"/>
        <w:color w:val="AAAAAA"/>
        <w:sz w:val="16"/>
      </w:rPr>
      <w:t>Área 3 PMI: Gestión del Cronograma</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shd w:val="clear" w:color="auto" w:fill="0E2841"/>
      <w:tabs>
        <w:tab w:val="right" w:pos="9360"/>
      </w:tabs>
    </w:pPr>
    <w:r>
      <w:rPr>
        <w:rFonts w:ascii="Calibri" w:hAnsi="Calibri"/>
        <w:b/>
        <w:color w:val="FFFFFF"/>
        <w:sz w:val="16"/>
      </w:rPr>
      <w:t xml:space="preserve">  SITPS-PMI-2026-03</w:t>
    </w:r>
    <w:r>
      <w:rPr>
        <w:rFonts w:ascii="Calibri" w:hAnsi="Calibri"/>
        <w:b w:val="0"/>
        <w:color w:val="FFFFFF"/>
        <w:sz w:val="16"/>
      </w:rPr>
      <w:tab/>
      <w:t xml:space="preserve">Strategic IT Project Solutions  </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rPr>
      <w:rFonts w:ascii="Calibri" w:hAnsi="Calibri"/>
      <w:b w:val="0"/>
      <w:color w:val="222233"/>
      <w:sz w:val="22"/>
    </w:rPr>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2026-05-18T22:26:38Z</dcterms:created>
  <dcterms:modified xsi:type="dcterms:W3CDTF">2026-05-18T22:26:38Z</dcterms:modified>
</cp:coreProperties>
</file>

<file path=docProps/custom.xml><?xml version="1.0" encoding="utf-8"?>
<Properties xmlns="http://schemas.openxmlformats.org/officeDocument/2006/custom-properties" xmlns:vt="http://schemas.openxmlformats.org/officeDocument/2006/docPropsVTypes"/>
</file>