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0E2841"/>
            <w:tcMar>
              <w:top w:w="180" w:type="dxa"/>
              <w:left w:w="180" w:type="dxa"/>
              <w:bottom w:w="180" w:type="dxa"/>
              <w:right w:w="180" w:type="dxa"/>
            </w:tcMar>
          </w:tcPr>
          <w:p>
            <w:pPr>
              <w:spacing w:before="200" w:after="80"/>
            </w:pPr>
            <w:r>
              <w:rPr>
                <w:rFonts w:ascii="Calibri" w:hAnsi="Calibri"/>
                <w:b/>
                <w:color w:val="FFFFFF"/>
                <w:sz w:val="36"/>
              </w:rPr>
              <w:t>Strategic IT Project Solutions</w:t>
            </w:r>
          </w:p>
          <w:p>
            <w:pPr>
              <w:spacing w:before="0" w:after="200"/>
            </w:pPr>
            <w:r>
              <w:rPr>
                <w:rFonts w:ascii="Calibri" w:hAnsi="Calibri"/>
                <w:b w:val="0"/>
                <w:color w:val="E97132"/>
                <w:sz w:val="22"/>
              </w:rPr>
              <w:t>Agile &amp; Project Management Advisory</w:t>
            </w:r>
          </w:p>
        </w:tc>
      </w:tr>
    </w:tbl>
    <w:p>
      <w:pPr>
        <w:spacing w:before="280" w:after="160"/>
        <w:jc w:val="center"/>
      </w:pPr>
      <w:r>
        <w:rPr>
          <w:rFonts w:ascii="Calibri" w:hAnsi="Calibri"/>
          <w:b/>
          <w:color w:val="AAAAAA"/>
          <w:sz w:val="18"/>
        </w:rPr>
        <w:t>SITPS-PMI-2026-08</w:t>
      </w:r>
    </w:p>
    <w:p>
      <w:pPr>
        <w:spacing w:before="0" w:after="240"/>
        <w:pBdr>
          <w:bottom w:val="single" w:sz="16" w:space="1" w:color="E97132"/>
        </w:pBdr>
      </w:pPr>
    </w:p>
    <w:p>
      <w:pPr>
        <w:spacing w:before="0" w:after="200"/>
        <w:jc w:val="center"/>
      </w:pPr>
      <w:r>
        <w:rPr>
          <w:rFonts w:ascii="Calibri" w:hAnsi="Calibri"/>
          <w:b/>
          <w:color w:val="0E2841"/>
          <w:sz w:val="44"/>
        </w:rPr>
        <w:t>Área 8 PMI: Gestión de los Riesgos</w:t>
      </w:r>
    </w:p>
    <w:p>
      <w:pPr>
        <w:spacing w:before="0" w:after="80"/>
        <w:jc w:val="center"/>
      </w:pPr>
      <w:r>
        <w:rPr>
          <w:rFonts w:ascii="Calibri" w:hAnsi="Calibri"/>
          <w:b w:val="0"/>
          <w:color w:val="0E6251"/>
          <w:sz w:val="24"/>
        </w:rPr>
        <w:t>Sistema de Recomendación de Carrera Universitaria</w:t>
      </w:r>
    </w:p>
    <w:p>
      <w:pPr>
        <w:spacing w:before="0" w:after="280"/>
        <w:jc w:val="center"/>
      </w:pPr>
      <w:r>
        <w:rPr>
          <w:rFonts w:ascii="Calibri" w:hAnsi="Calibri"/>
          <w:b w:val="0"/>
          <w:color w:val="AAAAAA"/>
          <w:sz w:val="20"/>
        </w:rPr>
        <w:t>UVG Campus Central — 2026</w:t>
      </w:r>
    </w:p>
    <w:p>
      <w:pPr>
        <w:spacing w:before="0" w:after="240"/>
        <w:pBdr>
          <w:bottom w:val="single" w:sz="8" w:space="1" w:color="E8E8E8"/>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1814"/>
        <w:gridCol w:w="7258"/>
      </w:tblGrid>
      <w:tr>
        <w:tc>
          <w:tcPr>
            <w:tcW w:w="1814" w:type="dxa"/>
          </w:tcPr>
          <w:p>
            <w:pPr>
              <w:spacing w:before="60" w:after="60"/>
            </w:pPr>
            <w:r>
              <w:rPr>
                <w:rFonts w:ascii="Calibri" w:hAnsi="Calibri"/>
                <w:b/>
                <w:color w:val="AAAAAA"/>
                <w:sz w:val="20"/>
              </w:rPr>
              <w:t>Proyecto</w:t>
            </w:r>
          </w:p>
        </w:tc>
        <w:tc>
          <w:tcPr>
            <w:tcW w:w="7258" w:type="dxa"/>
          </w:tcPr>
          <w:p>
            <w:pPr>
              <w:spacing w:before="60" w:after="60"/>
            </w:pPr>
            <w:r>
              <w:rPr>
                <w:rFonts w:ascii="Calibri" w:hAnsi="Calibri"/>
                <w:b w:val="0"/>
                <w:color w:val="0E2841"/>
                <w:sz w:val="20"/>
              </w:rPr>
              <w:t>Sistema de Recomendación Vocacional</w:t>
            </w:r>
          </w:p>
        </w:tc>
      </w:tr>
      <w:tr>
        <w:tc>
          <w:tcPr>
            <w:tcW w:w="1814" w:type="dxa"/>
          </w:tcPr>
          <w:p>
            <w:pPr>
              <w:spacing w:before="60" w:after="60"/>
            </w:pPr>
            <w:r>
              <w:rPr>
                <w:rFonts w:ascii="Calibri" w:hAnsi="Calibri"/>
                <w:b/>
                <w:color w:val="AAAAAA"/>
                <w:sz w:val="20"/>
              </w:rPr>
              <w:t>Cliente</w:t>
            </w:r>
          </w:p>
        </w:tc>
        <w:tc>
          <w:tcPr>
            <w:tcW w:w="7258" w:type="dxa"/>
          </w:tcPr>
          <w:p>
            <w:pPr>
              <w:spacing w:before="60" w:after="60"/>
            </w:pPr>
            <w:r>
              <w:rPr>
                <w:rFonts w:ascii="Calibri" w:hAnsi="Calibri"/>
                <w:b w:val="0"/>
                <w:color w:val="0E2841"/>
                <w:sz w:val="20"/>
              </w:rPr>
              <w:t>UVG Campus Central — Admisiones</w:t>
            </w:r>
          </w:p>
        </w:tc>
      </w:tr>
      <w:tr>
        <w:tc>
          <w:tcPr>
            <w:tcW w:w="1814" w:type="dxa"/>
          </w:tcPr>
          <w:p>
            <w:pPr>
              <w:spacing w:before="60" w:after="60"/>
            </w:pPr>
            <w:r>
              <w:rPr>
                <w:rFonts w:ascii="Calibri" w:hAnsi="Calibri"/>
                <w:b/>
                <w:color w:val="AAAAAA"/>
                <w:sz w:val="20"/>
              </w:rPr>
              <w:t>Product Owner</w:t>
            </w:r>
          </w:p>
        </w:tc>
        <w:tc>
          <w:tcPr>
            <w:tcW w:w="7258" w:type="dxa"/>
          </w:tcPr>
          <w:p>
            <w:pPr>
              <w:spacing w:before="60" w:after="60"/>
            </w:pPr>
            <w:r>
              <w:rPr>
                <w:rFonts w:ascii="Calibri" w:hAnsi="Calibri"/>
                <w:b w:val="0"/>
                <w:color w:val="0E2841"/>
                <w:sz w:val="20"/>
              </w:rPr>
              <w:t>Josué Say</w:t>
            </w:r>
          </w:p>
        </w:tc>
      </w:tr>
      <w:tr>
        <w:tc>
          <w:tcPr>
            <w:tcW w:w="1814" w:type="dxa"/>
          </w:tcPr>
          <w:p>
            <w:pPr>
              <w:spacing w:before="60" w:after="60"/>
            </w:pPr>
            <w:r>
              <w:rPr>
                <w:rFonts w:ascii="Calibri" w:hAnsi="Calibri"/>
                <w:b/>
                <w:color w:val="AAAAAA"/>
                <w:sz w:val="20"/>
              </w:rPr>
              <w:t>Sponsor</w:t>
            </w:r>
          </w:p>
        </w:tc>
        <w:tc>
          <w:tcPr>
            <w:tcW w:w="7258" w:type="dxa"/>
          </w:tcPr>
          <w:p>
            <w:pPr>
              <w:spacing w:before="60" w:after="60"/>
            </w:pPr>
            <w:r>
              <w:rPr>
                <w:rFonts w:ascii="Calibri" w:hAnsi="Calibri"/>
                <w:b w:val="0"/>
                <w:color w:val="0E2841"/>
                <w:sz w:val="20"/>
              </w:rPr>
              <w:t>Erick Oswaldo Marroquín Zamora</w:t>
            </w:r>
          </w:p>
        </w:tc>
      </w:tr>
      <w:tr>
        <w:tc>
          <w:tcPr>
            <w:tcW w:w="1814" w:type="dxa"/>
          </w:tcPr>
          <w:p>
            <w:pPr>
              <w:spacing w:before="60" w:after="60"/>
            </w:pPr>
            <w:r>
              <w:rPr>
                <w:rFonts w:ascii="Calibri" w:hAnsi="Calibri"/>
                <w:b/>
                <w:color w:val="AAAAAA"/>
                <w:sz w:val="20"/>
              </w:rPr>
              <w:t>Fecha</w:t>
            </w:r>
          </w:p>
        </w:tc>
        <w:tc>
          <w:tcPr>
            <w:tcW w:w="7258" w:type="dxa"/>
          </w:tcPr>
          <w:p>
            <w:pPr>
              <w:spacing w:before="60" w:after="60"/>
            </w:pPr>
            <w:r>
              <w:rPr>
                <w:rFonts w:ascii="Calibri" w:hAnsi="Calibri"/>
                <w:b w:val="0"/>
                <w:color w:val="0E2841"/>
                <w:sz w:val="20"/>
              </w:rPr>
              <w:t>Mayo 2026</w:t>
            </w:r>
          </w:p>
        </w:tc>
      </w:tr>
      <w:tr>
        <w:tc>
          <w:tcPr>
            <w:tcW w:w="1814" w:type="dxa"/>
          </w:tcPr>
          <w:p>
            <w:pPr>
              <w:spacing w:before="60" w:after="60"/>
            </w:pPr>
            <w:r>
              <w:rPr>
                <w:rFonts w:ascii="Calibri" w:hAnsi="Calibri"/>
                <w:b/>
                <w:color w:val="AAAAAA"/>
                <w:sz w:val="20"/>
              </w:rPr>
              <w:t>Versión</w:t>
            </w:r>
          </w:p>
        </w:tc>
        <w:tc>
          <w:tcPr>
            <w:tcW w:w="7258" w:type="dxa"/>
          </w:tcPr>
          <w:p>
            <w:pPr>
              <w:spacing w:before="60" w:after="60"/>
            </w:pPr>
            <w:r>
              <w:rPr>
                <w:rFonts w:ascii="Calibri" w:hAnsi="Calibri"/>
                <w:b w:val="0"/>
                <w:color w:val="0E2841"/>
                <w:sz w:val="20"/>
              </w:rPr>
              <w:t>1.0</w:t>
            </w:r>
          </w:p>
        </w:tc>
      </w:tr>
    </w:tbl>
    <w:p>
      <w:pPr>
        <w:spacing w:before="280" w:after="200"/>
        <w:pBdr>
          <w:bottom w:val="single" w:sz="16" w:space="1" w:color="E97132"/>
        </w:pBdr>
      </w:pPr>
    </w:p>
    <w:tbl>
      <w:tblPr>
        <w:tblLook w:firstColumn="1" w:firstRow="1" w:lastColumn="0" w:lastRow="0" w:noHBand="0" w:noVBand="1" w:val="04A0"/>
        <w:tblBorders>
          <w:top w:val="none"/>
          <w:left w:val="none"/>
          <w:bottom w:val="none"/>
          <w:right w:val="none"/>
          <w:insideH w:val="none"/>
          <w:insideV w:val="none"/>
        </w:tblBorders>
        <w:tblW w:w="5000" w:type="pct"/>
      </w:tblPr>
      <w:tblGrid>
        <w:gridCol w:w="9360"/>
      </w:tblGrid>
      <w:tr>
        <w:tc>
          <w:tcPr>
            <w:tcW w:type="dxa" w:w="9360"/>
            <w:shd w:val="clear" w:color="auto" w:fill="E8E8E8"/>
            <w:tcBorders>
              <w:top w:val="none"/>
              <w:bottom w:val="none"/>
              <w:right w:val="none"/>
              <w:left w:val="single" w:sz="18" w:space="0" w:color="0E6251"/>
            </w:tcBorders>
            <w:tcMar>
              <w:top w:w="160" w:type="dxa"/>
              <w:left w:w="160" w:type="dxa"/>
              <w:bottom w:w="160" w:type="dxa"/>
              <w:right w:w="160" w:type="dxa"/>
            </w:tcMar>
          </w:tcPr>
          <w:p>
            <w:pPr>
              <w:spacing w:before="120" w:after="120"/>
            </w:pPr>
            <w:r>
              <w:rPr>
                <w:rFonts w:ascii="Calibri" w:hAnsi="Calibri"/>
                <w:b/>
                <w:color w:val="0E2841"/>
                <w:sz w:val="20"/>
              </w:rPr>
              <w:t xml:space="preserve">Área PMI: </w:t>
            </w:r>
            <w:r>
              <w:rPr>
                <w:rFonts w:ascii="Calibri" w:hAnsi="Calibri"/>
                <w:b w:val="0"/>
                <w:color w:val="0E2841"/>
                <w:sz w:val="20"/>
              </w:rPr>
              <w:t>Área 8 — Gestión de los Riesgos</w:t>
            </w:r>
          </w:p>
        </w:tc>
      </w:tr>
    </w:tbl>
    <w:p>
      <w:pPr>
        <w:spacing w:before="400" w:after="0"/>
      </w:pPr>
    </w:p>
    <w:p>
      <w:pPr>
        <w:spacing w:before="0" w:after="80"/>
        <w:pBdr>
          <w:bottom w:val="single" w:sz="6" w:space="1" w:color="E8E8E8"/>
        </w:pBdr>
      </w:pPr>
    </w:p>
    <w:p>
      <w:pPr>
        <w:spacing w:before="80" w:after="0"/>
        <w:tabs>
          <w:tab w:val="right" w:pos="9360"/>
        </w:tabs>
      </w:pPr>
      <w:r>
        <w:rPr>
          <w:rFonts w:ascii="Calibri" w:hAnsi="Calibri"/>
          <w:b w:val="0"/>
          <w:color w:val="AAAAAA"/>
          <w:sz w:val="16"/>
        </w:rPr>
        <w:t>Documento de uso interno — Strategic IT Project Solutions</w:t>
      </w:r>
      <w:r>
        <w:rPr>
          <w:rFonts w:ascii="Calibri" w:hAnsi="Calibri"/>
          <w:b w:val="0"/>
          <w:color w:val="AAAAAA"/>
          <w:sz w:val="16"/>
        </w:rPr>
        <w:tab/>
        <w:t>SITPS-PMI-2026-08 — v1.0</w:t>
      </w:r>
    </w:p>
    <w:p>
      <w:r>
        <w:br w:type="page"/>
      </w:r>
    </w:p>
    <w:p>
      <w:pPr>
        <w:pStyle w:val="Heading1"/>
      </w:pPr>
      <w:bookmarkStart w:id="20" w:name="área-8-pmi-gestión-de-los-riesgos"/>
      <w:r>
        <w:t xml:space="preserve">Área 8 PMI: Gestión de los Riesgos</w:t>
      </w:r>
      <w:bookmarkEnd w:id="20"/>
    </w:p>
    <w:p>
      <w:pPr>
        <w:pStyle w:val="Heading2"/>
      </w:pPr>
      <w:bookmarkStart w:id="21" w:name="descripción-del-área"/>
      <w:r>
        <w:t xml:space="preserve">Descripción del área</w:t>
      </w:r>
      <w:bookmarkEnd w:id="21"/>
    </w:p>
    <w:p>
      <w:pPr>
        <w:pStyle w:val="FirstParagraph"/>
      </w:pPr>
      <w:r>
        <w:t xml:space="preserve">La Gestión de los Riesgos es el área del PMBOK responsable de identificar, analizar, planificar respuestas y controlar los riesgos del proyecto. Un riesgo es un evento incierto que, si ocurre, tiene un efecto positivo o negativo sobre los objetivos del proyecto.</w:t>
      </w:r>
    </w:p>
    <w:p>
      <w:pPr>
        <w:pStyle w:val="BodyText"/>
      </w:pPr>
      <w:r>
        <w:t xml:space="preserve">En este proyecto se identificaron 9 riesgos (R1–R9) durante la Fase 1. Cada riesgo tiene una categoría, una probabilidad estimada, una estrategia de respuesta y un responsable de monitoreo asignado.</w:t>
      </w:r>
    </w:p>
    <w:p>
      <w:pPr>
        <w:pStyle w:val="Heading2"/>
      </w:pPr>
      <w:bookmarkStart w:id="22" w:name="X1739cf95e600300efeb7155a0280f187b48a2a3"/>
      <w:r>
        <w:t xml:space="preserve">Las 4 estrategias de respuesta a riesgos negativos</w:t>
      </w:r>
      <w:bookmarkEnd w:id="22"/>
    </w:p>
    <w:p>
      <w:pPr>
        <w:pStyle w:val="Heading3"/>
      </w:pPr>
      <w:bookmarkStart w:id="23" w:name="evitar"/>
      <w:r>
        <w:t xml:space="preserve">Evitar</w:t>
      </w:r>
      <w:bookmarkEnd w:id="23"/>
    </w:p>
    <w:p>
      <w:pPr>
        <w:pStyle w:val="FirstParagraph"/>
      </w:pPr>
      <w:r>
        <w:t xml:space="preserve">Eliminar la amenaza cambiando el plan del proyecto para que el riesgo no pueda ocurrir. Se usa cuando el riesgo tiene probabilidad alta y el impacto es crítico para el proyecto. Implica modificar el alcance, el cronograma o el enfoque técnico para no exponerse al riesgo.</w:t>
      </w:r>
    </w:p>
    <w:p>
      <w:pPr>
        <w:pStyle w:val="Heading3"/>
      </w:pPr>
      <w:bookmarkStart w:id="24" w:name="mitigar"/>
      <w:r>
        <w:t xml:space="preserve">Mitigar</w:t>
      </w:r>
      <w:bookmarkEnd w:id="24"/>
    </w:p>
    <w:p>
      <w:pPr>
        <w:pStyle w:val="FirstParagraph"/>
      </w:pPr>
      <w:r>
        <w:t xml:space="preserve">Reducir la probabilidad de ocurrencia del riesgo o reducir su impacto si ocurre. Es la estrategia más frecuente en proyectos de software. No elimina el riesgo pero lo lleva a un nivel tolerable. Se implementa mediante acciones preventivas antes de que el riesgo se materialice.</w:t>
      </w:r>
    </w:p>
    <w:p>
      <w:pPr>
        <w:pStyle w:val="Heading3"/>
      </w:pPr>
      <w:bookmarkStart w:id="25" w:name="transferir"/>
      <w:r>
        <w:t xml:space="preserve">Transferir</w:t>
      </w:r>
      <w:bookmarkEnd w:id="25"/>
    </w:p>
    <w:p>
      <w:pPr>
        <w:pStyle w:val="FirstParagraph"/>
      </w:pPr>
      <w:r>
        <w:t xml:space="preserve">Trasladar el impacto negativo del riesgo a un tercero, generalmente a través de contratos, SLAs o pólizas. El riesgo no desaparece, pero la responsabilidad de gestionar su impacto pasa a otra entidad. Se usa cuando la organización no tiene capacidad técnica o financiera para absorber el riesgo por sí misma.</w:t>
      </w:r>
    </w:p>
    <w:p>
      <w:pPr>
        <w:pStyle w:val="Heading3"/>
      </w:pPr>
      <w:bookmarkStart w:id="26" w:name="aceptar"/>
      <w:r>
        <w:t xml:space="preserve">Aceptar</w:t>
      </w:r>
      <w:bookmarkEnd w:id="26"/>
    </w:p>
    <w:p>
      <w:pPr>
        <w:pStyle w:val="FirstParagraph"/>
      </w:pPr>
      <w:r>
        <w:t xml:space="preserve">Reconocer que el riesgo existe y decidir conscientemente no tomar acción preventiva, ya sea porque la probabilidad o el impacto son demasiado bajos para justificar el costo de mitigación, o porque la mitigación no es viable. La aceptación puede ser activa (con un plan de contingencia si ocurre) o pasiva (sin acción planificada).</w:t>
      </w:r>
    </w:p>
    <w:p>
      <w:pPr>
        <w:pStyle w:val="Heading2"/>
      </w:pPr>
      <w:bookmarkStart w:id="27" w:name="X9aa5b282dd4ee787d9b3c9cd4c2090371b2cb34"/>
      <w:r>
        <w:t xml:space="preserve">Tabla de probabilidades canónica del curso</w:t>
      </w:r>
      <w:bookmarkEnd w:id="27"/>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2640"/>
        <w:gridCol w:w="2640"/>
        <w:gridCol w:w="264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Nivel</w:t>
            </w:r>
          </w:p>
        </w:tc>
        <w:tc>
          <w:tcPr>
            <w:tcBorders>
              <w:bottom w:val="single"/>
            </w:tcBorders>
            <w:vAlign w:val="bottom"/>
            <w:shd w:val="clear" w:color="auto" w:fill="0E2841"/>
          </w:tcPr>
          <w:p>
            <w:pPr>
              <w:pStyle w:val="Compact"/>
              <w:jc w:val="left"/>
            </w:pPr>
            <w:r>
              <w:rPr>
                <w:rFonts w:ascii="Calibri" w:hAnsi="Calibri"/>
                <w:b/>
                <w:color w:val="FFFFFF"/>
                <w:sz w:val="18"/>
              </w:rPr>
              <w:t xml:space="preserve">Valor numérico</w:t>
            </w:r>
          </w:p>
        </w:tc>
        <w:tc>
          <w:tcPr>
            <w:tcBorders>
              <w:bottom w:val="single"/>
            </w:tcBorders>
            <w:vAlign w:val="bottom"/>
            <w:shd w:val="clear" w:color="auto" w:fill="0E2841"/>
          </w:tcPr>
          <w:p>
            <w:pPr>
              <w:pStyle w:val="Compact"/>
              <w:jc w:val="left"/>
            </w:pPr>
            <w:r>
              <w:rPr>
                <w:rFonts w:ascii="Calibri" w:hAnsi="Calibri"/>
                <w:b/>
                <w:color w:val="FFFFFF"/>
                <w:sz w:val="18"/>
              </w:rPr>
              <w:t xml:space="preserve">Descripción</w:t>
            </w:r>
          </w:p>
        </w:tc>
      </w:tr>
      <w:tr>
        <w:tc>
          <w:tcPr>
            <w:shd w:val="clear" w:color="auto" w:fill="FFFFFF"/>
          </w:tcPr>
          <w:p>
            <w:pPr>
              <w:pStyle w:val="Compact"/>
              <w:jc w:val="left"/>
            </w:pPr>
            <w:r>
              <w:rPr>
                <w:rFonts w:ascii="Calibri" w:hAnsi="Calibri"/>
                <w:sz w:val="18"/>
              </w:rPr>
              <w:t xml:space="preserve">Baja</w:t>
            </w:r>
          </w:p>
        </w:tc>
        <w:tc>
          <w:tcPr>
            <w:shd w:val="clear" w:color="auto" w:fill="FFFFFF"/>
          </w:tcPr>
          <w:p>
            <w:pPr>
              <w:pStyle w:val="Compact"/>
              <w:jc w:val="left"/>
            </w:pPr>
            <w:r>
              <w:rPr>
                <w:rFonts w:ascii="Calibri" w:hAnsi="Calibri"/>
                <w:sz w:val="18"/>
              </w:rPr>
              <w:t xml:space="preserve">0.20</w:t>
            </w:r>
          </w:p>
        </w:tc>
        <w:tc>
          <w:tcPr>
            <w:shd w:val="clear" w:color="auto" w:fill="FFFFFF"/>
          </w:tcPr>
          <w:p>
            <w:pPr>
              <w:pStyle w:val="Compact"/>
              <w:jc w:val="left"/>
            </w:pPr>
            <w:r>
              <w:rPr>
                <w:rFonts w:ascii="Calibri" w:hAnsi="Calibri"/>
                <w:sz w:val="18"/>
              </w:rPr>
              <w:t xml:space="preserve">El riesgo tiene poca probabilidad de ocurrir dado el contexto actual del proyecto</w:t>
            </w:r>
          </w:p>
        </w:tc>
      </w:tr>
      <w:tr>
        <w:tc>
          <w:tcPr>
            <w:shd w:val="clear" w:color="auto" w:fill="E8E8E8"/>
          </w:tcPr>
          <w:p>
            <w:pPr>
              <w:pStyle w:val="Compact"/>
              <w:jc w:val="left"/>
            </w:pPr>
            <w:r>
              <w:rPr>
                <w:rFonts w:ascii="Calibri" w:hAnsi="Calibri"/>
                <w:sz w:val="18"/>
              </w:rPr>
              <w:t xml:space="preserve">Media</w:t>
            </w:r>
          </w:p>
        </w:tc>
        <w:tc>
          <w:tcPr>
            <w:shd w:val="clear" w:color="auto" w:fill="E8E8E8"/>
          </w:tcPr>
          <w:p>
            <w:pPr>
              <w:pStyle w:val="Compact"/>
              <w:jc w:val="left"/>
            </w:pPr>
            <w:r>
              <w:rPr>
                <w:rFonts w:ascii="Calibri" w:hAnsi="Calibri"/>
                <w:sz w:val="18"/>
              </w:rPr>
              <w:t xml:space="preserve">0.40</w:t>
            </w:r>
          </w:p>
        </w:tc>
        <w:tc>
          <w:tcPr>
            <w:shd w:val="clear" w:color="auto" w:fill="E8E8E8"/>
          </w:tcPr>
          <w:p>
            <w:pPr>
              <w:pStyle w:val="Compact"/>
              <w:jc w:val="left"/>
            </w:pPr>
            <w:r>
              <w:rPr>
                <w:rFonts w:ascii="Calibri" w:hAnsi="Calibri"/>
                <w:sz w:val="18"/>
              </w:rPr>
              <w:t xml:space="preserve">El riesgo tiene una probabilidad moderada y debe monitorearse activamente</w:t>
            </w:r>
          </w:p>
        </w:tc>
      </w:tr>
      <w:tr>
        <w:tc>
          <w:tcPr>
            <w:shd w:val="clear" w:color="auto" w:fill="FFFFFF"/>
          </w:tcPr>
          <w:p>
            <w:pPr>
              <w:pStyle w:val="Compact"/>
              <w:jc w:val="left"/>
            </w:pPr>
            <w:r>
              <w:rPr>
                <w:rFonts w:ascii="Calibri" w:hAnsi="Calibri"/>
                <w:sz w:val="18"/>
              </w:rPr>
              <w:t xml:space="preserve">Alta</w:t>
            </w:r>
          </w:p>
        </w:tc>
        <w:tc>
          <w:tcPr>
            <w:shd w:val="clear" w:color="auto" w:fill="FFFFFF"/>
          </w:tcPr>
          <w:p>
            <w:pPr>
              <w:pStyle w:val="Compact"/>
              <w:jc w:val="left"/>
            </w:pPr>
            <w:r>
              <w:rPr>
                <w:rFonts w:ascii="Calibri" w:hAnsi="Calibri"/>
                <w:sz w:val="18"/>
              </w:rPr>
              <w:t xml:space="preserve">0.70</w:t>
            </w:r>
          </w:p>
        </w:tc>
        <w:tc>
          <w:tcPr>
            <w:shd w:val="clear" w:color="auto" w:fill="FFFFFF"/>
          </w:tcPr>
          <w:p>
            <w:pPr>
              <w:pStyle w:val="Compact"/>
              <w:jc w:val="left"/>
            </w:pPr>
            <w:r>
              <w:rPr>
                <w:rFonts w:ascii="Calibri" w:hAnsi="Calibri"/>
                <w:sz w:val="18"/>
              </w:rPr>
              <w:t xml:space="preserve">El riesgo tiene alta probabilidad de ocurrir y requiere mitigación inmediata</w:t>
            </w:r>
          </w:p>
        </w:tc>
      </w:tr>
    </w:tbl>
    <w:p>
      <w:pPr>
        <w:pStyle w:val="Heading2"/>
      </w:pPr>
      <w:bookmarkStart w:id="28" w:name="X1d57380fac37fcee96425279f246d55ad0b13eb"/>
      <w:r>
        <w:t xml:space="preserve">Fórmulas de cuantificación de riesgos (conceptuales)</w:t>
      </w:r>
      <w:bookmarkEnd w:id="28"/>
    </w:p>
    <w:p>
      <w:pPr>
        <w:pStyle w:val="Heading3"/>
      </w:pPr>
      <w:bookmarkStart w:id="29" w:name="fórmula-emv"/>
      <w:r>
        <w:t xml:space="preserve">Fórmula EMV</w:t>
      </w:r>
      <w:bookmarkEnd w:id="29"/>
    </w:p>
    <w:p>
      <w:pPr>
        <w:pStyle w:val="FirstParagraph"/>
      </w:pPr>
      <w:r>
        <w:t xml:space="preserve">El Valor Monetario Esperado (Expected Monetary Value) cuantifica el costo esperado de un riesgo:</w:t>
      </w:r>
    </w:p>
    <w:p>
      <w:pPr>
        <w:pStyle w:val="SourceCode"/>
      </w:pPr>
      <w:r>
        <w:rPr>
          <w:rStyle w:val="ExtensionTok"/>
        </w:rPr>
        <w:t xml:space="preserve">EMV</w:t>
      </w:r>
      <w:r>
        <w:rPr>
          <w:rStyle w:val="NormalTok"/>
        </w:rPr>
        <w:t xml:space="preserve"> = Probabilidad * Impacto Económico</w:t>
      </w:r>
    </w:p>
    <w:p>
      <w:pPr>
        <w:pStyle w:val="Heading3"/>
      </w:pPr>
      <w:bookmarkStart w:id="30" w:name="fórmula-de-impacto"/>
      <w:r>
        <w:t xml:space="preserve">Fórmula de impacto</w:t>
      </w:r>
      <w:bookmarkEnd w:id="30"/>
    </w:p>
    <w:p>
      <w:pPr>
        <w:pStyle w:val="FirstParagraph"/>
      </w:pPr>
      <w:r>
        <w:t xml:space="preserve">El impacto económico de un riesgo de cronograma se calcula como:</w:t>
      </w:r>
    </w:p>
    <w:p>
      <w:pPr>
        <w:pStyle w:val="SourceCode"/>
      </w:pPr>
      <w:r>
        <w:rPr>
          <w:rStyle w:val="ExtensionTok"/>
        </w:rPr>
        <w:t xml:space="preserve">Impacto</w:t>
      </w:r>
      <w:r>
        <w:rPr>
          <w:rStyle w:val="NormalTok"/>
        </w:rPr>
        <w:t xml:space="preserve"> = burn rate mensual * tiempo adicional estimado (en meses)</w:t>
      </w:r>
    </w:p>
    <w:p>
      <w:pPr>
        <w:pStyle w:val="FirstParagraph"/>
      </w:pPr>
      <w:r>
        <w:t xml:space="preserve">Donde el burn rate mensual es el costo total del equipo por mes de ejecución. Los valores específicos se detallan en el documento de costos del proyecto.</w:t>
      </w:r>
    </w:p>
    <w:p>
      <w:pPr>
        <w:pStyle w:val="Heading3"/>
      </w:pPr>
      <w:bookmarkStart w:id="31" w:name="reserva-de-contingencia"/>
      <w:r>
        <w:t xml:space="preserve">Reserva de contingencia</w:t>
      </w:r>
      <w:bookmarkEnd w:id="31"/>
    </w:p>
    <w:p>
      <w:pPr>
        <w:pStyle w:val="FirstParagraph"/>
      </w:pPr>
      <w:r>
        <w:t xml:space="preserve">La reserva de contingencia del proyecto es la suma de los EMVs de todos los riesgos identificados:</w:t>
      </w:r>
    </w:p>
    <w:p>
      <w:pPr>
        <w:pStyle w:val="SourceCode"/>
      </w:pPr>
      <w:r>
        <w:rPr>
          <w:rStyle w:val="ExtensionTok"/>
        </w:rPr>
        <w:t xml:space="preserve">Reserva</w:t>
      </w:r>
      <w:r>
        <w:rPr>
          <w:rStyle w:val="NormalTok"/>
        </w:rPr>
        <w:t xml:space="preserve"> de contingencia = SUM(EMV) </w:t>
      </w:r>
      <w:r>
        <w:rPr>
          <w:rStyle w:val="ExtensionTok"/>
        </w:rPr>
        <w:t xml:space="preserve">para</w:t>
      </w:r>
      <w:r>
        <w:rPr>
          <w:rStyle w:val="NormalTok"/>
        </w:rPr>
        <w:t xml:space="preserve"> R1 + R2 + ... + R9</w:t>
      </w:r>
    </w:p>
    <w:p>
      <w:pPr>
        <w:pStyle w:val="FirstParagraph"/>
      </w:pPr>
      <w:r>
        <w:t xml:space="preserve">El valor monetario específico de la reserva se detalla en el documento de costos del proyecto.</w:t>
      </w:r>
    </w:p>
    <w:p>
      <w:pPr>
        <w:pStyle w:val="Heading2"/>
      </w:pPr>
      <w:bookmarkStart w:id="32" w:name="matriz-de-riesgos-r1r9"/>
      <w:r>
        <w:t xml:space="preserve">Matriz de riesgos R1–R9</w:t>
      </w:r>
      <w:bookmarkEnd w:id="32"/>
    </w:p>
    <w:tbl>
      <w:tblPr>
        <w:tblStyle w:val="Table"/>
        <w:tblW w:type="pct" w:w="4999.999999999999"/>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131"/>
        <w:gridCol w:w="1131"/>
        <w:gridCol w:w="1131"/>
        <w:gridCol w:w="1131"/>
        <w:gridCol w:w="1131"/>
        <w:gridCol w:w="1131"/>
        <w:gridCol w:w="1131"/>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ID</w:t>
            </w:r>
          </w:p>
        </w:tc>
        <w:tc>
          <w:tcPr>
            <w:tcBorders>
              <w:bottom w:val="single"/>
            </w:tcBorders>
            <w:vAlign w:val="bottom"/>
            <w:shd w:val="clear" w:color="auto" w:fill="0E2841"/>
          </w:tcPr>
          <w:p>
            <w:pPr>
              <w:pStyle w:val="Compact"/>
              <w:jc w:val="left"/>
            </w:pPr>
            <w:r>
              <w:rPr>
                <w:rFonts w:ascii="Calibri" w:hAnsi="Calibri"/>
                <w:b/>
                <w:color w:val="FFFFFF"/>
                <w:sz w:val="18"/>
              </w:rPr>
              <w:t xml:space="preserve">Descripción</w:t>
            </w:r>
          </w:p>
        </w:tc>
        <w:tc>
          <w:tcPr>
            <w:tcBorders>
              <w:bottom w:val="single"/>
            </w:tcBorders>
            <w:vAlign w:val="bottom"/>
            <w:shd w:val="clear" w:color="auto" w:fill="0E2841"/>
          </w:tcPr>
          <w:p>
            <w:pPr>
              <w:pStyle w:val="Compact"/>
              <w:jc w:val="left"/>
            </w:pPr>
            <w:r>
              <w:rPr>
                <w:rFonts w:ascii="Calibri" w:hAnsi="Calibri"/>
                <w:b/>
                <w:color w:val="FFFFFF"/>
                <w:sz w:val="18"/>
              </w:rPr>
              <w:t xml:space="preserve">Categoría</w:t>
            </w:r>
          </w:p>
        </w:tc>
        <w:tc>
          <w:tcPr>
            <w:tcBorders>
              <w:bottom w:val="single"/>
            </w:tcBorders>
            <w:vAlign w:val="bottom"/>
            <w:shd w:val="clear" w:color="auto" w:fill="0E2841"/>
          </w:tcPr>
          <w:p>
            <w:pPr>
              <w:pStyle w:val="Compact"/>
              <w:jc w:val="left"/>
            </w:pPr>
            <w:r>
              <w:rPr>
                <w:rFonts w:ascii="Calibri" w:hAnsi="Calibri"/>
                <w:b/>
                <w:color w:val="FFFFFF"/>
                <w:sz w:val="18"/>
              </w:rPr>
              <w:t xml:space="preserve">Probabilidad</w:t>
            </w:r>
          </w:p>
        </w:tc>
        <w:tc>
          <w:tcPr>
            <w:tcBorders>
              <w:bottom w:val="single"/>
            </w:tcBorders>
            <w:vAlign w:val="bottom"/>
            <w:shd w:val="clear" w:color="auto" w:fill="0E2841"/>
          </w:tcPr>
          <w:p>
            <w:pPr>
              <w:pStyle w:val="Compact"/>
              <w:jc w:val="left"/>
            </w:pPr>
            <w:r>
              <w:rPr>
                <w:rFonts w:ascii="Calibri" w:hAnsi="Calibri"/>
                <w:b/>
                <w:color w:val="FFFFFF"/>
                <w:sz w:val="18"/>
              </w:rPr>
              <w:t xml:space="preserve">Estrategia</w:t>
            </w:r>
          </w:p>
        </w:tc>
        <w:tc>
          <w:tcPr>
            <w:tcBorders>
              <w:bottom w:val="single"/>
            </w:tcBorders>
            <w:vAlign w:val="bottom"/>
            <w:shd w:val="clear" w:color="auto" w:fill="0E2841"/>
          </w:tcPr>
          <w:p>
            <w:pPr>
              <w:pStyle w:val="Compact"/>
              <w:jc w:val="left"/>
            </w:pPr>
            <w:r>
              <w:rPr>
                <w:rFonts w:ascii="Calibri" w:hAnsi="Calibri"/>
                <w:b/>
                <w:color w:val="FFFFFF"/>
                <w:sz w:val="18"/>
              </w:rPr>
              <w:t xml:space="preserve">Acción de respuesta</w:t>
            </w:r>
          </w:p>
        </w:tc>
        <w:tc>
          <w:tcPr>
            <w:tcBorders>
              <w:bottom w:val="single"/>
            </w:tcBorders>
            <w:vAlign w:val="bottom"/>
            <w:shd w:val="clear" w:color="auto" w:fill="0E2841"/>
          </w:tcPr>
          <w:p>
            <w:pPr>
              <w:pStyle w:val="Compact"/>
              <w:jc w:val="left"/>
            </w:pPr>
            <w:r>
              <w:rPr>
                <w:rFonts w:ascii="Calibri" w:hAnsi="Calibri"/>
                <w:b/>
                <w:color w:val="FFFFFF"/>
                <w:sz w:val="18"/>
              </w:rPr>
              <w:t xml:space="preserve">Responsable</w:t>
            </w:r>
          </w:p>
        </w:tc>
      </w:tr>
      <w:tr>
        <w:tc>
          <w:tcPr>
            <w:shd w:val="clear" w:color="auto" w:fill="FFFFFF"/>
          </w:tcPr>
          <w:p>
            <w:pPr>
              <w:pStyle w:val="Compact"/>
              <w:jc w:val="left"/>
            </w:pPr>
            <w:r>
              <w:rPr>
                <w:rFonts w:ascii="Calibri" w:hAnsi="Calibri"/>
                <w:sz w:val="18"/>
              </w:rPr>
              <w:t xml:space="preserve">R1</w:t>
            </w:r>
          </w:p>
        </w:tc>
        <w:tc>
          <w:tcPr>
            <w:shd w:val="clear" w:color="auto" w:fill="FFFFFF"/>
          </w:tcPr>
          <w:p>
            <w:pPr>
              <w:pStyle w:val="Compact"/>
              <w:jc w:val="left"/>
            </w:pPr>
            <w:r>
              <w:rPr>
                <w:rFonts w:ascii="Calibri" w:hAnsi="Calibri"/>
                <w:sz w:val="18"/>
              </w:rPr>
              <w:t xml:space="preserve">Cambios de requerimientos durante la ejecución que amplíen el alcance comprometido</w:t>
            </w:r>
          </w:p>
        </w:tc>
        <w:tc>
          <w:tcPr>
            <w:shd w:val="clear" w:color="auto" w:fill="FFFFFF"/>
          </w:tcPr>
          <w:p>
            <w:pPr>
              <w:pStyle w:val="Compact"/>
              <w:jc w:val="left"/>
            </w:pPr>
            <w:r>
              <w:rPr>
                <w:rFonts w:ascii="Calibri" w:hAnsi="Calibri"/>
                <w:sz w:val="18"/>
              </w:rPr>
              <w:t xml:space="preserve">Alcance</w:t>
            </w:r>
          </w:p>
        </w:tc>
        <w:tc>
          <w:tcPr>
            <w:shd w:val="clear" w:color="auto" w:fill="FFFFFF"/>
          </w:tcPr>
          <w:p>
            <w:pPr>
              <w:pStyle w:val="Compact"/>
              <w:jc w:val="left"/>
            </w:pPr>
            <w:r>
              <w:rPr>
                <w:rFonts w:ascii="Calibri" w:hAnsi="Calibri"/>
                <w:sz w:val="18"/>
              </w:rPr>
              <w:t xml:space="preserve">Media (0.40)</w:t>
            </w:r>
          </w:p>
        </w:tc>
        <w:tc>
          <w:tcPr>
            <w:shd w:val="clear" w:color="auto" w:fill="FFFFFF"/>
          </w:tcPr>
          <w:p>
            <w:pPr>
              <w:pStyle w:val="Compact"/>
              <w:jc w:val="left"/>
            </w:pPr>
            <w:r>
              <w:rPr>
                <w:rFonts w:ascii="Calibri" w:hAnsi="Calibri"/>
                <w:sz w:val="18"/>
              </w:rPr>
              <w:t xml:space="preserve">Mitigar</w:t>
            </w:r>
          </w:p>
        </w:tc>
        <w:tc>
          <w:tcPr>
            <w:shd w:val="clear" w:color="auto" w:fill="FFFFFF"/>
          </w:tcPr>
          <w:p>
            <w:pPr>
              <w:pStyle w:val="Compact"/>
              <w:jc w:val="left"/>
            </w:pPr>
            <w:r>
              <w:rPr>
                <w:rFonts w:ascii="Calibri" w:hAnsi="Calibri"/>
                <w:sz w:val="18"/>
              </w:rPr>
              <w:t xml:space="preserve">DoR firme en cada sprint; proceso formal de control de cambios (CR</w:t>
            </w:r>
            <w:r>
              <w:rPr>
                <w:rFonts w:ascii="Calibri" w:hAnsi="Calibri"/>
                <w:sz w:val="18"/>
              </w:rPr>
              <w:t xml:space="preserve"> </w:t>
            </w:r>
            <m:oMath>
              <m:r>
                <m:t>→</m:t>
              </m:r>
            </m:oMath>
            <w:r>
              <w:rPr>
                <w:rFonts w:ascii="Calibri" w:hAnsi="Calibri"/>
                <w:sz w:val="18"/>
              </w:rPr>
              <w:t xml:space="preserve"> </w:t>
            </w:r>
            <w:r>
              <w:rPr>
                <w:rFonts w:ascii="Calibri" w:hAnsi="Calibri"/>
                <w:sz w:val="18"/>
              </w:rPr>
              <w:t xml:space="preserve">CCB) que impide que cambios verbales modifiquen el backlog</w:t>
            </w:r>
          </w:p>
        </w:tc>
        <w:tc>
          <w:tcPr>
            <w:shd w:val="clear" w:color="auto" w:fill="FFFFFF"/>
          </w:tcPr>
          <w:p>
            <w:pPr>
              <w:pStyle w:val="Compact"/>
              <w:jc w:val="left"/>
            </w:pPr>
            <w:r>
              <w:rPr>
                <w:rFonts w:ascii="Calibri" w:hAnsi="Calibri"/>
                <w:sz w:val="18"/>
              </w:rPr>
              <w:t xml:space="preserve">PO Say</w:t>
            </w:r>
          </w:p>
        </w:tc>
      </w:tr>
      <w:tr>
        <w:tc>
          <w:tcPr>
            <w:shd w:val="clear" w:color="auto" w:fill="E8E8E8"/>
          </w:tcPr>
          <w:p>
            <w:pPr>
              <w:pStyle w:val="Compact"/>
              <w:jc w:val="left"/>
            </w:pPr>
            <w:r>
              <w:rPr>
                <w:rFonts w:ascii="Calibri" w:hAnsi="Calibri"/>
                <w:sz w:val="18"/>
              </w:rPr>
              <w:t xml:space="preserve">R2</w:t>
            </w:r>
          </w:p>
        </w:tc>
        <w:tc>
          <w:tcPr>
            <w:shd w:val="clear" w:color="auto" w:fill="E8E8E8"/>
          </w:tcPr>
          <w:p>
            <w:pPr>
              <w:pStyle w:val="Compact"/>
              <w:jc w:val="left"/>
            </w:pPr>
            <w:r>
              <w:rPr>
                <w:rFonts w:ascii="Calibri" w:hAnsi="Calibri"/>
                <w:sz w:val="18"/>
              </w:rPr>
              <w:t xml:space="preserve">Retraso técnico del proveedor cloud que afecte el entorno de staging o producción</w:t>
            </w:r>
          </w:p>
        </w:tc>
        <w:tc>
          <w:tcPr>
            <w:shd w:val="clear" w:color="auto" w:fill="E8E8E8"/>
          </w:tcPr>
          <w:p>
            <w:pPr>
              <w:pStyle w:val="Compact"/>
              <w:jc w:val="left"/>
            </w:pPr>
            <w:r>
              <w:rPr>
                <w:rFonts w:ascii="Calibri" w:hAnsi="Calibri"/>
                <w:sz w:val="18"/>
              </w:rPr>
              <w:t xml:space="preserve">Técnico</w:t>
            </w:r>
          </w:p>
        </w:tc>
        <w:tc>
          <w:tcPr>
            <w:shd w:val="clear" w:color="auto" w:fill="E8E8E8"/>
          </w:tcPr>
          <w:p>
            <w:pPr>
              <w:pStyle w:val="Compact"/>
              <w:jc w:val="left"/>
            </w:pPr>
            <w:r>
              <w:rPr>
                <w:rFonts w:ascii="Calibri" w:hAnsi="Calibri"/>
                <w:sz w:val="18"/>
              </w:rPr>
              <w:t xml:space="preserve">Media (0.40)</w:t>
            </w:r>
          </w:p>
        </w:tc>
        <w:tc>
          <w:tcPr>
            <w:shd w:val="clear" w:color="auto" w:fill="E8E8E8"/>
          </w:tcPr>
          <w:p>
            <w:pPr>
              <w:pStyle w:val="Compact"/>
              <w:jc w:val="left"/>
            </w:pPr>
            <w:r>
              <w:rPr>
                <w:rFonts w:ascii="Calibri" w:hAnsi="Calibri"/>
                <w:sz w:val="18"/>
              </w:rPr>
              <w:t xml:space="preserve">Mitigar</w:t>
            </w:r>
          </w:p>
        </w:tc>
        <w:tc>
          <w:tcPr>
            <w:shd w:val="clear" w:color="auto" w:fill="E8E8E8"/>
          </w:tcPr>
          <w:p>
            <w:pPr>
              <w:pStyle w:val="Compact"/>
              <w:jc w:val="left"/>
            </w:pPr>
            <w:r>
              <w:rPr>
                <w:rFonts w:ascii="Calibri" w:hAnsi="Calibri"/>
                <w:sz w:val="18"/>
              </w:rPr>
              <w:t xml:space="preserve">Entorno de desarrollo paralelo (local/Docker) que permite continuar el sprint sin cloud; activación de SLA del proveedor ante demoras</w:t>
            </w:r>
          </w:p>
        </w:tc>
        <w:tc>
          <w:tcPr>
            <w:shd w:val="clear" w:color="auto" w:fill="E8E8E8"/>
          </w:tcPr>
          <w:p>
            <w:pPr>
              <w:pStyle w:val="Compact"/>
              <w:jc w:val="left"/>
            </w:pPr>
            <w:r>
              <w:rPr>
                <w:rFonts w:ascii="Calibri" w:hAnsi="Calibri"/>
                <w:sz w:val="18"/>
              </w:rPr>
              <w:t xml:space="preserve">Developer Cruz</w:t>
            </w:r>
          </w:p>
        </w:tc>
      </w:tr>
      <w:tr>
        <w:tc>
          <w:tcPr>
            <w:shd w:val="clear" w:color="auto" w:fill="FFFFFF"/>
          </w:tcPr>
          <w:p>
            <w:pPr>
              <w:pStyle w:val="Compact"/>
              <w:jc w:val="left"/>
            </w:pPr>
            <w:r>
              <w:rPr>
                <w:rFonts w:ascii="Calibri" w:hAnsi="Calibri"/>
                <w:sz w:val="18"/>
              </w:rPr>
              <w:t xml:space="preserve">R3</w:t>
            </w:r>
          </w:p>
        </w:tc>
        <w:tc>
          <w:tcPr>
            <w:shd w:val="clear" w:color="auto" w:fill="FFFFFF"/>
          </w:tcPr>
          <w:p>
            <w:pPr>
              <w:pStyle w:val="Compact"/>
              <w:jc w:val="left"/>
            </w:pPr>
            <w:r>
              <w:rPr>
                <w:rFonts w:ascii="Calibri" w:hAnsi="Calibri"/>
                <w:sz w:val="18"/>
              </w:rPr>
              <w:t xml:space="preserve">Falta de comunicación efectiva con stakeholders que genere desinformación o decisiones inconsistentes</w:t>
            </w:r>
          </w:p>
        </w:tc>
        <w:tc>
          <w:tcPr>
            <w:shd w:val="clear" w:color="auto" w:fill="FFFFFF"/>
          </w:tcPr>
          <w:p>
            <w:pPr>
              <w:pStyle w:val="Compact"/>
              <w:jc w:val="left"/>
            </w:pPr>
            <w:r>
              <w:rPr>
                <w:rFonts w:ascii="Calibri" w:hAnsi="Calibri"/>
                <w:sz w:val="18"/>
              </w:rPr>
              <w:t xml:space="preserve">Comunicación</w:t>
            </w:r>
          </w:p>
        </w:tc>
        <w:tc>
          <w:tcPr>
            <w:shd w:val="clear" w:color="auto" w:fill="FFFFFF"/>
          </w:tcPr>
          <w:p>
            <w:pPr>
              <w:pStyle w:val="Compact"/>
              <w:jc w:val="left"/>
            </w:pPr>
            <w:r>
              <w:rPr>
                <w:rFonts w:ascii="Calibri" w:hAnsi="Calibri"/>
                <w:sz w:val="18"/>
              </w:rPr>
              <w:t xml:space="preserve">Baja (0.20)</w:t>
            </w:r>
          </w:p>
        </w:tc>
        <w:tc>
          <w:tcPr>
            <w:shd w:val="clear" w:color="auto" w:fill="FFFFFF"/>
          </w:tcPr>
          <w:p>
            <w:pPr>
              <w:pStyle w:val="Compact"/>
              <w:jc w:val="left"/>
            </w:pPr>
            <w:r>
              <w:rPr>
                <w:rFonts w:ascii="Calibri" w:hAnsi="Calibri"/>
                <w:sz w:val="18"/>
              </w:rPr>
              <w:t xml:space="preserve">Mitigar</w:t>
            </w:r>
          </w:p>
        </w:tc>
        <w:tc>
          <w:tcPr>
            <w:shd w:val="clear" w:color="auto" w:fill="FFFFFF"/>
          </w:tcPr>
          <w:p>
            <w:pPr>
              <w:pStyle w:val="Compact"/>
              <w:jc w:val="left"/>
            </w:pPr>
            <w:r>
              <w:rPr>
                <w:rFonts w:ascii="Calibri" w:hAnsi="Calibri"/>
                <w:sz w:val="18"/>
              </w:rPr>
              <w:t xml:space="preserve">Plan de comunicaciones C1–C8 con canales formales definidos; Slack interno para C3; actas de reunión para C1 y C2</w:t>
            </w:r>
          </w:p>
        </w:tc>
        <w:tc>
          <w:tcPr>
            <w:shd w:val="clear" w:color="auto" w:fill="FFFFFF"/>
          </w:tcPr>
          <w:p>
            <w:pPr>
              <w:pStyle w:val="Compact"/>
              <w:jc w:val="left"/>
            </w:pPr>
            <w:r>
              <w:rPr>
                <w:rFonts w:ascii="Calibri" w:hAnsi="Calibri"/>
                <w:sz w:val="18"/>
              </w:rPr>
              <w:t xml:space="preserve">SM Cordero</w:t>
            </w:r>
          </w:p>
        </w:tc>
      </w:tr>
      <w:tr>
        <w:tc>
          <w:tcPr>
            <w:shd w:val="clear" w:color="auto" w:fill="E8E8E8"/>
          </w:tcPr>
          <w:p>
            <w:pPr>
              <w:pStyle w:val="Compact"/>
              <w:jc w:val="left"/>
            </w:pPr>
            <w:r>
              <w:rPr>
                <w:rFonts w:ascii="Calibri" w:hAnsi="Calibri"/>
                <w:sz w:val="18"/>
              </w:rPr>
              <w:t xml:space="preserve">R4</w:t>
            </w:r>
          </w:p>
        </w:tc>
        <w:tc>
          <w:tcPr>
            <w:shd w:val="clear" w:color="auto" w:fill="E8E8E8"/>
          </w:tcPr>
          <w:p>
            <w:pPr>
              <w:pStyle w:val="Compact"/>
              <w:jc w:val="left"/>
            </w:pPr>
            <w:r>
              <w:rPr>
                <w:rFonts w:ascii="Calibri" w:hAnsi="Calibri"/>
                <w:sz w:val="18"/>
              </w:rPr>
              <w:t xml:space="preserve">Falta de involucramiento del cliente (Admisiones / Sponsor) en las validaciones de hitos</w:t>
            </w:r>
          </w:p>
        </w:tc>
        <w:tc>
          <w:tcPr>
            <w:shd w:val="clear" w:color="auto" w:fill="E8E8E8"/>
          </w:tcPr>
          <w:p>
            <w:pPr>
              <w:pStyle w:val="Compact"/>
              <w:jc w:val="left"/>
            </w:pPr>
            <w:r>
              <w:rPr>
                <w:rFonts w:ascii="Calibri" w:hAnsi="Calibri"/>
                <w:sz w:val="18"/>
              </w:rPr>
              <w:t xml:space="preserve">Alcance</w:t>
            </w:r>
          </w:p>
        </w:tc>
        <w:tc>
          <w:tcPr>
            <w:shd w:val="clear" w:color="auto" w:fill="E8E8E8"/>
          </w:tcPr>
          <w:p>
            <w:pPr>
              <w:pStyle w:val="Compact"/>
              <w:jc w:val="left"/>
            </w:pPr>
            <w:r>
              <w:rPr>
                <w:rFonts w:ascii="Calibri" w:hAnsi="Calibri"/>
                <w:sz w:val="18"/>
              </w:rPr>
              <w:t xml:space="preserve">Baja (0.20)</w:t>
            </w:r>
          </w:p>
        </w:tc>
        <w:tc>
          <w:tcPr>
            <w:shd w:val="clear" w:color="auto" w:fill="E8E8E8"/>
          </w:tcPr>
          <w:p>
            <w:pPr>
              <w:pStyle w:val="Compact"/>
              <w:jc w:val="left"/>
            </w:pPr>
            <w:r>
              <w:rPr>
                <w:rFonts w:ascii="Calibri" w:hAnsi="Calibri"/>
                <w:sz w:val="18"/>
              </w:rPr>
              <w:t xml:space="preserve">Mitigar</w:t>
            </w:r>
          </w:p>
        </w:tc>
        <w:tc>
          <w:tcPr>
            <w:shd w:val="clear" w:color="auto" w:fill="E8E8E8"/>
          </w:tcPr>
          <w:p>
            <w:pPr>
              <w:pStyle w:val="Compact"/>
              <w:jc w:val="left"/>
            </w:pPr>
            <w:r>
              <w:rPr>
                <w:rFonts w:ascii="Calibri" w:hAnsi="Calibri"/>
                <w:sz w:val="18"/>
              </w:rPr>
              <w:t xml:space="preserve">Calendario fijo de validaciones quincenales definido desde la Fase 1; hitos H4, H5, H6 tienen fechas confirmadas con el cliente antes del inicio de la ejecución</w:t>
            </w:r>
          </w:p>
        </w:tc>
        <w:tc>
          <w:tcPr>
            <w:shd w:val="clear" w:color="auto" w:fill="E8E8E8"/>
          </w:tcPr>
          <w:p>
            <w:pPr>
              <w:pStyle w:val="Compact"/>
              <w:jc w:val="left"/>
            </w:pPr>
            <w:r>
              <w:rPr>
                <w:rFonts w:ascii="Calibri" w:hAnsi="Calibri"/>
                <w:sz w:val="18"/>
              </w:rPr>
              <w:t xml:space="preserve">PO Say</w:t>
            </w:r>
          </w:p>
        </w:tc>
      </w:tr>
      <w:tr>
        <w:tc>
          <w:tcPr>
            <w:shd w:val="clear" w:color="auto" w:fill="FFFFFF"/>
          </w:tcPr>
          <w:p>
            <w:pPr>
              <w:pStyle w:val="Compact"/>
              <w:jc w:val="left"/>
            </w:pPr>
            <w:r>
              <w:rPr>
                <w:rFonts w:ascii="Calibri" w:hAnsi="Calibri"/>
                <w:sz w:val="18"/>
              </w:rPr>
              <w:t xml:space="preserve">R5</w:t>
            </w:r>
          </w:p>
        </w:tc>
        <w:tc>
          <w:tcPr>
            <w:shd w:val="clear" w:color="auto" w:fill="FFFFFF"/>
          </w:tcPr>
          <w:p>
            <w:pPr>
              <w:pStyle w:val="Compact"/>
              <w:jc w:val="left"/>
            </w:pPr>
            <w:r>
              <w:rPr>
                <w:rFonts w:ascii="Calibri" w:hAnsi="Calibri"/>
                <w:sz w:val="18"/>
              </w:rPr>
              <w:t xml:space="preserve">Rotación de personal — salida de un developer durante la Fase 2</w:t>
            </w:r>
          </w:p>
        </w:tc>
        <w:tc>
          <w:tcPr>
            <w:shd w:val="clear" w:color="auto" w:fill="FFFFFF"/>
          </w:tcPr>
          <w:p>
            <w:pPr>
              <w:pStyle w:val="Compact"/>
              <w:jc w:val="left"/>
            </w:pPr>
            <w:r>
              <w:rPr>
                <w:rFonts w:ascii="Calibri" w:hAnsi="Calibri"/>
                <w:sz w:val="18"/>
              </w:rPr>
              <w:t xml:space="preserve">Personal</w:t>
            </w:r>
          </w:p>
        </w:tc>
        <w:tc>
          <w:tcPr>
            <w:shd w:val="clear" w:color="auto" w:fill="FFFFFF"/>
          </w:tcPr>
          <w:p>
            <w:pPr>
              <w:pStyle w:val="Compact"/>
              <w:jc w:val="left"/>
            </w:pPr>
            <w:r>
              <w:rPr>
                <w:rFonts w:ascii="Calibri" w:hAnsi="Calibri"/>
                <w:sz w:val="18"/>
              </w:rPr>
              <w:t xml:space="preserve">Baja (0.20)</w:t>
            </w:r>
          </w:p>
        </w:tc>
        <w:tc>
          <w:tcPr>
            <w:shd w:val="clear" w:color="auto" w:fill="FFFFFF"/>
          </w:tcPr>
          <w:p>
            <w:pPr>
              <w:pStyle w:val="Compact"/>
              <w:jc w:val="left"/>
            </w:pPr>
            <w:r>
              <w:rPr>
                <w:rFonts w:ascii="Calibri" w:hAnsi="Calibri"/>
                <w:sz w:val="18"/>
              </w:rPr>
              <w:t xml:space="preserve">Mitigar</w:t>
            </w:r>
          </w:p>
        </w:tc>
        <w:tc>
          <w:tcPr>
            <w:shd w:val="clear" w:color="auto" w:fill="FFFFFF"/>
          </w:tcPr>
          <w:p>
            <w:pPr>
              <w:pStyle w:val="Compact"/>
              <w:jc w:val="left"/>
            </w:pPr>
            <w:r>
              <w:rPr>
                <w:rFonts w:ascii="Calibri" w:hAnsi="Calibri"/>
                <w:sz w:val="18"/>
              </w:rPr>
              <w:t xml:space="preserve">Documentación técnica continua en el repositorio; pair programming (XP) garantiza que al menos dos personas conocen cada componente</w:t>
            </w:r>
          </w:p>
        </w:tc>
        <w:tc>
          <w:tcPr>
            <w:shd w:val="clear" w:color="auto" w:fill="FFFFFF"/>
          </w:tcPr>
          <w:p>
            <w:pPr>
              <w:pStyle w:val="Compact"/>
              <w:jc w:val="left"/>
            </w:pPr>
            <w:r>
              <w:rPr>
                <w:rFonts w:ascii="Calibri" w:hAnsi="Calibri"/>
                <w:sz w:val="18"/>
              </w:rPr>
              <w:t xml:space="preserve">SM Cordero</w:t>
            </w:r>
          </w:p>
        </w:tc>
      </w:tr>
      <w:tr>
        <w:tc>
          <w:tcPr>
            <w:shd w:val="clear" w:color="auto" w:fill="E8E8E8"/>
          </w:tcPr>
          <w:p>
            <w:pPr>
              <w:pStyle w:val="Compact"/>
              <w:jc w:val="left"/>
            </w:pPr>
            <w:r>
              <w:rPr>
                <w:rFonts w:ascii="Calibri" w:hAnsi="Calibri"/>
                <w:sz w:val="18"/>
              </w:rPr>
              <w:t xml:space="preserve">R6</w:t>
            </w:r>
          </w:p>
        </w:tc>
        <w:tc>
          <w:tcPr>
            <w:shd w:val="clear" w:color="auto" w:fill="E8E8E8"/>
          </w:tcPr>
          <w:p>
            <w:pPr>
              <w:pStyle w:val="Compact"/>
              <w:jc w:val="left"/>
            </w:pPr>
            <w:r>
              <w:rPr>
                <w:rFonts w:ascii="Calibri" w:hAnsi="Calibri"/>
                <w:sz w:val="18"/>
              </w:rPr>
              <w:t xml:space="preserve">Falla grave del proveedor cloud que afecte la disponibilidad del sistema en producción</w:t>
            </w:r>
          </w:p>
        </w:tc>
        <w:tc>
          <w:tcPr>
            <w:shd w:val="clear" w:color="auto" w:fill="E8E8E8"/>
          </w:tcPr>
          <w:p>
            <w:pPr>
              <w:pStyle w:val="Compact"/>
              <w:jc w:val="left"/>
            </w:pPr>
            <w:r>
              <w:rPr>
                <w:rFonts w:ascii="Calibri" w:hAnsi="Calibri"/>
                <w:sz w:val="18"/>
              </w:rPr>
              <w:t xml:space="preserve">Proveedor</w:t>
            </w:r>
          </w:p>
        </w:tc>
        <w:tc>
          <w:tcPr>
            <w:shd w:val="clear" w:color="auto" w:fill="E8E8E8"/>
          </w:tcPr>
          <w:p>
            <w:pPr>
              <w:pStyle w:val="Compact"/>
              <w:jc w:val="left"/>
            </w:pPr>
            <w:r>
              <w:rPr>
                <w:rFonts w:ascii="Calibri" w:hAnsi="Calibri"/>
                <w:sz w:val="18"/>
              </w:rPr>
              <w:t xml:space="preserve">Baja (0.20)</w:t>
            </w:r>
          </w:p>
        </w:tc>
        <w:tc>
          <w:tcPr>
            <w:shd w:val="clear" w:color="auto" w:fill="E8E8E8"/>
          </w:tcPr>
          <w:p>
            <w:pPr>
              <w:pStyle w:val="Compact"/>
              <w:jc w:val="left"/>
            </w:pPr>
            <w:r>
              <w:rPr>
                <w:rFonts w:ascii="Calibri" w:hAnsi="Calibri"/>
                <w:sz w:val="18"/>
              </w:rPr>
              <w:t xml:space="preserve">Transferir</w:t>
            </w:r>
          </w:p>
        </w:tc>
        <w:tc>
          <w:tcPr>
            <w:shd w:val="clear" w:color="auto" w:fill="E8E8E8"/>
          </w:tcPr>
          <w:p>
            <w:pPr>
              <w:pStyle w:val="Compact"/>
              <w:jc w:val="left"/>
            </w:pPr>
            <w:r>
              <w:rPr>
                <w:rFonts w:ascii="Calibri" w:hAnsi="Calibri"/>
                <w:sz w:val="18"/>
              </w:rPr>
              <w:t xml:space="preserve">SLA con penalidades formales contratadas con S10; la responsabilidad del impacto se transfiere contractualmente al proveedor</w:t>
            </w:r>
          </w:p>
        </w:tc>
        <w:tc>
          <w:tcPr>
            <w:shd w:val="clear" w:color="auto" w:fill="E8E8E8"/>
          </w:tcPr>
          <w:p>
            <w:pPr>
              <w:pStyle w:val="Compact"/>
              <w:jc w:val="left"/>
            </w:pPr>
            <w:r>
              <w:rPr>
                <w:rFonts w:ascii="Calibri" w:hAnsi="Calibri"/>
                <w:sz w:val="18"/>
              </w:rPr>
              <w:t xml:space="preserve">PO Say</w:t>
            </w:r>
          </w:p>
        </w:tc>
      </w:tr>
      <w:tr>
        <w:tc>
          <w:tcPr>
            <w:shd w:val="clear" w:color="auto" w:fill="FFFFFF"/>
          </w:tcPr>
          <w:p>
            <w:pPr>
              <w:pStyle w:val="Compact"/>
              <w:jc w:val="left"/>
            </w:pPr>
            <w:r>
              <w:rPr>
                <w:rFonts w:ascii="Calibri" w:hAnsi="Calibri"/>
                <w:sz w:val="18"/>
              </w:rPr>
              <w:t xml:space="preserve">R7</w:t>
            </w:r>
          </w:p>
        </w:tc>
        <w:tc>
          <w:tcPr>
            <w:shd w:val="clear" w:color="auto" w:fill="FFFFFF"/>
          </w:tcPr>
          <w:p>
            <w:pPr>
              <w:pStyle w:val="Compact"/>
              <w:jc w:val="left"/>
            </w:pPr>
            <w:r>
              <w:rPr>
                <w:rFonts w:ascii="Calibri" w:hAnsi="Calibri"/>
                <w:sz w:val="18"/>
              </w:rPr>
              <w:t xml:space="preserve">Baja adopción por parte de los usuarios (aspirantes de diversificado) al usar el sistema</w:t>
            </w:r>
          </w:p>
        </w:tc>
        <w:tc>
          <w:tcPr>
            <w:shd w:val="clear" w:color="auto" w:fill="FFFFFF"/>
          </w:tcPr>
          <w:p>
            <w:pPr>
              <w:pStyle w:val="Compact"/>
              <w:jc w:val="left"/>
            </w:pPr>
            <w:r>
              <w:rPr>
                <w:rFonts w:ascii="Calibri" w:hAnsi="Calibri"/>
                <w:sz w:val="18"/>
              </w:rPr>
              <w:t xml:space="preserve">Cliente / Usuario</w:t>
            </w:r>
          </w:p>
        </w:tc>
        <w:tc>
          <w:tcPr>
            <w:shd w:val="clear" w:color="auto" w:fill="FFFFFF"/>
          </w:tcPr>
          <w:p>
            <w:pPr>
              <w:pStyle w:val="Compact"/>
              <w:jc w:val="left"/>
            </w:pPr>
            <w:r>
              <w:rPr>
                <w:rFonts w:ascii="Calibri" w:hAnsi="Calibri"/>
                <w:sz w:val="18"/>
              </w:rPr>
              <w:t xml:space="preserve">Media (0.40)</w:t>
            </w:r>
          </w:p>
        </w:tc>
        <w:tc>
          <w:tcPr>
            <w:shd w:val="clear" w:color="auto" w:fill="FFFFFF"/>
          </w:tcPr>
          <w:p>
            <w:pPr>
              <w:pStyle w:val="Compact"/>
              <w:jc w:val="left"/>
            </w:pPr>
            <w:r>
              <w:rPr>
                <w:rFonts w:ascii="Calibri" w:hAnsi="Calibri"/>
                <w:sz w:val="18"/>
              </w:rPr>
              <w:t xml:space="preserve">Mitigar</w:t>
            </w:r>
          </w:p>
        </w:tc>
        <w:tc>
          <w:tcPr>
            <w:shd w:val="clear" w:color="auto" w:fill="FFFFFF"/>
          </w:tcPr>
          <w:p>
            <w:pPr>
              <w:pStyle w:val="Compact"/>
              <w:jc w:val="left"/>
            </w:pPr>
            <w:r>
              <w:rPr>
                <w:rFonts w:ascii="Calibri" w:hAnsi="Calibri"/>
                <w:sz w:val="18"/>
              </w:rPr>
              <w:t xml:space="preserve">Pruebas de usabilidad en sprint 7 (H6) con usuarios reales; iteraciones de UX en sprint 8 basadas en los resultados</w:t>
            </w:r>
          </w:p>
        </w:tc>
        <w:tc>
          <w:tcPr>
            <w:shd w:val="clear" w:color="auto" w:fill="FFFFFF"/>
          </w:tcPr>
          <w:p>
            <w:pPr>
              <w:pStyle w:val="Compact"/>
              <w:jc w:val="left"/>
            </w:pPr>
            <w:r>
              <w:rPr>
                <w:rFonts w:ascii="Calibri" w:hAnsi="Calibri"/>
                <w:sz w:val="18"/>
              </w:rPr>
              <w:t xml:space="preserve">PO Say</w:t>
            </w:r>
          </w:p>
        </w:tc>
      </w:tr>
      <w:tr>
        <w:tc>
          <w:tcPr>
            <w:shd w:val="clear" w:color="auto" w:fill="E8E8E8"/>
          </w:tcPr>
          <w:p>
            <w:pPr>
              <w:pStyle w:val="Compact"/>
              <w:jc w:val="left"/>
            </w:pPr>
            <w:r>
              <w:rPr>
                <w:rFonts w:ascii="Calibri" w:hAnsi="Calibri"/>
                <w:sz w:val="18"/>
              </w:rPr>
              <w:t xml:space="preserve">R8</w:t>
            </w:r>
          </w:p>
        </w:tc>
        <w:tc>
          <w:tcPr>
            <w:shd w:val="clear" w:color="auto" w:fill="E8E8E8"/>
          </w:tcPr>
          <w:p>
            <w:pPr>
              <w:pStyle w:val="Compact"/>
              <w:jc w:val="left"/>
            </w:pPr>
            <w:r>
              <w:rPr>
                <w:rFonts w:ascii="Calibri" w:hAnsi="Calibri"/>
                <w:sz w:val="18"/>
              </w:rPr>
              <w:t xml:space="preserve">Exposición de datos personales de aspirantes por vulnerabilidad técnica</w:t>
            </w:r>
          </w:p>
        </w:tc>
        <w:tc>
          <w:tcPr>
            <w:shd w:val="clear" w:color="auto" w:fill="E8E8E8"/>
          </w:tcPr>
          <w:p>
            <w:pPr>
              <w:pStyle w:val="Compact"/>
              <w:jc w:val="left"/>
            </w:pPr>
            <w:r>
              <w:rPr>
                <w:rFonts w:ascii="Calibri" w:hAnsi="Calibri"/>
                <w:sz w:val="18"/>
              </w:rPr>
              <w:t xml:space="preserve">Técnico / Legal</w:t>
            </w:r>
          </w:p>
        </w:tc>
        <w:tc>
          <w:tcPr>
            <w:shd w:val="clear" w:color="auto" w:fill="E8E8E8"/>
          </w:tcPr>
          <w:p>
            <w:pPr>
              <w:pStyle w:val="Compact"/>
              <w:jc w:val="left"/>
            </w:pPr>
            <w:r>
              <w:rPr>
                <w:rFonts w:ascii="Calibri" w:hAnsi="Calibri"/>
                <w:sz w:val="18"/>
              </w:rPr>
              <w:t xml:space="preserve">Baja (0.20)</w:t>
            </w:r>
          </w:p>
        </w:tc>
        <w:tc>
          <w:tcPr>
            <w:shd w:val="clear" w:color="auto" w:fill="E8E8E8"/>
          </w:tcPr>
          <w:p>
            <w:pPr>
              <w:pStyle w:val="Compact"/>
              <w:jc w:val="left"/>
            </w:pPr>
            <w:r>
              <w:rPr>
                <w:rFonts w:ascii="Calibri" w:hAnsi="Calibri"/>
                <w:sz w:val="18"/>
              </w:rPr>
              <w:t xml:space="preserve">Mitigar</w:t>
            </w:r>
          </w:p>
        </w:tc>
        <w:tc>
          <w:tcPr>
            <w:shd w:val="clear" w:color="auto" w:fill="E8E8E8"/>
          </w:tcPr>
          <w:p>
            <w:pPr>
              <w:pStyle w:val="Compact"/>
              <w:jc w:val="left"/>
            </w:pPr>
            <w:r>
              <w:rPr>
                <w:rFonts w:ascii="Calibri" w:hAnsi="Calibri"/>
                <w:sz w:val="18"/>
              </w:rPr>
              <w:t xml:space="preserve">Cifrado de datos en tránsito y en reposo; revisión de seguridad por Developer Chen como criterio del DoD para EP01, EP02 y EP06</w:t>
            </w:r>
          </w:p>
        </w:tc>
        <w:tc>
          <w:tcPr>
            <w:shd w:val="clear" w:color="auto" w:fill="E8E8E8"/>
          </w:tcPr>
          <w:p>
            <w:pPr>
              <w:pStyle w:val="Compact"/>
              <w:jc w:val="left"/>
            </w:pPr>
            <w:r>
              <w:rPr>
                <w:rFonts w:ascii="Calibri" w:hAnsi="Calibri"/>
                <w:sz w:val="18"/>
              </w:rPr>
              <w:t xml:space="preserve">Developer Chen</w:t>
            </w:r>
          </w:p>
        </w:tc>
      </w:tr>
      <w:tr>
        <w:tc>
          <w:tcPr>
            <w:shd w:val="clear" w:color="auto" w:fill="FFFFFF"/>
          </w:tcPr>
          <w:p>
            <w:pPr>
              <w:pStyle w:val="Compact"/>
              <w:jc w:val="left"/>
            </w:pPr>
            <w:r>
              <w:rPr>
                <w:rFonts w:ascii="Calibri" w:hAnsi="Calibri"/>
                <w:sz w:val="18"/>
              </w:rPr>
              <w:t xml:space="preserve">R9</w:t>
            </w:r>
          </w:p>
        </w:tc>
        <w:tc>
          <w:tcPr>
            <w:shd w:val="clear" w:color="auto" w:fill="FFFFFF"/>
          </w:tcPr>
          <w:p>
            <w:pPr>
              <w:pStyle w:val="Compact"/>
              <w:jc w:val="left"/>
            </w:pPr>
            <w:r>
              <w:rPr>
                <w:rFonts w:ascii="Calibri" w:hAnsi="Calibri"/>
                <w:sz w:val="18"/>
              </w:rPr>
              <w:t xml:space="preserve">Cambios en el pensum UVG 2026 posteriores a la validación del catálogo en H4</w:t>
            </w:r>
          </w:p>
        </w:tc>
        <w:tc>
          <w:tcPr>
            <w:shd w:val="clear" w:color="auto" w:fill="FFFFFF"/>
          </w:tcPr>
          <w:p>
            <w:pPr>
              <w:pStyle w:val="Compact"/>
              <w:jc w:val="left"/>
            </w:pPr>
            <w:r>
              <w:rPr>
                <w:rFonts w:ascii="Calibri" w:hAnsi="Calibri"/>
                <w:sz w:val="18"/>
              </w:rPr>
              <w:t xml:space="preserve">Alcance</w:t>
            </w:r>
          </w:p>
        </w:tc>
        <w:tc>
          <w:tcPr>
            <w:shd w:val="clear" w:color="auto" w:fill="FFFFFF"/>
          </w:tcPr>
          <w:p>
            <w:pPr>
              <w:pStyle w:val="Compact"/>
              <w:jc w:val="left"/>
            </w:pPr>
            <w:r>
              <w:rPr>
                <w:rFonts w:ascii="Calibri" w:hAnsi="Calibri"/>
                <w:sz w:val="18"/>
              </w:rPr>
              <w:t xml:space="preserve">Baja (0.20)</w:t>
            </w:r>
          </w:p>
        </w:tc>
        <w:tc>
          <w:tcPr>
            <w:shd w:val="clear" w:color="auto" w:fill="FFFFFF"/>
          </w:tcPr>
          <w:p>
            <w:pPr>
              <w:pStyle w:val="Compact"/>
              <w:jc w:val="left"/>
            </w:pPr>
            <w:r>
              <w:rPr>
                <w:rFonts w:ascii="Calibri" w:hAnsi="Calibri"/>
                <w:sz w:val="18"/>
              </w:rPr>
              <w:t xml:space="preserve">Aceptar</w:t>
            </w:r>
          </w:p>
        </w:tc>
        <w:tc>
          <w:tcPr>
            <w:shd w:val="clear" w:color="auto" w:fill="FFFFFF"/>
          </w:tcPr>
          <w:p>
            <w:pPr>
              <w:pStyle w:val="Compact"/>
              <w:jc w:val="left"/>
            </w:pPr>
            <w:r>
              <w:rPr>
                <w:rFonts w:ascii="Calibri" w:hAnsi="Calibri"/>
                <w:sz w:val="18"/>
              </w:rPr>
              <w:t xml:space="preserve">El catálogo está diseñado como estructura actualizable; cambios post-H4 se registran como CR menor y se incorporan en el sprint disponible más próximo</w:t>
            </w:r>
          </w:p>
        </w:tc>
        <w:tc>
          <w:tcPr>
            <w:shd w:val="clear" w:color="auto" w:fill="FFFFFF"/>
          </w:tcPr>
          <w:p>
            <w:pPr>
              <w:pStyle w:val="Compact"/>
              <w:jc w:val="left"/>
            </w:pPr>
            <w:r>
              <w:rPr>
                <w:rFonts w:ascii="Calibri" w:hAnsi="Calibri"/>
                <w:sz w:val="18"/>
              </w:rPr>
              <w:t xml:space="preserve">PO Say</w:t>
            </w:r>
          </w:p>
        </w:tc>
      </w:tr>
    </w:tbl>
    <w:p>
      <w:pPr>
        <w:pStyle w:val="Heading2"/>
      </w:pPr>
      <w:bookmarkStart w:id="33" w:name="tabla-de-monitoreo-por-sprint"/>
      <w:r>
        <w:t xml:space="preserve">Tabla de monitoreo por sprint</w:t>
      </w:r>
      <w:bookmarkEnd w:id="33"/>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980"/>
        <w:gridCol w:w="1980"/>
        <w:gridCol w:w="1980"/>
        <w:gridCol w:w="198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Sprint</w:t>
            </w:r>
          </w:p>
        </w:tc>
        <w:tc>
          <w:tcPr>
            <w:tcBorders>
              <w:bottom w:val="single"/>
            </w:tcBorders>
            <w:vAlign w:val="bottom"/>
            <w:shd w:val="clear" w:color="auto" w:fill="0E2841"/>
          </w:tcPr>
          <w:p>
            <w:pPr>
              <w:pStyle w:val="Compact"/>
              <w:jc w:val="left"/>
            </w:pPr>
            <w:r>
              <w:rPr>
                <w:rFonts w:ascii="Calibri" w:hAnsi="Calibri"/>
                <w:b/>
                <w:color w:val="FFFFFF"/>
                <w:sz w:val="18"/>
              </w:rPr>
              <w:t xml:space="preserve">Riesgos a monitorear</w:t>
            </w:r>
          </w:p>
        </w:tc>
        <w:tc>
          <w:tcPr>
            <w:tcBorders>
              <w:bottom w:val="single"/>
            </w:tcBorders>
            <w:vAlign w:val="bottom"/>
            <w:shd w:val="clear" w:color="auto" w:fill="0E2841"/>
          </w:tcPr>
          <w:p>
            <w:pPr>
              <w:pStyle w:val="Compact"/>
              <w:jc w:val="left"/>
            </w:pPr>
            <w:r>
              <w:rPr>
                <w:rFonts w:ascii="Calibri" w:hAnsi="Calibri"/>
                <w:b/>
                <w:color w:val="FFFFFF"/>
                <w:sz w:val="18"/>
              </w:rPr>
              <w:t xml:space="preserve">Verificación</w:t>
            </w:r>
          </w:p>
        </w:tc>
        <w:tc>
          <w:tcPr>
            <w:tcBorders>
              <w:bottom w:val="single"/>
            </w:tcBorders>
            <w:vAlign w:val="bottom"/>
            <w:shd w:val="clear" w:color="auto" w:fill="0E2841"/>
          </w:tcPr>
          <w:p>
            <w:pPr>
              <w:pStyle w:val="Compact"/>
              <w:jc w:val="left"/>
            </w:pPr>
            <w:r>
              <w:rPr>
                <w:rFonts w:ascii="Calibri" w:hAnsi="Calibri"/>
                <w:b/>
                <w:color w:val="FFFFFF"/>
                <w:sz w:val="18"/>
              </w:rPr>
              <w:t xml:space="preserve">Responsable</w:t>
            </w:r>
          </w:p>
        </w:tc>
      </w:tr>
      <w:tr>
        <w:tc>
          <w:tcPr>
            <w:shd w:val="clear" w:color="auto" w:fill="FFFFFF"/>
          </w:tcPr>
          <w:p>
            <w:pPr>
              <w:pStyle w:val="Compact"/>
              <w:jc w:val="left"/>
            </w:pPr>
            <w:r>
              <w:rPr>
                <w:rFonts w:ascii="Calibri" w:hAnsi="Calibri"/>
                <w:sz w:val="18"/>
              </w:rPr>
              <w:t xml:space="preserve">Sprint 1</w:t>
            </w:r>
          </w:p>
        </w:tc>
        <w:tc>
          <w:tcPr>
            <w:shd w:val="clear" w:color="auto" w:fill="FFFFFF"/>
          </w:tcPr>
          <w:p>
            <w:pPr>
              <w:pStyle w:val="Compact"/>
              <w:jc w:val="left"/>
            </w:pPr>
            <w:r>
              <w:rPr>
                <w:rFonts w:ascii="Calibri" w:hAnsi="Calibri"/>
                <w:sz w:val="18"/>
              </w:rPr>
              <w:t xml:space="preserve">R2 (entorno cloud operativo)</w:t>
            </w:r>
          </w:p>
        </w:tc>
        <w:tc>
          <w:tcPr>
            <w:shd w:val="clear" w:color="auto" w:fill="FFFFFF"/>
          </w:tcPr>
          <w:p>
            <w:pPr>
              <w:pStyle w:val="Compact"/>
              <w:jc w:val="left"/>
            </w:pPr>
            <w:r>
              <w:rPr>
                <w:rFonts w:ascii="Calibri" w:hAnsi="Calibri"/>
                <w:sz w:val="18"/>
              </w:rPr>
              <w:t xml:space="preserve">Verificar disponibilidad del entorno antes del inicio</w:t>
            </w:r>
          </w:p>
        </w:tc>
        <w:tc>
          <w:tcPr>
            <w:shd w:val="clear" w:color="auto" w:fill="FFFFFF"/>
          </w:tcPr>
          <w:p>
            <w:pPr>
              <w:pStyle w:val="Compact"/>
              <w:jc w:val="left"/>
            </w:pPr>
            <w:r>
              <w:rPr>
                <w:rFonts w:ascii="Calibri" w:hAnsi="Calibri"/>
                <w:sz w:val="18"/>
              </w:rPr>
              <w:t xml:space="preserve">Developer Cruz</w:t>
            </w:r>
          </w:p>
        </w:tc>
      </w:tr>
      <w:tr>
        <w:tc>
          <w:tcPr>
            <w:shd w:val="clear" w:color="auto" w:fill="E8E8E8"/>
          </w:tcPr>
          <w:p>
            <w:pPr>
              <w:pStyle w:val="Compact"/>
              <w:jc w:val="left"/>
            </w:pPr>
            <w:r>
              <w:rPr>
                <w:rFonts w:ascii="Calibri" w:hAnsi="Calibri"/>
                <w:sz w:val="18"/>
              </w:rPr>
              <w:t xml:space="preserve">Sprint 2</w:t>
            </w:r>
          </w:p>
        </w:tc>
        <w:tc>
          <w:tcPr>
            <w:shd w:val="clear" w:color="auto" w:fill="E8E8E8"/>
          </w:tcPr>
          <w:p>
            <w:pPr>
              <w:pStyle w:val="Compact"/>
              <w:jc w:val="left"/>
            </w:pPr>
            <w:r>
              <w:rPr>
                <w:rFonts w:ascii="Calibri" w:hAnsi="Calibri"/>
                <w:sz w:val="18"/>
              </w:rPr>
              <w:t xml:space="preserve">R3 (comunicación con Catedráticos C6 enviada)</w:t>
            </w:r>
          </w:p>
        </w:tc>
        <w:tc>
          <w:tcPr>
            <w:shd w:val="clear" w:color="auto" w:fill="E8E8E8"/>
          </w:tcPr>
          <w:p>
            <w:pPr>
              <w:pStyle w:val="Compact"/>
              <w:jc w:val="left"/>
            </w:pPr>
            <w:r>
              <w:rPr>
                <w:rFonts w:ascii="Calibri" w:hAnsi="Calibri"/>
                <w:sz w:val="18"/>
              </w:rPr>
              <w:t xml:space="preserve">Confirmar envío de C6 a catedráticos entre sprints 2–3</w:t>
            </w:r>
          </w:p>
        </w:tc>
        <w:tc>
          <w:tcPr>
            <w:shd w:val="clear" w:color="auto" w:fill="E8E8E8"/>
          </w:tcPr>
          <w:p>
            <w:pPr>
              <w:pStyle w:val="Compact"/>
              <w:jc w:val="left"/>
            </w:pPr>
            <w:r>
              <w:rPr>
                <w:rFonts w:ascii="Calibri" w:hAnsi="Calibri"/>
                <w:sz w:val="18"/>
              </w:rPr>
              <w:t xml:space="preserve">PO Say</w:t>
            </w:r>
          </w:p>
        </w:tc>
      </w:tr>
      <w:tr>
        <w:tc>
          <w:tcPr>
            <w:shd w:val="clear" w:color="auto" w:fill="FFFFFF"/>
          </w:tcPr>
          <w:p>
            <w:pPr>
              <w:pStyle w:val="Compact"/>
              <w:jc w:val="left"/>
            </w:pPr>
            <w:r>
              <w:rPr>
                <w:rFonts w:ascii="Calibri" w:hAnsi="Calibri"/>
                <w:sz w:val="18"/>
              </w:rPr>
              <w:t xml:space="preserve">Sprint 3</w:t>
            </w:r>
          </w:p>
        </w:tc>
        <w:tc>
          <w:tcPr>
            <w:shd w:val="clear" w:color="auto" w:fill="FFFFFF"/>
          </w:tcPr>
          <w:p>
            <w:pPr>
              <w:pStyle w:val="Compact"/>
              <w:jc w:val="left"/>
            </w:pPr>
            <w:r>
              <w:rPr>
                <w:rFonts w:ascii="Calibri" w:hAnsi="Calibri"/>
                <w:sz w:val="18"/>
              </w:rPr>
              <w:t xml:space="preserve">R1 (cambios post-validación H4), R9 (cambios pensum)</w:t>
            </w:r>
          </w:p>
        </w:tc>
        <w:tc>
          <w:tcPr>
            <w:shd w:val="clear" w:color="auto" w:fill="FFFFFF"/>
          </w:tcPr>
          <w:p>
            <w:pPr>
              <w:pStyle w:val="Compact"/>
              <w:jc w:val="left"/>
            </w:pPr>
            <w:r>
              <w:rPr>
                <w:rFonts w:ascii="Calibri" w:hAnsi="Calibri"/>
                <w:sz w:val="18"/>
              </w:rPr>
              <w:t xml:space="preserve">Acta de validación de S3 Admisiones firmada en H4</w:t>
            </w:r>
          </w:p>
        </w:tc>
        <w:tc>
          <w:tcPr>
            <w:shd w:val="clear" w:color="auto" w:fill="FFFFFF"/>
          </w:tcPr>
          <w:p>
            <w:pPr>
              <w:pStyle w:val="Compact"/>
              <w:jc w:val="left"/>
            </w:pPr>
            <w:r>
              <w:rPr>
                <w:rFonts w:ascii="Calibri" w:hAnsi="Calibri"/>
                <w:sz w:val="18"/>
              </w:rPr>
              <w:t xml:space="preserve">PO Say</w:t>
            </w:r>
          </w:p>
        </w:tc>
      </w:tr>
      <w:tr>
        <w:tc>
          <w:tcPr>
            <w:shd w:val="clear" w:color="auto" w:fill="E8E8E8"/>
          </w:tcPr>
          <w:p>
            <w:pPr>
              <w:pStyle w:val="Compact"/>
              <w:jc w:val="left"/>
            </w:pPr>
            <w:r>
              <w:rPr>
                <w:rFonts w:ascii="Calibri" w:hAnsi="Calibri"/>
                <w:sz w:val="18"/>
              </w:rPr>
              <w:t xml:space="preserve">Sprint 4</w:t>
            </w:r>
          </w:p>
        </w:tc>
        <w:tc>
          <w:tcPr>
            <w:shd w:val="clear" w:color="auto" w:fill="E8E8E8"/>
          </w:tcPr>
          <w:p>
            <w:pPr>
              <w:pStyle w:val="Compact"/>
              <w:jc w:val="left"/>
            </w:pPr>
            <w:r>
              <w:rPr>
                <w:rFonts w:ascii="Calibri" w:hAnsi="Calibri"/>
                <w:sz w:val="18"/>
              </w:rPr>
              <w:t xml:space="preserve">R1, R2</w:t>
            </w:r>
          </w:p>
        </w:tc>
        <w:tc>
          <w:tcPr>
            <w:shd w:val="clear" w:color="auto" w:fill="E8E8E8"/>
          </w:tcPr>
          <w:p>
            <w:pPr>
              <w:pStyle w:val="Compact"/>
              <w:jc w:val="left"/>
            </w:pPr>
            <w:r>
              <w:rPr>
                <w:rFonts w:ascii="Calibri" w:hAnsi="Calibri"/>
                <w:sz w:val="18"/>
              </w:rPr>
              <w:t xml:space="preserve">Revisión de backlog EP03 sin cambios de alcance no autorizados</w:t>
            </w:r>
          </w:p>
        </w:tc>
        <w:tc>
          <w:tcPr>
            <w:shd w:val="clear" w:color="auto" w:fill="E8E8E8"/>
          </w:tcPr>
          <w:p>
            <w:pPr>
              <w:pStyle w:val="Compact"/>
              <w:jc w:val="left"/>
            </w:pPr>
            <w:r>
              <w:rPr>
                <w:rFonts w:ascii="Calibri" w:hAnsi="Calibri"/>
                <w:sz w:val="18"/>
              </w:rPr>
              <w:t xml:space="preserve">PO Say + SM</w:t>
            </w:r>
          </w:p>
        </w:tc>
      </w:tr>
      <w:tr>
        <w:tc>
          <w:tcPr>
            <w:shd w:val="clear" w:color="auto" w:fill="FFFFFF"/>
          </w:tcPr>
          <w:p>
            <w:pPr>
              <w:pStyle w:val="Compact"/>
              <w:jc w:val="left"/>
            </w:pPr>
            <w:r>
              <w:rPr>
                <w:rFonts w:ascii="Calibri" w:hAnsi="Calibri"/>
                <w:sz w:val="18"/>
              </w:rPr>
              <w:t xml:space="preserve">Sprint 5</w:t>
            </w:r>
          </w:p>
        </w:tc>
        <w:tc>
          <w:tcPr>
            <w:shd w:val="clear" w:color="auto" w:fill="FFFFFF"/>
          </w:tcPr>
          <w:p>
            <w:pPr>
              <w:pStyle w:val="Compact"/>
              <w:jc w:val="left"/>
            </w:pPr>
            <w:r>
              <w:rPr>
                <w:rFonts w:ascii="Calibri" w:hAnsi="Calibri"/>
                <w:sz w:val="18"/>
              </w:rPr>
              <w:t xml:space="preserve">R2 (cloud funcional para EP04), R7 (diseño de prueba usabilidad)</w:t>
            </w:r>
          </w:p>
        </w:tc>
        <w:tc>
          <w:tcPr>
            <w:shd w:val="clear" w:color="auto" w:fill="FFFFFF"/>
          </w:tcPr>
          <w:p>
            <w:pPr>
              <w:pStyle w:val="Compact"/>
              <w:jc w:val="left"/>
            </w:pPr>
            <w:r>
              <w:rPr>
                <w:rFonts w:ascii="Calibri" w:hAnsi="Calibri"/>
                <w:sz w:val="18"/>
              </w:rPr>
              <w:t xml:space="preserve">Motor desplegado en staging; plan de prueba de usabilidad preparado</w:t>
            </w:r>
          </w:p>
        </w:tc>
        <w:tc>
          <w:tcPr>
            <w:shd w:val="clear" w:color="auto" w:fill="FFFFFF"/>
          </w:tcPr>
          <w:p>
            <w:pPr>
              <w:pStyle w:val="Compact"/>
              <w:jc w:val="left"/>
            </w:pPr>
            <w:r>
              <w:rPr>
                <w:rFonts w:ascii="Calibri" w:hAnsi="Calibri"/>
                <w:sz w:val="18"/>
              </w:rPr>
              <w:t xml:space="preserve">Developer Cruz + PO Say</w:t>
            </w:r>
          </w:p>
        </w:tc>
      </w:tr>
      <w:tr>
        <w:tc>
          <w:tcPr>
            <w:shd w:val="clear" w:color="auto" w:fill="E8E8E8"/>
          </w:tcPr>
          <w:p>
            <w:pPr>
              <w:pStyle w:val="Compact"/>
              <w:jc w:val="left"/>
            </w:pPr>
            <w:r>
              <w:rPr>
                <w:rFonts w:ascii="Calibri" w:hAnsi="Calibri"/>
                <w:sz w:val="18"/>
              </w:rPr>
              <w:t xml:space="preserve">Sprint 6</w:t>
            </w:r>
          </w:p>
        </w:tc>
        <w:tc>
          <w:tcPr>
            <w:shd w:val="clear" w:color="auto" w:fill="E8E8E8"/>
          </w:tcPr>
          <w:p>
            <w:pPr>
              <w:pStyle w:val="Compact"/>
              <w:jc w:val="left"/>
            </w:pPr>
            <w:r>
              <w:rPr>
                <w:rFonts w:ascii="Calibri" w:hAnsi="Calibri"/>
                <w:sz w:val="18"/>
              </w:rPr>
              <w:t xml:space="preserve">R5 (disponibilidad equipo), R8 (revisión seguridad EP05)</w:t>
            </w:r>
          </w:p>
        </w:tc>
        <w:tc>
          <w:tcPr>
            <w:shd w:val="clear" w:color="auto" w:fill="E8E8E8"/>
          </w:tcPr>
          <w:p>
            <w:pPr>
              <w:pStyle w:val="Compact"/>
              <w:jc w:val="left"/>
            </w:pPr>
            <w:r>
              <w:rPr>
                <w:rFonts w:ascii="Calibri" w:hAnsi="Calibri"/>
                <w:sz w:val="18"/>
              </w:rPr>
              <w:t xml:space="preserve">Verificar ausencias o cambios de disponibilidad; checklist seguridad DoD</w:t>
            </w:r>
          </w:p>
        </w:tc>
        <w:tc>
          <w:tcPr>
            <w:shd w:val="clear" w:color="auto" w:fill="E8E8E8"/>
          </w:tcPr>
          <w:p>
            <w:pPr>
              <w:pStyle w:val="Compact"/>
              <w:jc w:val="left"/>
            </w:pPr>
            <w:r>
              <w:rPr>
                <w:rFonts w:ascii="Calibri" w:hAnsi="Calibri"/>
                <w:sz w:val="18"/>
              </w:rPr>
              <w:t xml:space="preserve">SM + Developer Chen</w:t>
            </w:r>
          </w:p>
        </w:tc>
      </w:tr>
      <w:tr>
        <w:tc>
          <w:tcPr>
            <w:shd w:val="clear" w:color="auto" w:fill="FFFFFF"/>
          </w:tcPr>
          <w:p>
            <w:pPr>
              <w:pStyle w:val="Compact"/>
              <w:jc w:val="left"/>
            </w:pPr>
            <w:r>
              <w:rPr>
                <w:rFonts w:ascii="Calibri" w:hAnsi="Calibri"/>
                <w:sz w:val="18"/>
              </w:rPr>
              <w:t xml:space="preserve">Sprint 7</w:t>
            </w:r>
          </w:p>
        </w:tc>
        <w:tc>
          <w:tcPr>
            <w:shd w:val="clear" w:color="auto" w:fill="FFFFFF"/>
          </w:tcPr>
          <w:p>
            <w:pPr>
              <w:pStyle w:val="Compact"/>
              <w:jc w:val="left"/>
            </w:pPr>
            <w:r>
              <w:rPr>
                <w:rFonts w:ascii="Calibri" w:hAnsi="Calibri"/>
                <w:sz w:val="18"/>
              </w:rPr>
              <w:t xml:space="preserve">R1 (solicitudes EP06 adicionales), R7</w:t>
            </w:r>
          </w:p>
        </w:tc>
        <w:tc>
          <w:tcPr>
            <w:shd w:val="clear" w:color="auto" w:fill="FFFFFF"/>
          </w:tcPr>
          <w:p>
            <w:pPr>
              <w:pStyle w:val="Compact"/>
              <w:jc w:val="left"/>
            </w:pPr>
            <w:r>
              <w:rPr>
                <w:rFonts w:ascii="Calibri" w:hAnsi="Calibri"/>
                <w:sz w:val="18"/>
              </w:rPr>
              <w:t xml:space="preserve">Revisar que EP06 en backlog no tiene adiciones no autorizadas</w:t>
            </w:r>
          </w:p>
        </w:tc>
        <w:tc>
          <w:tcPr>
            <w:shd w:val="clear" w:color="auto" w:fill="FFFFFF"/>
          </w:tcPr>
          <w:p>
            <w:pPr>
              <w:pStyle w:val="Compact"/>
              <w:jc w:val="left"/>
            </w:pPr>
            <w:r>
              <w:rPr>
                <w:rFonts w:ascii="Calibri" w:hAnsi="Calibri"/>
                <w:sz w:val="18"/>
              </w:rPr>
              <w:t xml:space="preserve">PO Say + SM</w:t>
            </w:r>
          </w:p>
        </w:tc>
      </w:tr>
      <w:tr>
        <w:tc>
          <w:tcPr>
            <w:shd w:val="clear" w:color="auto" w:fill="E8E8E8"/>
          </w:tcPr>
          <w:p>
            <w:pPr>
              <w:pStyle w:val="Compact"/>
              <w:jc w:val="left"/>
            </w:pPr>
            <w:r>
              <w:rPr>
                <w:rFonts w:ascii="Calibri" w:hAnsi="Calibri"/>
                <w:sz w:val="18"/>
              </w:rPr>
              <w:t xml:space="preserve">Sprint 7</w:t>
            </w:r>
          </w:p>
        </w:tc>
        <w:tc>
          <w:tcPr>
            <w:shd w:val="clear" w:color="auto" w:fill="E8E8E8"/>
          </w:tcPr>
          <w:p>
            <w:pPr>
              <w:pStyle w:val="Compact"/>
              <w:jc w:val="left"/>
            </w:pPr>
            <w:r>
              <w:rPr>
                <w:rFonts w:ascii="Calibri" w:hAnsi="Calibri"/>
                <w:sz w:val="18"/>
              </w:rPr>
              <w:t xml:space="preserve">R7 (resultados prueba usabilidad H6), R2</w:t>
            </w:r>
          </w:p>
        </w:tc>
        <w:tc>
          <w:tcPr>
            <w:shd w:val="clear" w:color="auto" w:fill="E8E8E8"/>
          </w:tcPr>
          <w:p>
            <w:pPr>
              <w:pStyle w:val="Compact"/>
              <w:jc w:val="left"/>
            </w:pPr>
            <w:r>
              <w:rPr>
                <w:rFonts w:ascii="Calibri" w:hAnsi="Calibri"/>
                <w:sz w:val="18"/>
              </w:rPr>
              <w:t xml:space="preserve">Ejecutar pruebas H6; registrar hallazgos; evaluar ajustes UX para sprint 8</w:t>
            </w:r>
          </w:p>
        </w:tc>
        <w:tc>
          <w:tcPr>
            <w:shd w:val="clear" w:color="auto" w:fill="E8E8E8"/>
          </w:tcPr>
          <w:p>
            <w:pPr>
              <w:pStyle w:val="Compact"/>
              <w:jc w:val="left"/>
            </w:pPr>
            <w:r>
              <w:rPr>
                <w:rFonts w:ascii="Calibri" w:hAnsi="Calibri"/>
                <w:sz w:val="18"/>
              </w:rPr>
              <w:t xml:space="preserve">PO Say</w:t>
            </w:r>
          </w:p>
        </w:tc>
      </w:tr>
      <w:tr>
        <w:tc>
          <w:tcPr>
            <w:shd w:val="clear" w:color="auto" w:fill="FFFFFF"/>
          </w:tcPr>
          <w:p>
            <w:pPr>
              <w:pStyle w:val="Compact"/>
              <w:jc w:val="left"/>
            </w:pPr>
            <w:r>
              <w:rPr>
                <w:rFonts w:ascii="Calibri" w:hAnsi="Calibri"/>
                <w:sz w:val="18"/>
              </w:rPr>
              <w:t xml:space="preserve">Sprint 8</w:t>
            </w:r>
          </w:p>
        </w:tc>
        <w:tc>
          <w:tcPr>
            <w:shd w:val="clear" w:color="auto" w:fill="FFFFFF"/>
          </w:tcPr>
          <w:p>
            <w:pPr>
              <w:pStyle w:val="Compact"/>
              <w:jc w:val="left"/>
            </w:pPr>
            <w:r>
              <w:rPr>
                <w:rFonts w:ascii="Calibri" w:hAnsi="Calibri"/>
                <w:sz w:val="18"/>
              </w:rPr>
              <w:t xml:space="preserve">Todos los riesgos abiertos</w:t>
            </w:r>
          </w:p>
        </w:tc>
        <w:tc>
          <w:tcPr>
            <w:shd w:val="clear" w:color="auto" w:fill="FFFFFF"/>
          </w:tcPr>
          <w:p>
            <w:pPr>
              <w:pStyle w:val="Compact"/>
              <w:jc w:val="left"/>
            </w:pPr>
            <w:r>
              <w:rPr>
                <w:rFonts w:ascii="Calibri" w:hAnsi="Calibri"/>
                <w:sz w:val="18"/>
              </w:rPr>
              <w:t xml:space="preserve">Revisión final de riesgos para Acta de Cierre</w:t>
            </w:r>
          </w:p>
        </w:tc>
        <w:tc>
          <w:tcPr>
            <w:shd w:val="clear" w:color="auto" w:fill="FFFFFF"/>
          </w:tcPr>
          <w:p>
            <w:pPr>
              <w:pStyle w:val="Compact"/>
              <w:jc w:val="left"/>
            </w:pPr>
            <w:r>
              <w:rPr>
                <w:rFonts w:ascii="Calibri" w:hAnsi="Calibri"/>
                <w:sz w:val="18"/>
              </w:rPr>
              <w:t xml:space="preserve">PO Say</w:t>
            </w:r>
          </w:p>
        </w:tc>
      </w:tr>
    </w:tbl>
    <w:p>
      <w:pPr>
        <w:pStyle w:val="Heading2"/>
      </w:pPr>
      <w:bookmarkStart w:id="34" w:name="X4a34ba2c6e66f300d9f1c4da674ba10aa64f236"/>
      <w:r>
        <w:t xml:space="preserve">Reglas de activación de la reserva de contingencia</w:t>
      </w:r>
      <w:bookmarkEnd w:id="34"/>
    </w:p>
    <w:p>
      <w:pPr>
        <w:pStyle w:val="Heading3"/>
      </w:pPr>
      <w:bookmarkStart w:id="35" w:name="Xbb8cc2c6026909d84b4f000c3daba49fda481d7"/>
      <w:r>
        <w:t xml:space="preserve">Regla 1 — Materialización de riesgo con impacto en cronograma</w:t>
      </w:r>
      <w:bookmarkEnd w:id="35"/>
    </w:p>
    <w:p>
      <w:pPr>
        <w:pStyle w:val="FirstParagraph"/>
      </w:pPr>
      <w:r>
        <w:t xml:space="preserve">Si un riesgo se materializa y el impacto estimado supera el 10% del tiempo restante del sprint en curso, el PO autoriza el uso de la reserva de contingencia para contratar horas adicionales, ajustar el alcance del sprint o activar el buffer de holgura antes de lo planificado.</w:t>
      </w:r>
    </w:p>
    <w:p>
      <w:pPr>
        <w:pStyle w:val="Heading3"/>
      </w:pPr>
      <w:bookmarkStart w:id="36" w:name="regla-2-cpi-0.90-sostenido"/>
      <w:r>
        <w:t xml:space="preserve">Regla 2 — CPI &lt; 0.90 sostenido</w:t>
      </w:r>
      <w:bookmarkEnd w:id="36"/>
    </w:p>
    <w:p>
      <w:pPr>
        <w:pStyle w:val="FirstParagraph"/>
      </w:pPr>
      <w:r>
        <w:t xml:space="preserve">Si el CPI calculado al cierre de un sprint cae por debajo de 0.90 y se mantiene en ese nivel en el sprint siguiente, el PO junto con el SM evalúan si se activa la reserva de contingencia o si se escala al Sponsor para renegociar el alcance del sprint siguiente.</w:t>
      </w:r>
    </w:p>
    <w:p>
      <w:pPr>
        <w:pStyle w:val="Heading3"/>
      </w:pPr>
      <w:bookmarkStart w:id="37" w:name="X7b09200cc43d0dae541528fe64a571404db9040"/>
      <w:r>
        <w:t xml:space="preserve">Regla 3 — Aprobación del Sponsor para reserva mayor</w:t>
      </w:r>
      <w:bookmarkEnd w:id="37"/>
    </w:p>
    <w:p>
      <w:pPr>
        <w:pStyle w:val="FirstParagraph"/>
      </w:pPr>
      <w:r>
        <w:t xml:space="preserve">El uso de la reserva de contingencia para montos que superen el umbral del CCB básico requiere aprobación del CCB ampliado (PO + SM + Sponsor). El PO no puede usar la reserva de contingencia completa unilateralmente; necesita la autorización del Sponsor para desviaciones significativas.</w:t>
      </w:r>
    </w:p>
    <w:p>
      <w:pPr>
        <w:pStyle w:val="Heading2"/>
      </w:pPr>
      <w:bookmarkStart w:id="38" w:name="anti-patrones-evitados"/>
      <w:r>
        <w:t xml:space="preserve">Anti-patrones evitados</w:t>
      </w:r>
      <w:bookmarkEnd w:id="38"/>
    </w:p>
    <w:p>
      <w:pPr>
        <w:numPr>
          <w:ilvl w:val="0"/>
          <w:numId w:val="1001"/>
        </w:numPr>
        <w:pStyle w:val="Compact"/>
      </w:pPr>
      <w:r>
        <w:t xml:space="preserve">Identificar riesgos solo al inicio del proyecto y no monitorearlos durante la ejecución: este proyecto tiene un calendario de monitoreo por sprint.</w:t>
      </w:r>
    </w:p>
    <w:p>
      <w:pPr>
        <w:numPr>
          <w:ilvl w:val="0"/>
          <w:numId w:val="1001"/>
        </w:numPr>
        <w:pStyle w:val="Compact"/>
      </w:pPr>
      <w:r>
        <w:t xml:space="preserve">Calcular el EMV sin usar la tabla de probabilidades canónica del curso: todas las probabilidades usan los valores 0.20, 0.40 y 0.70.</w:t>
      </w:r>
    </w:p>
    <w:p>
      <w:pPr>
        <w:numPr>
          <w:ilvl w:val="0"/>
          <w:numId w:val="1001"/>
        </w:numPr>
        <w:pStyle w:val="Compact"/>
      </w:pPr>
      <w:r>
        <w:t xml:space="preserve">Asignar todos los riesgos al mismo responsable: cada riesgo tiene un responsable específico con justificación técnica.</w:t>
      </w:r>
    </w:p>
    <w:p>
      <w:pPr>
        <w:numPr>
          <w:ilvl w:val="0"/>
          <w:numId w:val="1001"/>
        </w:numPr>
        <w:pStyle w:val="Compact"/>
      </w:pPr>
      <w:r>
        <w:t xml:space="preserve">Aceptar todos los riesgos sin estrategia activa: la aceptación solo aplica a R9, que tiene impacto bajo y una arquitectura de catálogo actualizable que mitiga naturalmente el riesgo.</w:t>
      </w:r>
    </w:p>
    <w:p>
      <w:pPr>
        <w:pStyle w:val="Heading2"/>
      </w:pPr>
      <w:bookmarkStart w:id="39" w:name="principio-rector"/>
      <w:r>
        <w:t xml:space="preserve">Principio rector</w:t>
      </w:r>
      <w:bookmarkEnd w:id="39"/>
    </w:p>
    <w:p>
      <w:pPr>
        <w:pStyle w:val="FirstParagraph"/>
      </w:pPr>
      <w:r>
        <w:t xml:space="preserve">“</w:t>
      </w:r>
      <w:r>
        <w:t xml:space="preserve">El riesgo no se elimina: se calcula, se monitorea y se gestiona.</w:t>
      </w:r>
      <w:r>
        <w:t xml:space="preserve">”</w:t>
      </w:r>
    </w:p>
    <w:p>
      <w:pPr>
        <w:pStyle w:val="BodyText"/>
      </w:pPr>
      <w:r>
        <w:t xml:space="preserve">Ninguno de los 9 riesgos identificados (R1–R9) tiene probabilidad cero. La gestión de riesgos no pretende construir un proyecto sin incertidumbre; pretende construir un equipo que sepa qué hacer cuando la incertidumbre se convierte en evento real.</w:t>
      </w:r>
    </w:p>
    <w:p>
      <w:pPr>
        <w:pStyle w:val="Heading2"/>
      </w:pPr>
      <w:bookmarkStart w:id="40" w:name="mapa-de-calor-de-riesgos"/>
      <w:r>
        <w:t xml:space="preserve">Mapa de calor de riesgos</w:t>
      </w:r>
      <w:bookmarkEnd w:id="40"/>
    </w:p>
    <w:p>
      <w:pPr>
        <w:pStyle w:val="FirstParagraph"/>
      </w:pPr>
      <w:r>
        <w:t xml:space="preserve">El mapa de calor clasifica cada riesgo según su nivel de severidad combinando probabilidad e impacto relativo. El objetivo es visualizar qué riesgos requieren atención prioritaria.</w:t>
      </w:r>
    </w:p>
    <w:tbl>
      <w:tblPr>
        <w:tblStyle w:val="Table"/>
        <w:tblW w:type="pct" w:w="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Probabilidad  Impacto</w:t>
            </w:r>
          </w:p>
        </w:tc>
        <w:tc>
          <w:tcPr>
            <w:tcBorders>
              <w:bottom w:val="single"/>
            </w:tcBorders>
            <w:vAlign w:val="bottom"/>
            <w:shd w:val="clear" w:color="auto" w:fill="0E2841"/>
          </w:tcPr>
          <w:p>
            <w:pPr>
              <w:pStyle w:val="Compact"/>
              <w:jc w:val="left"/>
            </w:pPr>
            <w:r>
              <w:rPr>
                <w:rFonts w:ascii="Calibri" w:hAnsi="Calibri"/>
                <w:b/>
                <w:color w:val="FFFFFF"/>
                <w:sz w:val="18"/>
              </w:rPr>
              <w:t xml:space="preserve">Bajo</w:t>
            </w:r>
          </w:p>
        </w:tc>
        <w:tc>
          <w:tcPr>
            <w:tcBorders>
              <w:bottom w:val="single"/>
            </w:tcBorders>
            <w:vAlign w:val="bottom"/>
            <w:shd w:val="clear" w:color="auto" w:fill="0E2841"/>
          </w:tcPr>
          <w:p>
            <w:pPr>
              <w:pStyle w:val="Compact"/>
              <w:jc w:val="left"/>
            </w:pPr>
            <w:r>
              <w:rPr>
                <w:rFonts w:ascii="Calibri" w:hAnsi="Calibri"/>
                <w:b/>
                <w:color w:val="FFFFFF"/>
                <w:sz w:val="18"/>
              </w:rPr>
              <w:t xml:space="preserve">Medio</w:t>
            </w:r>
          </w:p>
        </w:tc>
        <w:tc>
          <w:tcPr>
            <w:tcBorders>
              <w:bottom w:val="single"/>
            </w:tcBorders>
            <w:vAlign w:val="bottom"/>
            <w:shd w:val="clear" w:color="auto" w:fill="0E2841"/>
          </w:tcPr>
          <w:p>
            <w:pPr>
              <w:pStyle w:val="Compact"/>
              <w:jc w:val="left"/>
            </w:pPr>
            <w:r>
              <w:rPr>
                <w:rFonts w:ascii="Calibri" w:hAnsi="Calibri"/>
                <w:b/>
                <w:color w:val="FFFFFF"/>
                <w:sz w:val="18"/>
              </w:rPr>
              <w:t xml:space="preserve">Alto</w:t>
            </w:r>
          </w:p>
        </w:tc>
      </w:tr>
      <w:tr>
        <w:tc>
          <w:tcPr>
            <w:shd w:val="clear" w:color="auto" w:fill="FFFFFF"/>
          </w:tcPr>
          <w:p>
            <w:pPr>
              <w:pStyle w:val="Compact"/>
              <w:jc w:val="left"/>
            </w:pPr>
            <w:r>
              <w:rPr>
                <w:rFonts w:ascii="Calibri" w:hAnsi="Calibri"/>
                <w:sz w:val="18"/>
              </w:rPr>
              <w:t xml:space="preserve">Alta (0.70)</w:t>
            </w:r>
          </w:p>
        </w:tc>
        <w:tc>
          <w:tcPr>
            <w:shd w:val="clear" w:color="auto" w:fill="FFFFFF"/>
          </w:tcPr>
          <w:p>
            <w:pPr>
              <w:pStyle w:val="Compact"/>
              <w:jc w:val="left"/>
            </w:pPr>
            <w:r>
              <w:rPr>
                <w:rFonts w:ascii="Calibri" w:hAnsi="Calibri"/>
                <w:sz w:val="18"/>
              </w:rPr>
              <w:t xml:space="preserve">—</w:t>
            </w:r>
          </w:p>
        </w:tc>
        <w:tc>
          <w:tcPr>
            <w:shd w:val="clear" w:color="auto" w:fill="FFFFFF"/>
          </w:tcPr>
          <w:p>
            <w:pPr>
              <w:pStyle w:val="Compact"/>
              <w:jc w:val="left"/>
            </w:pPr>
            <w:r>
              <w:rPr>
                <w:rFonts w:ascii="Calibri" w:hAnsi="Calibri"/>
                <w:sz w:val="18"/>
              </w:rPr>
              <w:t xml:space="preserve">—</w:t>
            </w:r>
          </w:p>
        </w:tc>
        <w:tc>
          <w:tcPr>
            <w:shd w:val="clear" w:color="auto" w:fill="FFFFFF"/>
          </w:tcPr>
          <w:p>
            <w:pPr>
              <w:pStyle w:val="Compact"/>
              <w:jc w:val="left"/>
            </w:pPr>
            <w:r>
              <w:rPr>
                <w:rFonts w:ascii="Calibri" w:hAnsi="Calibri"/>
                <w:sz w:val="18"/>
              </w:rPr>
              <w:t xml:space="preserve">—</w:t>
            </w:r>
          </w:p>
        </w:tc>
      </w:tr>
      <w:tr>
        <w:tc>
          <w:tcPr>
            <w:shd w:val="clear" w:color="auto" w:fill="E8E8E8"/>
          </w:tcPr>
          <w:p>
            <w:pPr>
              <w:pStyle w:val="Compact"/>
              <w:jc w:val="left"/>
            </w:pPr>
            <w:r>
              <w:rPr>
                <w:rFonts w:ascii="Calibri" w:hAnsi="Calibri"/>
                <w:sz w:val="18"/>
              </w:rPr>
              <w:t xml:space="preserve">Media (0.40)</w:t>
            </w:r>
          </w:p>
        </w:tc>
        <w:tc>
          <w:tcPr>
            <w:shd w:val="clear" w:color="auto" w:fill="E8E8E8"/>
          </w:tcPr>
          <w:p>
            <w:pPr>
              <w:pStyle w:val="Compact"/>
              <w:jc w:val="left"/>
            </w:pPr>
            <w:r>
              <w:rPr>
                <w:rFonts w:ascii="Calibri" w:hAnsi="Calibri"/>
                <w:sz w:val="18"/>
              </w:rPr>
              <w:t xml:space="preserve">—</w:t>
            </w:r>
          </w:p>
        </w:tc>
        <w:tc>
          <w:tcPr>
            <w:shd w:val="clear" w:color="auto" w:fill="E8E8E8"/>
          </w:tcPr>
          <w:p>
            <w:pPr>
              <w:pStyle w:val="Compact"/>
              <w:jc w:val="left"/>
            </w:pPr>
            <w:r>
              <w:rPr>
                <w:rFonts w:ascii="Calibri" w:hAnsi="Calibri"/>
                <w:sz w:val="18"/>
              </w:rPr>
              <w:t xml:space="preserve">R1, R2, R7</w:t>
            </w:r>
          </w:p>
        </w:tc>
        <w:tc>
          <w:tcPr>
            <w:shd w:val="clear" w:color="auto" w:fill="E8E8E8"/>
          </w:tcPr>
          <w:p>
            <w:pPr>
              <w:pStyle w:val="Compact"/>
              <w:jc w:val="left"/>
            </w:pPr>
            <w:r>
              <w:rPr>
                <w:rFonts w:ascii="Calibri" w:hAnsi="Calibri"/>
                <w:sz w:val="18"/>
              </w:rPr>
              <w:t xml:space="preserve">—</w:t>
            </w:r>
          </w:p>
        </w:tc>
      </w:tr>
      <w:tr>
        <w:tc>
          <w:tcPr>
            <w:shd w:val="clear" w:color="auto" w:fill="FFFFFF"/>
          </w:tcPr>
          <w:p>
            <w:pPr>
              <w:pStyle w:val="Compact"/>
              <w:jc w:val="left"/>
            </w:pPr>
            <w:r>
              <w:rPr>
                <w:rFonts w:ascii="Calibri" w:hAnsi="Calibri"/>
                <w:sz w:val="18"/>
              </w:rPr>
              <w:t xml:space="preserve">Baja (0.20)</w:t>
            </w:r>
          </w:p>
        </w:tc>
        <w:tc>
          <w:tcPr>
            <w:shd w:val="clear" w:color="auto" w:fill="FFFFFF"/>
          </w:tcPr>
          <w:p>
            <w:pPr>
              <w:pStyle w:val="Compact"/>
              <w:jc w:val="left"/>
            </w:pPr>
            <w:r>
              <w:rPr>
                <w:rFonts w:ascii="Calibri" w:hAnsi="Calibri"/>
                <w:sz w:val="18"/>
              </w:rPr>
              <w:t xml:space="preserve">R9</w:t>
            </w:r>
          </w:p>
        </w:tc>
        <w:tc>
          <w:tcPr>
            <w:shd w:val="clear" w:color="auto" w:fill="FFFFFF"/>
          </w:tcPr>
          <w:p>
            <w:pPr>
              <w:pStyle w:val="Compact"/>
              <w:jc w:val="left"/>
            </w:pPr>
            <w:r>
              <w:rPr>
                <w:rFonts w:ascii="Calibri" w:hAnsi="Calibri"/>
                <w:sz w:val="18"/>
              </w:rPr>
              <w:t xml:space="preserve">R3, R4, R5, R8</w:t>
            </w:r>
          </w:p>
        </w:tc>
        <w:tc>
          <w:tcPr>
            <w:shd w:val="clear" w:color="auto" w:fill="FFFFFF"/>
          </w:tcPr>
          <w:p>
            <w:pPr>
              <w:pStyle w:val="Compact"/>
              <w:jc w:val="left"/>
            </w:pPr>
            <w:r>
              <w:rPr>
                <w:rFonts w:ascii="Calibri" w:hAnsi="Calibri"/>
                <w:sz w:val="18"/>
              </w:rPr>
              <w:t xml:space="preserve">R6</w:t>
            </w:r>
          </w:p>
        </w:tc>
      </w:tr>
    </w:tbl>
    <w:p>
      <w:pPr>
        <w:pStyle w:val="BodyText"/>
      </w:pPr>
      <w:r>
        <w:rPr>
          <w:b/>
        </w:rPr>
        <w:t xml:space="preserve">Notas de clasificación:</w:t>
      </w:r>
    </w:p>
    <w:p>
      <w:pPr>
        <w:numPr>
          <w:ilvl w:val="0"/>
          <w:numId w:val="1002"/>
        </w:numPr>
        <w:pStyle w:val="Compact"/>
      </w:pPr>
      <w:r>
        <w:t xml:space="preserve">R1 (Cambios requerimientos, media/medio): Probabilidad media porque el alcance está definido, pero los stakeholders pueden solicitar ajustes tras validaciones. Impacto medio porque el proceso de CR y el DoR contienen el crecimiento.</w:t>
      </w:r>
    </w:p>
    <w:p>
      <w:pPr>
        <w:numPr>
          <w:ilvl w:val="0"/>
          <w:numId w:val="1002"/>
        </w:numPr>
        <w:pStyle w:val="Compact"/>
      </w:pPr>
      <w:r>
        <w:t xml:space="preserve">R2 (Retraso cloud, media/medio): Probabilidad media dado que los servicios cloud tienen histórico de incidencias. Impacto medio porque el entorno local/Docker de contingencia atenúa el impacto.</w:t>
      </w:r>
    </w:p>
    <w:p>
      <w:pPr>
        <w:numPr>
          <w:ilvl w:val="0"/>
          <w:numId w:val="1002"/>
        </w:numPr>
        <w:pStyle w:val="Compact"/>
      </w:pPr>
      <w:r>
        <w:t xml:space="preserve">R6 (Falla proveedor cloud, baja/alto): Baja probabilidad por el SLA contratado, pero impacto alto porque afecta la disponibilidad completa del sistema en producción.</w:t>
      </w:r>
    </w:p>
    <w:p>
      <w:pPr>
        <w:numPr>
          <w:ilvl w:val="0"/>
          <w:numId w:val="1002"/>
        </w:numPr>
        <w:pStyle w:val="Compact"/>
      </w:pPr>
      <w:r>
        <w:t xml:space="preserve">R7 (Baja adopción, media/medio): Probabilidad media porque el comportamiento de los aspirantes en las pruebas H6 es incierto. Impacto medio porque el sprint 8 tiene capacidad para ajustes de UX.</w:t>
      </w:r>
    </w:p>
    <w:p>
      <w:pPr>
        <w:numPr>
          <w:ilvl w:val="0"/>
          <w:numId w:val="1002"/>
        </w:numPr>
        <w:pStyle w:val="Compact"/>
      </w:pPr>
      <w:r>
        <w:t xml:space="preserve">R9 (Cambios pensum, baja/bajo): Baja probabilidad y bajo impacto porque la arquitectura del catálogo está diseñada como estructura actualizable. Es el único riesgo con estrategia de Aceptar pasivo.</w:t>
      </w:r>
    </w:p>
    <w:p>
      <w:pPr>
        <w:pStyle w:val="Heading2"/>
      </w:pPr>
      <w:bookmarkStart w:id="41" w:name="referencia-a-la-cuantificación-emv"/>
      <w:r>
        <w:t xml:space="preserve">Referencia a la cuantificación EMV</w:t>
      </w:r>
      <w:bookmarkEnd w:id="41"/>
    </w:p>
    <w:p>
      <w:pPr>
        <w:pStyle w:val="FirstParagraph"/>
      </w:pPr>
      <w:r>
        <w:t xml:space="preserve">El Valor Monetario Esperado (EMV) de cada riesgo se calcula según la fórmula:</w:t>
      </w:r>
    </w:p>
    <w:p>
      <w:pPr>
        <w:pStyle w:val="BodyText"/>
      </w:pPr>
      <m:oMathPara>
        <m:oMathParaPr>
          <m:jc m:val="center"/>
        </m:oMathParaPr>
        <m:oMath>
          <m:r>
            <m:t>E</m:t>
          </m:r>
          <m:r>
            <m:t>M</m:t>
          </m:r>
          <m:r>
            <m:t>V</m:t>
          </m:r>
          <m:r>
            <m:t>=</m:t>
          </m:r>
          <m:r>
            <m:t>P</m:t>
          </m:r>
          <m:r>
            <m:t>r</m:t>
          </m:r>
          <m:r>
            <m:t>o</m:t>
          </m:r>
          <m:r>
            <m:t>b</m:t>
          </m:r>
          <m:r>
            <m:t>a</m:t>
          </m:r>
          <m:r>
            <m:t>b</m:t>
          </m:r>
          <m:r>
            <m:t>i</m:t>
          </m:r>
          <m:r>
            <m:t>l</m:t>
          </m:r>
          <m:r>
            <m:t>i</m:t>
          </m:r>
          <m:r>
            <m:t>d</m:t>
          </m:r>
          <m:r>
            <m:t>a</m:t>
          </m:r>
          <m:r>
            <m:t>d</m:t>
          </m:r>
          <m:r>
            <m:t>×</m:t>
          </m:r>
          <m:r>
            <m:t>I</m:t>
          </m:r>
          <m:r>
            <m:t>m</m:t>
          </m:r>
          <m:r>
            <m:t>p</m:t>
          </m:r>
          <m:r>
            <m:t>a</m:t>
          </m:r>
          <m:r>
            <m:t>c</m:t>
          </m:r>
          <m:r>
            <m:t>t</m:t>
          </m:r>
          <m:r>
            <m:t>o</m:t>
          </m:r>
          <m:r>
            <m:t> </m:t>
          </m:r>
          <m:r>
            <m:t>e</m:t>
          </m:r>
          <m:r>
            <m:t>c</m:t>
          </m:r>
          <m:r>
            <m:t>o</m:t>
          </m:r>
          <m:r>
            <m:t>n</m:t>
          </m:r>
          <m:acc>
            <m:accPr>
              <m:chr m:val="́"/>
            </m:accPr>
            <m:e>
              <m:r>
                <m:t>o</m:t>
              </m:r>
            </m:e>
          </m:acc>
          <m:r>
            <m:t>m</m:t>
          </m:r>
          <m:r>
            <m:t>i</m:t>
          </m:r>
          <m:r>
            <m:t>c</m:t>
          </m:r>
          <m:r>
            <m:t>o</m:t>
          </m:r>
          <m:r>
            <m:t> </m:t>
          </m:r>
          <m:r>
            <m:t>e</m:t>
          </m:r>
          <m:r>
            <m:t>s</m:t>
          </m:r>
          <m:r>
            <m:t>t</m:t>
          </m:r>
          <m:r>
            <m:t>i</m:t>
          </m:r>
          <m:r>
            <m:t>m</m:t>
          </m:r>
          <m:r>
            <m:t>a</m:t>
          </m:r>
          <m:r>
            <m:t>d</m:t>
          </m:r>
          <m:r>
            <m:t>o</m:t>
          </m:r>
        </m:oMath>
      </m:oMathPara>
    </w:p>
    <w:p>
      <w:pPr>
        <w:pStyle w:val="FirstParagraph"/>
      </w:pPr>
      <w:r>
        <w:t xml:space="preserve">donde el impacto económico se expresa en múltiplos del burn rate mensual del equipo. Los valores monetarios específicos (burn rate, EMV por riesgo, reserva de contingencia total) se documentan en el documento de costos consolidados del proyecto.</w:t>
      </w:r>
    </w:p>
    <w:p>
      <w:pPr>
        <w:pStyle w:val="BodyText"/>
      </w:pPr>
      <w:r>
        <w:t xml:space="preserve">La reserva de contingencia del proyecto es la suma de los EMVs de todos los riesgos identificados:</w:t>
      </w:r>
    </w:p>
    <w:p>
      <w:pPr>
        <w:pStyle w:val="BodyText"/>
      </w:pPr>
      <m:oMathPara>
        <m:oMathParaPr>
          <m:jc m:val="center"/>
        </m:oMathParaPr>
        <m:oMath>
          <m:r>
            <m:t>R</m:t>
          </m:r>
          <m:r>
            <m:t>e</m:t>
          </m:r>
          <m:r>
            <m:t>s</m:t>
          </m:r>
          <m:r>
            <m:t>e</m:t>
          </m:r>
          <m:r>
            <m:t>r</m:t>
          </m:r>
          <m:r>
            <m:t>v</m:t>
          </m:r>
          <m:r>
            <m:t>a</m:t>
          </m:r>
          <m:r>
            <m:t> </m:t>
          </m:r>
          <m:r>
            <m:t>d</m:t>
          </m:r>
          <m:r>
            <m:t>e</m:t>
          </m:r>
          <m:r>
            <m:t> </m:t>
          </m:r>
          <m:r>
            <m:t>c</m:t>
          </m:r>
          <m:r>
            <m:t>o</m:t>
          </m:r>
          <m:r>
            <m:t>n</m:t>
          </m:r>
          <m:r>
            <m:t>t</m:t>
          </m:r>
          <m:r>
            <m:t>i</m:t>
          </m:r>
          <m:r>
            <m:t>n</m:t>
          </m:r>
          <m:r>
            <m:t>g</m:t>
          </m:r>
          <m:r>
            <m:t>e</m:t>
          </m:r>
          <m:r>
            <m:t>n</m:t>
          </m:r>
          <m:r>
            <m:t>c</m:t>
          </m:r>
          <m:r>
            <m:t>i</m:t>
          </m:r>
          <m:r>
            <m:t>a</m:t>
          </m:r>
          <m:r>
            <m:t>=</m:t>
          </m:r>
          <m:nary>
            <m:naryPr>
              <m:chr m:val="∑"/>
              <m:limLoc m:val="undOvr"/>
              <m:subHide m:val="0"/>
              <m:supHide m:val="0"/>
            </m:naryPr>
            <m:sub>
              <m:r>
                <m:t>i</m:t>
              </m:r>
              <m:r>
                <m:t>=</m:t>
              </m:r>
              <m:r>
                <m:t>1</m:t>
              </m:r>
            </m:sub>
            <m:sup>
              <m:r>
                <m:t>9</m:t>
              </m:r>
            </m:sup>
            <m:e>
              <m:r>
                <m:t>E</m:t>
              </m:r>
            </m:e>
          </m:nary>
          <m:r>
            <m:t>M</m:t>
          </m:r>
          <m:sSub>
            <m:e>
              <m:r>
                <m:t>V</m:t>
              </m:r>
            </m:e>
            <m:sub>
              <m:r>
                <m:t>i</m:t>
              </m:r>
            </m:sub>
          </m:sSub>
        </m:oMath>
      </m:oMathPara>
    </w:p>
    <w:p>
      <w:pPr>
        <w:pStyle w:val="FirstParagraph"/>
      </w:pPr>
      <w:r>
        <w:t xml:space="preserve">El nivel de EMV relativo de cada riesgo (sin montos específicos) es:</w:t>
      </w:r>
    </w:p>
    <w:tbl>
      <w:tblPr>
        <w:tblStyle w:val="Table"/>
        <w:tblW w:type="pct" w:w="5000.0"/>
        <w:tblLook w:firstRow="1"/>
        <w:tblBorders>
          <w:top w:val="single" w:sz="4" w:space="0" w:color="0E6251"/>
          <w:left w:val="single" w:sz="4" w:space="0" w:color="0E6251"/>
          <w:bottom w:val="single" w:sz="4" w:space="0" w:color="0E6251"/>
          <w:right w:val="single" w:sz="4" w:space="0" w:color="0E6251"/>
          <w:insideH w:val="single" w:sz="4" w:space="0" w:color="0E6251"/>
          <w:insideV w:val="single" w:sz="4" w:space="0" w:color="0E6251"/>
        </w:tblBorders>
      </w:tblPr>
      <w:tblGrid>
        <w:gridCol w:w="1980"/>
        <w:gridCol w:w="1980"/>
        <w:gridCol w:w="1980"/>
        <w:gridCol w:w="1980"/>
      </w:tblGrid>
      <w:tr>
        <w:trPr>
          <w:cnfStyle w:firstRow="1"/>
        </w:trPr>
        <w:tc>
          <w:tcPr>
            <w:tcBorders>
              <w:bottom w:val="single"/>
            </w:tcBorders>
            <w:vAlign w:val="bottom"/>
            <w:shd w:val="clear" w:color="auto" w:fill="0E2841"/>
          </w:tcPr>
          <w:p>
            <w:pPr>
              <w:pStyle w:val="Compact"/>
              <w:jc w:val="left"/>
            </w:pPr>
            <w:r>
              <w:rPr>
                <w:rFonts w:ascii="Calibri" w:hAnsi="Calibri"/>
                <w:b/>
                <w:color w:val="FFFFFF"/>
                <w:sz w:val="18"/>
              </w:rPr>
              <w:t xml:space="preserve">ID</w:t>
            </w:r>
          </w:p>
        </w:tc>
        <w:tc>
          <w:tcPr>
            <w:tcBorders>
              <w:bottom w:val="single"/>
            </w:tcBorders>
            <w:vAlign w:val="bottom"/>
            <w:shd w:val="clear" w:color="auto" w:fill="0E2841"/>
          </w:tcPr>
          <w:p>
            <w:pPr>
              <w:pStyle w:val="Compact"/>
              <w:jc w:val="left"/>
            </w:pPr>
            <w:r>
              <w:rPr>
                <w:rFonts w:ascii="Calibri" w:hAnsi="Calibri"/>
                <w:b/>
                <w:color w:val="FFFFFF"/>
                <w:sz w:val="18"/>
              </w:rPr>
              <w:t xml:space="preserve">Probabilidad</w:t>
            </w:r>
          </w:p>
        </w:tc>
        <w:tc>
          <w:tcPr>
            <w:tcBorders>
              <w:bottom w:val="single"/>
            </w:tcBorders>
            <w:vAlign w:val="bottom"/>
            <w:shd w:val="clear" w:color="auto" w:fill="0E2841"/>
          </w:tcPr>
          <w:p>
            <w:pPr>
              <w:pStyle w:val="Compact"/>
              <w:jc w:val="left"/>
            </w:pPr>
            <w:r>
              <w:rPr>
                <w:rFonts w:ascii="Calibri" w:hAnsi="Calibri"/>
                <w:b/>
                <w:color w:val="FFFFFF"/>
                <w:sz w:val="18"/>
              </w:rPr>
              <w:t xml:space="preserve">Impacto relativo</w:t>
            </w:r>
          </w:p>
        </w:tc>
        <w:tc>
          <w:tcPr>
            <w:tcBorders>
              <w:bottom w:val="single"/>
            </w:tcBorders>
            <w:vAlign w:val="bottom"/>
            <w:shd w:val="clear" w:color="auto" w:fill="0E2841"/>
          </w:tcPr>
          <w:p>
            <w:pPr>
              <w:pStyle w:val="Compact"/>
              <w:jc w:val="left"/>
            </w:pPr>
            <w:r>
              <w:rPr>
                <w:rFonts w:ascii="Calibri" w:hAnsi="Calibri"/>
                <w:b/>
                <w:color w:val="FFFFFF"/>
                <w:sz w:val="18"/>
              </w:rPr>
              <w:t xml:space="preserve">Nivel EMV relativo</w:t>
            </w:r>
          </w:p>
        </w:tc>
      </w:tr>
      <w:tr>
        <w:tc>
          <w:tcPr>
            <w:shd w:val="clear" w:color="auto" w:fill="FFFFFF"/>
          </w:tcPr>
          <w:p>
            <w:pPr>
              <w:pStyle w:val="Compact"/>
              <w:jc w:val="left"/>
            </w:pPr>
            <w:r>
              <w:rPr>
                <w:rFonts w:ascii="Calibri" w:hAnsi="Calibri"/>
                <w:sz w:val="18"/>
              </w:rPr>
              <w:t xml:space="preserve">R1</w:t>
            </w:r>
          </w:p>
        </w:tc>
        <w:tc>
          <w:tcPr>
            <w:shd w:val="clear" w:color="auto" w:fill="FFFFFF"/>
          </w:tcPr>
          <w:p>
            <w:pPr>
              <w:pStyle w:val="Compact"/>
              <w:jc w:val="left"/>
            </w:pPr>
            <w:r>
              <w:rPr>
                <w:rFonts w:ascii="Calibri" w:hAnsi="Calibri"/>
                <w:sz w:val="18"/>
              </w:rPr>
              <w:t xml:space="preserve">Media (0.40)</w:t>
            </w:r>
          </w:p>
        </w:tc>
        <w:tc>
          <w:tcPr>
            <w:shd w:val="clear" w:color="auto" w:fill="FFFFFF"/>
          </w:tcPr>
          <w:p>
            <w:pPr>
              <w:pStyle w:val="Compact"/>
              <w:jc w:val="left"/>
            </w:pPr>
            <w:r>
              <w:rPr>
                <w:rFonts w:ascii="Calibri" w:hAnsi="Calibri"/>
                <w:sz w:val="18"/>
              </w:rPr>
              <w:t xml:space="preserve">1 mes de burn rate</w:t>
            </w:r>
          </w:p>
        </w:tc>
        <w:tc>
          <w:tcPr>
            <w:shd w:val="clear" w:color="auto" w:fill="FFFFFF"/>
          </w:tcPr>
          <w:p>
            <w:pPr>
              <w:pStyle w:val="Compact"/>
              <w:jc w:val="left"/>
            </w:pPr>
            <w:r>
              <w:rPr>
                <w:rFonts w:ascii="Calibri" w:hAnsi="Calibri"/>
                <w:sz w:val="18"/>
              </w:rPr>
              <w:t xml:space="preserve">Medio</w:t>
            </w:r>
          </w:p>
        </w:tc>
      </w:tr>
      <w:tr>
        <w:tc>
          <w:tcPr>
            <w:shd w:val="clear" w:color="auto" w:fill="E8E8E8"/>
          </w:tcPr>
          <w:p>
            <w:pPr>
              <w:pStyle w:val="Compact"/>
              <w:jc w:val="left"/>
            </w:pPr>
            <w:r>
              <w:rPr>
                <w:rFonts w:ascii="Calibri" w:hAnsi="Calibri"/>
                <w:sz w:val="18"/>
              </w:rPr>
              <w:t xml:space="preserve">R2</w:t>
            </w:r>
          </w:p>
        </w:tc>
        <w:tc>
          <w:tcPr>
            <w:shd w:val="clear" w:color="auto" w:fill="E8E8E8"/>
          </w:tcPr>
          <w:p>
            <w:pPr>
              <w:pStyle w:val="Compact"/>
              <w:jc w:val="left"/>
            </w:pPr>
            <w:r>
              <w:rPr>
                <w:rFonts w:ascii="Calibri" w:hAnsi="Calibri"/>
                <w:sz w:val="18"/>
              </w:rPr>
              <w:t xml:space="preserve">Media (0.40)</w:t>
            </w:r>
          </w:p>
        </w:tc>
        <w:tc>
          <w:tcPr>
            <w:shd w:val="clear" w:color="auto" w:fill="E8E8E8"/>
          </w:tcPr>
          <w:p>
            <w:pPr>
              <w:pStyle w:val="Compact"/>
              <w:jc w:val="left"/>
            </w:pPr>
            <w:r>
              <w:rPr>
                <w:rFonts w:ascii="Calibri" w:hAnsi="Calibri"/>
                <w:sz w:val="18"/>
              </w:rPr>
              <w:t xml:space="preserve">2 semanas de sprint</w:t>
            </w:r>
          </w:p>
        </w:tc>
        <w:tc>
          <w:tcPr>
            <w:shd w:val="clear" w:color="auto" w:fill="E8E8E8"/>
          </w:tcPr>
          <w:p>
            <w:pPr>
              <w:pStyle w:val="Compact"/>
              <w:jc w:val="left"/>
            </w:pPr>
            <w:r>
              <w:rPr>
                <w:rFonts w:ascii="Calibri" w:hAnsi="Calibri"/>
                <w:sz w:val="18"/>
              </w:rPr>
              <w:t xml:space="preserve">Medio-bajo</w:t>
            </w:r>
          </w:p>
        </w:tc>
      </w:tr>
      <w:tr>
        <w:tc>
          <w:tcPr>
            <w:shd w:val="clear" w:color="auto" w:fill="FFFFFF"/>
          </w:tcPr>
          <w:p>
            <w:pPr>
              <w:pStyle w:val="Compact"/>
              <w:jc w:val="left"/>
            </w:pPr>
            <w:r>
              <w:rPr>
                <w:rFonts w:ascii="Calibri" w:hAnsi="Calibri"/>
                <w:sz w:val="18"/>
              </w:rPr>
              <w:t xml:space="preserve">R3</w:t>
            </w:r>
          </w:p>
        </w:tc>
        <w:tc>
          <w:tcPr>
            <w:shd w:val="clear" w:color="auto" w:fill="FFFFFF"/>
          </w:tcPr>
          <w:p>
            <w:pPr>
              <w:pStyle w:val="Compact"/>
              <w:jc w:val="left"/>
            </w:pPr>
            <w:r>
              <w:rPr>
                <w:rFonts w:ascii="Calibri" w:hAnsi="Calibri"/>
                <w:sz w:val="18"/>
              </w:rPr>
              <w:t xml:space="preserve">Baja (0.20)</w:t>
            </w:r>
          </w:p>
        </w:tc>
        <w:tc>
          <w:tcPr>
            <w:shd w:val="clear" w:color="auto" w:fill="FFFFFF"/>
          </w:tcPr>
          <w:p>
            <w:pPr>
              <w:pStyle w:val="Compact"/>
              <w:jc w:val="left"/>
            </w:pPr>
            <w:r>
              <w:rPr>
                <w:rFonts w:ascii="Calibri" w:hAnsi="Calibri"/>
                <w:sz w:val="18"/>
              </w:rPr>
              <w:t xml:space="preserve">1 semana de coordinación</w:t>
            </w:r>
          </w:p>
        </w:tc>
        <w:tc>
          <w:tcPr>
            <w:shd w:val="clear" w:color="auto" w:fill="FFFFFF"/>
          </w:tcPr>
          <w:p>
            <w:pPr>
              <w:pStyle w:val="Compact"/>
              <w:jc w:val="left"/>
            </w:pPr>
            <w:r>
              <w:rPr>
                <w:rFonts w:ascii="Calibri" w:hAnsi="Calibri"/>
                <w:sz w:val="18"/>
              </w:rPr>
              <w:t xml:space="preserve">Bajo</w:t>
            </w:r>
          </w:p>
        </w:tc>
      </w:tr>
      <w:tr>
        <w:tc>
          <w:tcPr>
            <w:shd w:val="clear" w:color="auto" w:fill="E8E8E8"/>
          </w:tcPr>
          <w:p>
            <w:pPr>
              <w:pStyle w:val="Compact"/>
              <w:jc w:val="left"/>
            </w:pPr>
            <w:r>
              <w:rPr>
                <w:rFonts w:ascii="Calibri" w:hAnsi="Calibri"/>
                <w:sz w:val="18"/>
              </w:rPr>
              <w:t xml:space="preserve">R4</w:t>
            </w:r>
          </w:p>
        </w:tc>
        <w:tc>
          <w:tcPr>
            <w:shd w:val="clear" w:color="auto" w:fill="E8E8E8"/>
          </w:tcPr>
          <w:p>
            <w:pPr>
              <w:pStyle w:val="Compact"/>
              <w:jc w:val="left"/>
            </w:pPr>
            <w:r>
              <w:rPr>
                <w:rFonts w:ascii="Calibri" w:hAnsi="Calibri"/>
                <w:sz w:val="18"/>
              </w:rPr>
              <w:t xml:space="preserve">Baja (0.20)</w:t>
            </w:r>
          </w:p>
        </w:tc>
        <w:tc>
          <w:tcPr>
            <w:shd w:val="clear" w:color="auto" w:fill="E8E8E8"/>
          </w:tcPr>
          <w:p>
            <w:pPr>
              <w:pStyle w:val="Compact"/>
              <w:jc w:val="left"/>
            </w:pPr>
            <w:r>
              <w:rPr>
                <w:rFonts w:ascii="Calibri" w:hAnsi="Calibri"/>
                <w:sz w:val="18"/>
              </w:rPr>
              <w:t xml:space="preserve">1 semana de retraso en hito</w:t>
            </w:r>
          </w:p>
        </w:tc>
        <w:tc>
          <w:tcPr>
            <w:shd w:val="clear" w:color="auto" w:fill="E8E8E8"/>
          </w:tcPr>
          <w:p>
            <w:pPr>
              <w:pStyle w:val="Compact"/>
              <w:jc w:val="left"/>
            </w:pPr>
            <w:r>
              <w:rPr>
                <w:rFonts w:ascii="Calibri" w:hAnsi="Calibri"/>
                <w:sz w:val="18"/>
              </w:rPr>
              <w:t xml:space="preserve">Bajo</w:t>
            </w:r>
          </w:p>
        </w:tc>
      </w:tr>
      <w:tr>
        <w:tc>
          <w:tcPr>
            <w:shd w:val="clear" w:color="auto" w:fill="FFFFFF"/>
          </w:tcPr>
          <w:p>
            <w:pPr>
              <w:pStyle w:val="Compact"/>
              <w:jc w:val="left"/>
            </w:pPr>
            <w:r>
              <w:rPr>
                <w:rFonts w:ascii="Calibri" w:hAnsi="Calibri"/>
                <w:sz w:val="18"/>
              </w:rPr>
              <w:t xml:space="preserve">R5</w:t>
            </w:r>
          </w:p>
        </w:tc>
        <w:tc>
          <w:tcPr>
            <w:shd w:val="clear" w:color="auto" w:fill="FFFFFF"/>
          </w:tcPr>
          <w:p>
            <w:pPr>
              <w:pStyle w:val="Compact"/>
              <w:jc w:val="left"/>
            </w:pPr>
            <w:r>
              <w:rPr>
                <w:rFonts w:ascii="Calibri" w:hAnsi="Calibri"/>
                <w:sz w:val="18"/>
              </w:rPr>
              <w:t xml:space="preserve">Baja (0.20)</w:t>
            </w:r>
          </w:p>
        </w:tc>
        <w:tc>
          <w:tcPr>
            <w:shd w:val="clear" w:color="auto" w:fill="FFFFFF"/>
          </w:tcPr>
          <w:p>
            <w:pPr>
              <w:pStyle w:val="Compact"/>
              <w:jc w:val="left"/>
            </w:pPr>
            <w:r>
              <w:rPr>
                <w:rFonts w:ascii="Calibri" w:hAnsi="Calibri"/>
                <w:sz w:val="18"/>
              </w:rPr>
              <w:t xml:space="preserve">1 mes de ramp-up nuevo developer</w:t>
            </w:r>
          </w:p>
        </w:tc>
        <w:tc>
          <w:tcPr>
            <w:shd w:val="clear" w:color="auto" w:fill="FFFFFF"/>
          </w:tcPr>
          <w:p>
            <w:pPr>
              <w:pStyle w:val="Compact"/>
              <w:jc w:val="left"/>
            </w:pPr>
            <w:r>
              <w:rPr>
                <w:rFonts w:ascii="Calibri" w:hAnsi="Calibri"/>
                <w:sz w:val="18"/>
              </w:rPr>
              <w:t xml:space="preserve">Bajo</w:t>
            </w:r>
          </w:p>
        </w:tc>
      </w:tr>
      <w:tr>
        <w:tc>
          <w:tcPr>
            <w:shd w:val="clear" w:color="auto" w:fill="E8E8E8"/>
          </w:tcPr>
          <w:p>
            <w:pPr>
              <w:pStyle w:val="Compact"/>
              <w:jc w:val="left"/>
            </w:pPr>
            <w:r>
              <w:rPr>
                <w:rFonts w:ascii="Calibri" w:hAnsi="Calibri"/>
                <w:sz w:val="18"/>
              </w:rPr>
              <w:t xml:space="preserve">R6</w:t>
            </w:r>
          </w:p>
        </w:tc>
        <w:tc>
          <w:tcPr>
            <w:shd w:val="clear" w:color="auto" w:fill="E8E8E8"/>
          </w:tcPr>
          <w:p>
            <w:pPr>
              <w:pStyle w:val="Compact"/>
              <w:jc w:val="left"/>
            </w:pPr>
            <w:r>
              <w:rPr>
                <w:rFonts w:ascii="Calibri" w:hAnsi="Calibri"/>
                <w:sz w:val="18"/>
              </w:rPr>
              <w:t xml:space="preserve">Baja (0.20)</w:t>
            </w:r>
          </w:p>
        </w:tc>
        <w:tc>
          <w:tcPr>
            <w:shd w:val="clear" w:color="auto" w:fill="E8E8E8"/>
          </w:tcPr>
          <w:p>
            <w:pPr>
              <w:pStyle w:val="Compact"/>
              <w:jc w:val="left"/>
            </w:pPr>
            <w:r>
              <w:rPr>
                <w:rFonts w:ascii="Calibri" w:hAnsi="Calibri"/>
                <w:sz w:val="18"/>
              </w:rPr>
              <w:t xml:space="preserve">1–2 semanas de indisponibilidad</w:t>
            </w:r>
          </w:p>
        </w:tc>
        <w:tc>
          <w:tcPr>
            <w:shd w:val="clear" w:color="auto" w:fill="E8E8E8"/>
          </w:tcPr>
          <w:p>
            <w:pPr>
              <w:pStyle w:val="Compact"/>
              <w:jc w:val="left"/>
            </w:pPr>
            <w:r>
              <w:rPr>
                <w:rFonts w:ascii="Calibri" w:hAnsi="Calibri"/>
                <w:sz w:val="18"/>
              </w:rPr>
              <w:t xml:space="preserve">Medio (alto en impacto bruto, bajo en EMV por probabilidad baja)</w:t>
            </w:r>
          </w:p>
        </w:tc>
      </w:tr>
      <w:tr>
        <w:tc>
          <w:tcPr>
            <w:shd w:val="clear" w:color="auto" w:fill="FFFFFF"/>
          </w:tcPr>
          <w:p>
            <w:pPr>
              <w:pStyle w:val="Compact"/>
              <w:jc w:val="left"/>
            </w:pPr>
            <w:r>
              <w:rPr>
                <w:rFonts w:ascii="Calibri" w:hAnsi="Calibri"/>
                <w:sz w:val="18"/>
              </w:rPr>
              <w:t xml:space="preserve">R7</w:t>
            </w:r>
          </w:p>
        </w:tc>
        <w:tc>
          <w:tcPr>
            <w:shd w:val="clear" w:color="auto" w:fill="FFFFFF"/>
          </w:tcPr>
          <w:p>
            <w:pPr>
              <w:pStyle w:val="Compact"/>
              <w:jc w:val="left"/>
            </w:pPr>
            <w:r>
              <w:rPr>
                <w:rFonts w:ascii="Calibri" w:hAnsi="Calibri"/>
                <w:sz w:val="18"/>
              </w:rPr>
              <w:t xml:space="preserve">Media (0.40)</w:t>
            </w:r>
          </w:p>
        </w:tc>
        <w:tc>
          <w:tcPr>
            <w:shd w:val="clear" w:color="auto" w:fill="FFFFFF"/>
          </w:tcPr>
          <w:p>
            <w:pPr>
              <w:pStyle w:val="Compact"/>
              <w:jc w:val="left"/>
            </w:pPr>
            <w:r>
              <w:rPr>
                <w:rFonts w:ascii="Calibri" w:hAnsi="Calibri"/>
                <w:sz w:val="18"/>
              </w:rPr>
              <w:t xml:space="preserve">1 sprint de ajustes UX</w:t>
            </w:r>
          </w:p>
        </w:tc>
        <w:tc>
          <w:tcPr>
            <w:shd w:val="clear" w:color="auto" w:fill="FFFFFF"/>
          </w:tcPr>
          <w:p>
            <w:pPr>
              <w:pStyle w:val="Compact"/>
              <w:jc w:val="left"/>
            </w:pPr>
            <w:r>
              <w:rPr>
                <w:rFonts w:ascii="Calibri" w:hAnsi="Calibri"/>
                <w:sz w:val="18"/>
              </w:rPr>
              <w:t xml:space="preserve">Medio</w:t>
            </w:r>
          </w:p>
        </w:tc>
      </w:tr>
      <w:tr>
        <w:tc>
          <w:tcPr>
            <w:shd w:val="clear" w:color="auto" w:fill="E8E8E8"/>
          </w:tcPr>
          <w:p>
            <w:pPr>
              <w:pStyle w:val="Compact"/>
              <w:jc w:val="left"/>
            </w:pPr>
            <w:r>
              <w:rPr>
                <w:rFonts w:ascii="Calibri" w:hAnsi="Calibri"/>
                <w:sz w:val="18"/>
              </w:rPr>
              <w:t xml:space="preserve">R8</w:t>
            </w:r>
          </w:p>
        </w:tc>
        <w:tc>
          <w:tcPr>
            <w:shd w:val="clear" w:color="auto" w:fill="E8E8E8"/>
          </w:tcPr>
          <w:p>
            <w:pPr>
              <w:pStyle w:val="Compact"/>
              <w:jc w:val="left"/>
            </w:pPr>
            <w:r>
              <w:rPr>
                <w:rFonts w:ascii="Calibri" w:hAnsi="Calibri"/>
                <w:sz w:val="18"/>
              </w:rPr>
              <w:t xml:space="preserve">Baja (0.20)</w:t>
            </w:r>
          </w:p>
        </w:tc>
        <w:tc>
          <w:tcPr>
            <w:shd w:val="clear" w:color="auto" w:fill="E8E8E8"/>
          </w:tcPr>
          <w:p>
            <w:pPr>
              <w:pStyle w:val="Compact"/>
              <w:jc w:val="left"/>
            </w:pPr>
            <w:r>
              <w:rPr>
                <w:rFonts w:ascii="Calibri" w:hAnsi="Calibri"/>
                <w:sz w:val="18"/>
              </w:rPr>
              <w:t xml:space="preserve">Riesgo reputacional + 1 sprint de corrección</w:t>
            </w:r>
          </w:p>
        </w:tc>
        <w:tc>
          <w:tcPr>
            <w:shd w:val="clear" w:color="auto" w:fill="E8E8E8"/>
          </w:tcPr>
          <w:p>
            <w:pPr>
              <w:pStyle w:val="Compact"/>
              <w:jc w:val="left"/>
            </w:pPr>
            <w:r>
              <w:rPr>
                <w:rFonts w:ascii="Calibri" w:hAnsi="Calibri"/>
                <w:sz w:val="18"/>
              </w:rPr>
              <w:t xml:space="preserve">Bajo-alto (no cuantificable completamente)</w:t>
            </w:r>
          </w:p>
        </w:tc>
      </w:tr>
      <w:tr>
        <w:tc>
          <w:tcPr>
            <w:shd w:val="clear" w:color="auto" w:fill="FFFFFF"/>
          </w:tcPr>
          <w:p>
            <w:pPr>
              <w:pStyle w:val="Compact"/>
              <w:jc w:val="left"/>
            </w:pPr>
            <w:r>
              <w:rPr>
                <w:rFonts w:ascii="Calibri" w:hAnsi="Calibri"/>
                <w:sz w:val="18"/>
              </w:rPr>
              <w:t xml:space="preserve">R9</w:t>
            </w:r>
          </w:p>
        </w:tc>
        <w:tc>
          <w:tcPr>
            <w:shd w:val="clear" w:color="auto" w:fill="FFFFFF"/>
          </w:tcPr>
          <w:p>
            <w:pPr>
              <w:pStyle w:val="Compact"/>
              <w:jc w:val="left"/>
            </w:pPr>
            <w:r>
              <w:rPr>
                <w:rFonts w:ascii="Calibri" w:hAnsi="Calibri"/>
                <w:sz w:val="18"/>
              </w:rPr>
              <w:t xml:space="preserve">Baja (0.20)</w:t>
            </w:r>
          </w:p>
        </w:tc>
        <w:tc>
          <w:tcPr>
            <w:shd w:val="clear" w:color="auto" w:fill="FFFFFF"/>
          </w:tcPr>
          <w:p>
            <w:pPr>
              <w:pStyle w:val="Compact"/>
              <w:jc w:val="left"/>
            </w:pPr>
            <w:r>
              <w:rPr>
                <w:rFonts w:ascii="Calibri" w:hAnsi="Calibri"/>
                <w:sz w:val="18"/>
              </w:rPr>
              <w:t xml:space="preserve">2–3 días de actualización del catálogo</w:t>
            </w:r>
          </w:p>
        </w:tc>
        <w:tc>
          <w:tcPr>
            <w:shd w:val="clear" w:color="auto" w:fill="FFFFFF"/>
          </w:tcPr>
          <w:p>
            <w:pPr>
              <w:pStyle w:val="Compact"/>
              <w:jc w:val="left"/>
            </w:pPr>
            <w:r>
              <w:rPr>
                <w:rFonts w:ascii="Calibri" w:hAnsi="Calibri"/>
                <w:sz w:val="18"/>
              </w:rPr>
              <w:t xml:space="preserve">Mínimo</w:t>
            </w:r>
          </w:p>
        </w:tc>
      </w:tr>
    </w:tbl>
    <w:sectPr>
      <w:headerReference w:type="default" r:id="rId9"/>
      <w:footerReference w:type="default" r:id="rId10"/>
      <w:headerReference w:type="first" r:id="rId11"/>
      <w:footerReference w:type="first" r:id="rId1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after="0"/>
      <w:pBdr>
        <w:top w:val="single" w:sz="8" w:space="1" w:color="E97132"/>
      </w:pBdr>
      <w:tabs>
        <w:tab w:val="right" w:pos="9360"/>
      </w:tabs>
    </w:pPr>
    <w:r>
      <w:rPr>
        <w:rFonts w:ascii="Calibri" w:hAnsi="Calibri"/>
        <w:b w:val="0"/>
        <w:color w:val="AAAAAA"/>
        <w:sz w:val="16"/>
      </w:rPr>
      <w:t>Área 8 PMI: Gestión de los Riesgos</w:t>
    </w:r>
    <w:r>
      <w:rPr>
        <w:rFonts w:ascii="Calibri" w:hAnsi="Calibri"/>
        <w:b w:val="0"/>
        <w:color w:val="AAAAAA"/>
        <w:sz w:val="16"/>
      </w:rPr>
      <w:tab/>
    </w:r>
    <w:r>
      <w:rPr>
        <w:rFonts w:ascii="Calibri" w:hAnsi="Calibri"/>
        <w:color w:val="AAAAAA"/>
        <w:sz w:val="16"/>
      </w:rPr>
      <w:fldChar w:fldCharType="begin"/>
      <w:instrText xml:space="preserve"> PAGE </w:instrText>
      <w:fldChar w:fldCharType="end"/>
    </w:r>
    <w:r>
      <w:rPr>
        <w:rFonts w:ascii="Calibri" w:hAnsi="Calibri"/>
        <w:b w:val="0"/>
        <w:color w:val="AAAAAA"/>
        <w:sz w:val="16"/>
      </w:rPr>
      <w:t xml:space="preserve"> / </w:t>
    </w:r>
    <w:r>
      <w:rPr>
        <w:rFonts w:ascii="Calibri" w:hAnsi="Calibri"/>
        <w:color w:val="AAAAAA"/>
        <w:sz w:val="16"/>
      </w:rPr>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pBdr>
        <w:top w:val="single" w:sz="8" w:space="1" w:color="E97132"/>
      </w:pBdr>
    </w:pPr>
    <w:r>
      <w:rPr>
        <w:rFonts w:ascii="Calibri" w:hAnsi="Calibri"/>
        <w:b w:val="0"/>
        <w:color w:val="AAAAAA"/>
        <w:sz w:val="16"/>
      </w:rPr>
      <w:t>Área 8 PMI: Gestión de los Riesgos</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shd w:val="clear" w:color="auto" w:fill="0E2841"/>
      <w:tabs>
        <w:tab w:val="right" w:pos="9360"/>
      </w:tabs>
    </w:pPr>
    <w:r>
      <w:rPr>
        <w:rFonts w:ascii="Calibri" w:hAnsi="Calibri"/>
        <w:b/>
        <w:color w:val="FFFFFF"/>
        <w:sz w:val="16"/>
      </w:rPr>
      <w:t xml:space="preserve">  SITPS-PMI-2026-08</w:t>
    </w:r>
    <w:r>
      <w:rPr>
        <w:rFonts w:ascii="Calibri" w:hAnsi="Calibri"/>
        <w:b w:val="0"/>
        <w:color w:val="FFFFFF"/>
        <w:sz w:val="16"/>
      </w:rPr>
      <w:tab/>
      <w:t xml:space="preserve">Strategic IT Project Solutions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b w:val="0"/>
      <w:color w:val="222233"/>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2026-05-18T22:26:37Z</dcterms:created>
  <dcterms:modified xsi:type="dcterms:W3CDTF">2026-05-18T22:26:37Z</dcterms:modified>
</cp:coreProperties>
</file>

<file path=docProps/custom.xml><?xml version="1.0" encoding="utf-8"?>
<Properties xmlns="http://schemas.openxmlformats.org/officeDocument/2006/custom-properties" xmlns:vt="http://schemas.openxmlformats.org/officeDocument/2006/docPropsVTypes"/>
</file>