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SITPS-PMI-2026-10</w:t>
      </w:r>
    </w:p>
    <w:p>
      <w:pPr>
        <w:spacing w:before="0" w:after="240"/>
        <w:pBdr>
          <w:bottom w:val="single" w:sz="16" w:space="1" w:color="E97132"/>
        </w:pBdr>
      </w:pPr>
    </w:p>
    <w:p>
      <w:pPr>
        <w:spacing w:before="0" w:after="200"/>
        <w:jc w:val="center"/>
      </w:pPr>
      <w:r>
        <w:rPr>
          <w:rFonts w:ascii="Calibri" w:hAnsi="Calibri"/>
          <w:b/>
          <w:color w:val="0E2841"/>
          <w:sz w:val="44"/>
        </w:rPr>
        <w:t>Área 10 PMI: Gestión de los Stakeholders</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10 — Gestión de los Stakeholders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SITPS-PMI-2026-10 — v1.0</w:t>
      </w:r>
    </w:p>
    <w:p>
      <w:r>
        <w:br w:type="page"/>
      </w:r>
    </w:p>
    <w:p>
      <w:pPr>
        <w:pStyle w:val="Heading1"/>
      </w:pPr>
      <w:bookmarkStart w:id="20" w:name="área-10-pmi-gestión-de-los-stakeholders"/>
      <w:r>
        <w:t xml:space="preserve">Área 10 PMI: Gestión de los Stakeholders</w:t>
      </w:r>
      <w:bookmarkEnd w:id="20"/>
    </w:p>
    <w:p>
      <w:pPr>
        <w:pStyle w:val="Heading2"/>
      </w:pPr>
      <w:bookmarkStart w:id="21" w:name="descripción-del-área"/>
      <w:r>
        <w:t xml:space="preserve">Descripción del área</w:t>
      </w:r>
      <w:bookmarkEnd w:id="21"/>
    </w:p>
    <w:p>
      <w:pPr>
        <w:pStyle w:val="FirstParagraph"/>
      </w:pPr>
      <w:r>
        <w:t xml:space="preserve">La Gestión de los Stakeholders es el área del PMBOK responsable de identificar a todas las personas, grupos y organizaciones que pueden afectar o ser afectados por el proyecto, y de desarrollar estrategias apropiadas para involucrar a cada uno de forma efectiva. Una mala gestión de stakeholders es una de las causas más frecuentes de fracaso en proyectos de software, especialmente cuando el cliente es institucional y los niveles de poder e interés son heterogéneos.</w:t>
      </w:r>
    </w:p>
    <w:p>
      <w:pPr>
        <w:pStyle w:val="BodyText"/>
      </w:pPr>
      <w:r>
        <w:t xml:space="preserve">En este proyecto se identificaron 10 stakeholders clasificados en la Matriz Poder-Interés</w:t>
      </w:r>
      <w:r>
        <w:t xml:space="preserve"> </w:t>
      </w:r>
      <m:oMath>
        <m:r>
          <m:t>2</m:t>
        </m:r>
        <m:r>
          <m:t>×</m:t>
        </m:r>
        <m:r>
          <m:t>2</m:t>
        </m:r>
      </m:oMath>
      <w:r>
        <w:t xml:space="preserve">.</w:t>
      </w:r>
    </w:p>
    <w:p>
      <w:pPr>
        <w:pStyle w:val="Heading2"/>
      </w:pPr>
      <w:bookmarkStart w:id="22" w:name="Xb6bf3dab6d2d9c13d4d7bcd857f23fadb6142f7"/>
      <w:r>
        <w:t xml:space="preserve">Marco conceptual — Matriz</w:t>
      </w:r>
      <w:r>
        <w:t xml:space="preserve"> </w:t>
      </w:r>
      <m:oMath>
        <m:r>
          <m:t>2</m:t>
        </m:r>
        <m:r>
          <m:t>×</m:t>
        </m:r>
        <m:r>
          <m:t>2</m:t>
        </m:r>
      </m:oMath>
      <w:r>
        <w:t xml:space="preserve"> </w:t>
      </w:r>
      <w:r>
        <w:t xml:space="preserve">Poder-Interés</w:t>
      </w:r>
      <w:bookmarkEnd w:id="22"/>
    </w:p>
    <w:p>
      <w:pPr>
        <w:pStyle w:val="FirstParagraph"/>
      </w:pPr>
      <w:r>
        <w:t xml:space="preserve">La Matriz Poder-Interés clasifica a los stakeholders según dos dimensiones:</w:t>
      </w:r>
    </w:p>
    <w:p>
      <w:pPr>
        <w:numPr>
          <w:ilvl w:val="0"/>
          <w:numId w:val="1001"/>
        </w:numPr>
        <w:pStyle w:val="Compact"/>
      </w:pPr>
      <w:r>
        <w:rPr>
          <w:b/>
        </w:rPr>
        <w:t xml:space="preserve">Poder</w:t>
      </w:r>
      <w:r>
        <w:t xml:space="preserve">: capacidad del stakeholder de influir en las decisiones del proyecto, autorizar cambios, bloquear avances o afectar el resultado final.</w:t>
      </w:r>
    </w:p>
    <w:p>
      <w:pPr>
        <w:numPr>
          <w:ilvl w:val="0"/>
          <w:numId w:val="1001"/>
        </w:numPr>
        <w:pStyle w:val="Compact"/>
      </w:pPr>
      <w:r>
        <w:rPr>
          <w:b/>
        </w:rPr>
        <w:t xml:space="preserve">Interés</w:t>
      </w:r>
      <w:r>
        <w:t xml:space="preserve">: nivel de involucramiento o afectación que el stakeholder tiene con el resultado del proyecto.</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Cuadrante</w:t>
            </w:r>
          </w:p>
        </w:tc>
        <w:tc>
          <w:tcPr>
            <w:tcBorders>
              <w:bottom w:val="single"/>
            </w:tcBorders>
            <w:vAlign w:val="bottom"/>
            <w:shd w:val="clear" w:color="auto" w:fill="0E2841"/>
          </w:tcPr>
          <w:p>
            <w:pPr>
              <w:pStyle w:val="Compact"/>
              <w:jc w:val="left"/>
            </w:pPr>
            <w:r>
              <w:rPr>
                <w:rFonts w:ascii="Calibri" w:hAnsi="Calibri"/>
                <w:b/>
                <w:color w:val="FFFFFF"/>
                <w:sz w:val="18"/>
              </w:rPr>
              <w:t xml:space="preserve">Poder</w:t>
            </w:r>
          </w:p>
        </w:tc>
        <w:tc>
          <w:tcPr>
            <w:tcBorders>
              <w:bottom w:val="single"/>
            </w:tcBorders>
            <w:vAlign w:val="bottom"/>
            <w:shd w:val="clear" w:color="auto" w:fill="0E2841"/>
          </w:tcPr>
          <w:p>
            <w:pPr>
              <w:pStyle w:val="Compact"/>
              <w:jc w:val="left"/>
            </w:pPr>
            <w:r>
              <w:rPr>
                <w:rFonts w:ascii="Calibri" w:hAnsi="Calibri"/>
                <w:b/>
                <w:color w:val="FFFFFF"/>
                <w:sz w:val="18"/>
              </w:rPr>
              <w:t xml:space="preserve">Interés</w:t>
            </w:r>
          </w:p>
        </w:tc>
        <w:tc>
          <w:tcPr>
            <w:tcBorders>
              <w:bottom w:val="single"/>
            </w:tcBorders>
            <w:vAlign w:val="bottom"/>
            <w:shd w:val="clear" w:color="auto" w:fill="0E2841"/>
          </w:tcPr>
          <w:p>
            <w:pPr>
              <w:pStyle w:val="Compact"/>
              <w:jc w:val="left"/>
            </w:pPr>
            <w:r>
              <w:rPr>
                <w:rFonts w:ascii="Calibri" w:hAnsi="Calibri"/>
                <w:b/>
                <w:color w:val="FFFFFF"/>
                <w:sz w:val="18"/>
              </w:rPr>
              <w:t xml:space="preserve">Estrategia</w:t>
            </w:r>
          </w:p>
        </w:tc>
      </w:tr>
      <w:tr>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Gestionar de cerca: máxima comunicación, involucramiento activo, validaciones formales</w:t>
            </w:r>
          </w:p>
        </w:tc>
      </w:tr>
      <w:tr>
        <w:tc>
          <w:tcPr>
            <w:shd w:val="clear" w:color="auto" w:fill="E8E8E8"/>
          </w:tcPr>
          <w:p>
            <w:pPr>
              <w:pStyle w:val="Compact"/>
              <w:jc w:val="left"/>
            </w:pPr>
            <w:r>
              <w:rPr>
                <w:rFonts w:ascii="Calibri" w:hAnsi="Calibri"/>
                <w:sz w:val="18"/>
              </w:rPr>
              <w:t xml:space="preserve">II</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Mantener satisfecho: información periódica suficiente para que no se convierta en bloqueador</w:t>
            </w:r>
          </w:p>
        </w:tc>
      </w:tr>
      <w:tr>
        <w:tc>
          <w:tcPr>
            <w:shd w:val="clear" w:color="auto" w:fill="FFFFFF"/>
          </w:tcPr>
          <w:p>
            <w:pPr>
              <w:pStyle w:val="Compact"/>
              <w:jc w:val="left"/>
            </w:pPr>
            <w:r>
              <w:rPr>
                <w:rFonts w:ascii="Calibri" w:hAnsi="Calibri"/>
                <w:sz w:val="18"/>
              </w:rPr>
              <w:t xml:space="preserve">III</w:t>
            </w:r>
          </w:p>
        </w:tc>
        <w:tc>
          <w:tcPr>
            <w:shd w:val="clear" w:color="auto" w:fill="FFFFFF"/>
          </w:tcPr>
          <w:p>
            <w:pPr>
              <w:pStyle w:val="Compact"/>
              <w:jc w:val="left"/>
            </w:pPr>
            <w:r>
              <w:rPr>
                <w:rFonts w:ascii="Calibri" w:hAnsi="Calibri"/>
                <w:sz w:val="18"/>
              </w:rPr>
              <w:t xml:space="preserve">Bajo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Mantener informado: comunicación regular sobre avances que les afectan directamente</w:t>
            </w:r>
          </w:p>
        </w:tc>
      </w:tr>
      <w:tr>
        <w:tc>
          <w:tcPr>
            <w:shd w:val="clear" w:color="auto" w:fill="E8E8E8"/>
          </w:tcPr>
          <w:p>
            <w:pPr>
              <w:pStyle w:val="Compact"/>
              <w:jc w:val="left"/>
            </w:pPr>
            <w:r>
              <w:rPr>
                <w:rFonts w:ascii="Calibri" w:hAnsi="Calibri"/>
                <w:sz w:val="18"/>
              </w:rPr>
              <w:t xml:space="preserve">IV</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Monitorear: contacto mínimo, solo cuando es necesario o ante incidencia</w:t>
            </w:r>
          </w:p>
        </w:tc>
      </w:tr>
    </w:tbl>
    <w:p>
      <w:pPr>
        <w:pStyle w:val="Heading2"/>
      </w:pPr>
      <w:bookmarkStart w:id="23" w:name="tabla-de-10-stakeholders"/>
      <w:r>
        <w:t xml:space="preserve">Tabla de 10 stakeholders</w:t>
      </w:r>
      <w:bookmarkEnd w:id="2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Nombre / Entidad</w:t>
            </w:r>
          </w:p>
        </w:tc>
        <w:tc>
          <w:tcPr>
            <w:tcBorders>
              <w:bottom w:val="single"/>
            </w:tcBorders>
            <w:vAlign w:val="bottom"/>
            <w:shd w:val="clear" w:color="auto" w:fill="0E2841"/>
          </w:tcPr>
          <w:p>
            <w:pPr>
              <w:pStyle w:val="Compact"/>
              <w:jc w:val="left"/>
            </w:pPr>
            <w:r>
              <w:rPr>
                <w:rFonts w:ascii="Calibri" w:hAnsi="Calibri"/>
                <w:b/>
                <w:color w:val="FFFFFF"/>
                <w:sz w:val="18"/>
              </w:rPr>
              <w:t xml:space="preserve">Rol en el proyecto</w:t>
            </w:r>
          </w:p>
        </w:tc>
        <w:tc>
          <w:tcPr>
            <w:tcBorders>
              <w:bottom w:val="single"/>
            </w:tcBorders>
            <w:vAlign w:val="bottom"/>
            <w:shd w:val="clear" w:color="auto" w:fill="0E2841"/>
          </w:tcPr>
          <w:p>
            <w:pPr>
              <w:pStyle w:val="Compact"/>
              <w:jc w:val="left"/>
            </w:pPr>
            <w:r>
              <w:rPr>
                <w:rFonts w:ascii="Calibri" w:hAnsi="Calibri"/>
                <w:b/>
                <w:color w:val="FFFFFF"/>
                <w:sz w:val="18"/>
              </w:rPr>
              <w:t xml:space="preserve">Poder</w:t>
            </w:r>
          </w:p>
        </w:tc>
        <w:tc>
          <w:tcPr>
            <w:tcBorders>
              <w:bottom w:val="single"/>
            </w:tcBorders>
            <w:vAlign w:val="bottom"/>
            <w:shd w:val="clear" w:color="auto" w:fill="0E2841"/>
          </w:tcPr>
          <w:p>
            <w:pPr>
              <w:pStyle w:val="Compact"/>
              <w:jc w:val="left"/>
            </w:pPr>
            <w:r>
              <w:rPr>
                <w:rFonts w:ascii="Calibri" w:hAnsi="Calibri"/>
                <w:b/>
                <w:color w:val="FFFFFF"/>
                <w:sz w:val="18"/>
              </w:rPr>
              <w:t xml:space="preserve">Interés</w:t>
            </w:r>
          </w:p>
        </w:tc>
        <w:tc>
          <w:tcPr>
            <w:tcBorders>
              <w:bottom w:val="single"/>
            </w:tcBorders>
            <w:vAlign w:val="bottom"/>
            <w:shd w:val="clear" w:color="auto" w:fill="0E2841"/>
          </w:tcPr>
          <w:p>
            <w:pPr>
              <w:pStyle w:val="Compact"/>
              <w:jc w:val="left"/>
            </w:pPr>
            <w:r>
              <w:rPr>
                <w:rFonts w:ascii="Calibri" w:hAnsi="Calibri"/>
                <w:b/>
                <w:color w:val="FFFFFF"/>
                <w:sz w:val="18"/>
              </w:rPr>
              <w:t xml:space="preserve">Cuadrante</w:t>
            </w:r>
          </w:p>
        </w:tc>
        <w:tc>
          <w:tcPr>
            <w:tcBorders>
              <w:bottom w:val="single"/>
            </w:tcBorders>
            <w:vAlign w:val="bottom"/>
            <w:shd w:val="clear" w:color="auto" w:fill="0E2841"/>
          </w:tcPr>
          <w:p>
            <w:pPr>
              <w:pStyle w:val="Compact"/>
              <w:jc w:val="left"/>
            </w:pPr>
            <w:r>
              <w:rPr>
                <w:rFonts w:ascii="Calibri" w:hAnsi="Calibri"/>
                <w:b/>
                <w:color w:val="FFFFFF"/>
                <w:sz w:val="18"/>
              </w:rPr>
              <w:t xml:space="preserve">Estrategia</w:t>
            </w:r>
          </w:p>
        </w:tc>
        <w:tc>
          <w:tcPr>
            <w:tcBorders>
              <w:bottom w:val="single"/>
            </w:tcBorders>
            <w:vAlign w:val="bottom"/>
            <w:shd w:val="clear" w:color="auto" w:fill="0E2841"/>
          </w:tcPr>
          <w:p>
            <w:pPr>
              <w:pStyle w:val="Compact"/>
              <w:jc w:val="left"/>
            </w:pPr>
            <w:r>
              <w:rPr>
                <w:rFonts w:ascii="Calibri" w:hAnsi="Calibri"/>
                <w:b/>
                <w:color w:val="FFFFFF"/>
                <w:sz w:val="18"/>
              </w:rPr>
              <w:t xml:space="preserve">Canal</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Erick Oswaldo Marroquín Zamora</w:t>
            </w:r>
          </w:p>
        </w:tc>
        <w:tc>
          <w:tcPr>
            <w:shd w:val="clear" w:color="auto" w:fill="FFFFFF"/>
          </w:tcPr>
          <w:p>
            <w:pPr>
              <w:pStyle w:val="Compact"/>
              <w:jc w:val="left"/>
            </w:pPr>
            <w:r>
              <w:rPr>
                <w:rFonts w:ascii="Calibri" w:hAnsi="Calibri"/>
                <w:sz w:val="18"/>
              </w:rPr>
              <w:t xml:space="preserve">Sponsor / Catedrático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Gestionar de cerca</w:t>
            </w:r>
          </w:p>
        </w:tc>
        <w:tc>
          <w:tcPr>
            <w:shd w:val="clear" w:color="auto" w:fill="FFFFFF"/>
          </w:tcPr>
          <w:p>
            <w:pPr>
              <w:pStyle w:val="Compact"/>
              <w:jc w:val="left"/>
            </w:pPr>
            <w:r>
              <w:rPr>
                <w:rFonts w:ascii="Calibri" w:hAnsi="Calibri"/>
                <w:sz w:val="18"/>
              </w:rPr>
              <w:t xml:space="preserve">C1 (quincenal + reunión)</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left"/>
            </w:pPr>
            <w:r>
              <w:rPr>
                <w:rFonts w:ascii="Calibri" w:hAnsi="Calibri"/>
                <w:sz w:val="18"/>
              </w:rPr>
              <w:t xml:space="preserve">UVG — institución</w:t>
            </w:r>
          </w:p>
        </w:tc>
        <w:tc>
          <w:tcPr>
            <w:shd w:val="clear" w:color="auto" w:fill="E8E8E8"/>
          </w:tcPr>
          <w:p>
            <w:pPr>
              <w:pStyle w:val="Compact"/>
              <w:jc w:val="left"/>
            </w:pPr>
            <w:r>
              <w:rPr>
                <w:rFonts w:ascii="Calibri" w:hAnsi="Calibri"/>
                <w:sz w:val="18"/>
              </w:rPr>
              <w:t xml:space="preserve">Cliente institucional</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Gestionar de cerca</w:t>
            </w:r>
          </w:p>
        </w:tc>
        <w:tc>
          <w:tcPr>
            <w:shd w:val="clear" w:color="auto" w:fill="E8E8E8"/>
          </w:tcPr>
          <w:p>
            <w:pPr>
              <w:pStyle w:val="Compact"/>
              <w:jc w:val="left"/>
            </w:pPr>
            <w:r>
              <w:rPr>
                <w:rFonts w:ascii="Calibri" w:hAnsi="Calibri"/>
                <w:sz w:val="18"/>
              </w:rPr>
              <w:t xml:space="preserve">C8 (al cierre)</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left"/>
            </w:pPr>
            <w:r>
              <w:rPr>
                <w:rFonts w:ascii="Calibri" w:hAnsi="Calibri"/>
                <w:sz w:val="18"/>
              </w:rPr>
              <w:t xml:space="preserve">Dirección de Admisiones UVG</w:t>
            </w:r>
          </w:p>
        </w:tc>
        <w:tc>
          <w:tcPr>
            <w:shd w:val="clear" w:color="auto" w:fill="FFFFFF"/>
          </w:tcPr>
          <w:p>
            <w:pPr>
              <w:pStyle w:val="Compact"/>
              <w:jc w:val="left"/>
            </w:pPr>
            <w:r>
              <w:rPr>
                <w:rFonts w:ascii="Calibri" w:hAnsi="Calibri"/>
                <w:sz w:val="18"/>
              </w:rPr>
              <w:t xml:space="preserve">Validador del catálogo de carreras</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Gestionar de cerca</w:t>
            </w:r>
          </w:p>
        </w:tc>
        <w:tc>
          <w:tcPr>
            <w:shd w:val="clear" w:color="auto" w:fill="FFFFFF"/>
          </w:tcPr>
          <w:p>
            <w:pPr>
              <w:pStyle w:val="Compact"/>
              <w:jc w:val="left"/>
            </w:pPr>
            <w:r>
              <w:rPr>
                <w:rFonts w:ascii="Calibri" w:hAnsi="Calibri"/>
                <w:sz w:val="18"/>
              </w:rPr>
              <w:t xml:space="preserve">C2 (por hito funcional)</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left"/>
            </w:pPr>
            <w:r>
              <w:rPr>
                <w:rFonts w:ascii="Calibri" w:hAnsi="Calibri"/>
                <w:sz w:val="18"/>
              </w:rPr>
              <w:t xml:space="preserve">Área de TI / Infraestructura UVG</w:t>
            </w:r>
          </w:p>
        </w:tc>
        <w:tc>
          <w:tcPr>
            <w:shd w:val="clear" w:color="auto" w:fill="E8E8E8"/>
          </w:tcPr>
          <w:p>
            <w:pPr>
              <w:pStyle w:val="Compact"/>
              <w:jc w:val="left"/>
            </w:pPr>
            <w:r>
              <w:rPr>
                <w:rFonts w:ascii="Calibri" w:hAnsi="Calibri"/>
                <w:sz w:val="18"/>
              </w:rPr>
              <w:t xml:space="preserve">Proveedor de infraestructura institucional</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II</w:t>
            </w:r>
          </w:p>
        </w:tc>
        <w:tc>
          <w:tcPr>
            <w:shd w:val="clear" w:color="auto" w:fill="E8E8E8"/>
          </w:tcPr>
          <w:p>
            <w:pPr>
              <w:pStyle w:val="Compact"/>
              <w:jc w:val="left"/>
            </w:pPr>
            <w:r>
              <w:rPr>
                <w:rFonts w:ascii="Calibri" w:hAnsi="Calibri"/>
                <w:sz w:val="18"/>
              </w:rPr>
              <w:t xml:space="preserve">Mantener satisfecho</w:t>
            </w:r>
          </w:p>
        </w:tc>
        <w:tc>
          <w:tcPr>
            <w:shd w:val="clear" w:color="auto" w:fill="E8E8E8"/>
          </w:tcPr>
          <w:p>
            <w:pPr>
              <w:pStyle w:val="Compact"/>
              <w:jc w:val="left"/>
            </w:pPr>
            <w:r>
              <w:rPr>
                <w:rFonts w:ascii="Calibri" w:hAnsi="Calibri"/>
                <w:sz w:val="18"/>
              </w:rPr>
              <w:t xml:space="preserve">C4 (por hito técnico)</w:t>
            </w:r>
          </w:p>
        </w:tc>
      </w:tr>
      <w:tr>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Gestionar de cerca</w:t>
            </w:r>
          </w:p>
        </w:tc>
        <w:tc>
          <w:tcPr>
            <w:shd w:val="clear" w:color="auto" w:fill="FFFFFF"/>
          </w:tcPr>
          <w:p>
            <w:pPr>
              <w:pStyle w:val="Compact"/>
              <w:jc w:val="left"/>
            </w:pPr>
            <w:r>
              <w:rPr>
                <w:rFonts w:ascii="Calibri" w:hAnsi="Calibri"/>
                <w:sz w:val="18"/>
              </w:rPr>
              <w:t xml:space="preserve">Rol interno (no requiere canal externo)</w:t>
            </w:r>
          </w:p>
        </w:tc>
      </w:tr>
      <w:tr>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I</w:t>
            </w:r>
          </w:p>
        </w:tc>
        <w:tc>
          <w:tcPr>
            <w:shd w:val="clear" w:color="auto" w:fill="E8E8E8"/>
          </w:tcPr>
          <w:p>
            <w:pPr>
              <w:pStyle w:val="Compact"/>
              <w:jc w:val="left"/>
            </w:pPr>
            <w:r>
              <w:rPr>
                <w:rFonts w:ascii="Calibri" w:hAnsi="Calibri"/>
                <w:sz w:val="18"/>
              </w:rPr>
              <w:t xml:space="preserve">Gestionar de cerca</w:t>
            </w:r>
          </w:p>
        </w:tc>
        <w:tc>
          <w:tcPr>
            <w:shd w:val="clear" w:color="auto" w:fill="E8E8E8"/>
          </w:tcPr>
          <w:p>
            <w:pPr>
              <w:pStyle w:val="Compact"/>
              <w:jc w:val="left"/>
            </w:pPr>
            <w:r>
              <w:rPr>
                <w:rFonts w:ascii="Calibri" w:hAnsi="Calibri"/>
                <w:sz w:val="18"/>
              </w:rPr>
              <w:t xml:space="preserve">Rol interno (no requiere canal externo)</w:t>
            </w:r>
          </w:p>
        </w:tc>
      </w:tr>
      <w:tr>
        <w:tc>
          <w:tcPr>
            <w:shd w:val="clear" w:color="auto" w:fill="FFFFFF"/>
          </w:tcPr>
          <w:p>
            <w:pPr>
              <w:pStyle w:val="Compact"/>
              <w:jc w:val="left"/>
            </w:pPr>
            <w:r>
              <w:rPr>
                <w:rFonts w:ascii="Calibri" w:hAnsi="Calibri"/>
                <w:sz w:val="18"/>
              </w:rPr>
              <w:t xml:space="preserve">S7</w:t>
            </w:r>
          </w:p>
        </w:tc>
        <w:tc>
          <w:tcPr>
            <w:shd w:val="clear" w:color="auto" w:fill="FFFFFF"/>
          </w:tcPr>
          <w:p>
            <w:pPr>
              <w:pStyle w:val="Compact"/>
              <w:jc w:val="left"/>
            </w:pPr>
            <w:r>
              <w:rPr>
                <w:rFonts w:ascii="Calibri" w:hAnsi="Calibri"/>
                <w:sz w:val="18"/>
              </w:rPr>
              <w:t xml:space="preserve">Gustavo Cruz, Javier Chen, Pedro Guzmán</w:t>
            </w:r>
          </w:p>
        </w:tc>
        <w:tc>
          <w:tcPr>
            <w:shd w:val="clear" w:color="auto" w:fill="FFFFFF"/>
          </w:tcPr>
          <w:p>
            <w:pPr>
              <w:pStyle w:val="Compact"/>
              <w:jc w:val="left"/>
            </w:pPr>
            <w:r>
              <w:rPr>
                <w:rFonts w:ascii="Calibri" w:hAnsi="Calibri"/>
                <w:sz w:val="18"/>
              </w:rPr>
              <w:t xml:space="preserve">Developers del equipo</w:t>
            </w:r>
          </w:p>
        </w:tc>
        <w:tc>
          <w:tcPr>
            <w:shd w:val="clear" w:color="auto" w:fill="FFFFFF"/>
          </w:tcPr>
          <w:p>
            <w:pPr>
              <w:pStyle w:val="Compact"/>
              <w:jc w:val="left"/>
            </w:pPr>
            <w:r>
              <w:rPr>
                <w:rFonts w:ascii="Calibri" w:hAnsi="Calibri"/>
                <w:sz w:val="18"/>
              </w:rPr>
              <w:t xml:space="preserve">Bajo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III</w:t>
            </w:r>
          </w:p>
        </w:tc>
        <w:tc>
          <w:tcPr>
            <w:shd w:val="clear" w:color="auto" w:fill="FFFFFF"/>
          </w:tcPr>
          <w:p>
            <w:pPr>
              <w:pStyle w:val="Compact"/>
              <w:jc w:val="left"/>
            </w:pPr>
            <w:r>
              <w:rPr>
                <w:rFonts w:ascii="Calibri" w:hAnsi="Calibri"/>
                <w:sz w:val="18"/>
              </w:rPr>
              <w:t xml:space="preserve">Mantener informado</w:t>
            </w:r>
          </w:p>
        </w:tc>
        <w:tc>
          <w:tcPr>
            <w:shd w:val="clear" w:color="auto" w:fill="FFFFFF"/>
          </w:tcPr>
          <w:p>
            <w:pPr>
              <w:pStyle w:val="Compact"/>
              <w:jc w:val="left"/>
            </w:pPr>
            <w:r>
              <w:rPr>
                <w:rFonts w:ascii="Calibri" w:hAnsi="Calibri"/>
                <w:sz w:val="18"/>
              </w:rPr>
              <w:t xml:space="preserve">C3 (Daily + ceremonies)</w:t>
            </w:r>
          </w:p>
        </w:tc>
      </w:tr>
      <w:tr>
        <w:tc>
          <w:tcPr>
            <w:shd w:val="clear" w:color="auto" w:fill="E8E8E8"/>
          </w:tcPr>
          <w:p>
            <w:pPr>
              <w:pStyle w:val="Compact"/>
              <w:jc w:val="left"/>
            </w:pPr>
            <w:r>
              <w:rPr>
                <w:rFonts w:ascii="Calibri" w:hAnsi="Calibri"/>
                <w:sz w:val="18"/>
              </w:rPr>
              <w:t xml:space="preserve">S8</w:t>
            </w:r>
          </w:p>
        </w:tc>
        <w:tc>
          <w:tcPr>
            <w:shd w:val="clear" w:color="auto" w:fill="E8E8E8"/>
          </w:tcPr>
          <w:p>
            <w:pPr>
              <w:pStyle w:val="Compact"/>
              <w:jc w:val="left"/>
            </w:pPr>
            <w:r>
              <w:rPr>
                <w:rFonts w:ascii="Calibri" w:hAnsi="Calibri"/>
                <w:sz w:val="18"/>
              </w:rPr>
              <w:t xml:space="preserve">Estudiantes de diversificado (usuarios finales)</w:t>
            </w:r>
          </w:p>
        </w:tc>
        <w:tc>
          <w:tcPr>
            <w:shd w:val="clear" w:color="auto" w:fill="E8E8E8"/>
          </w:tcPr>
          <w:p>
            <w:pPr>
              <w:pStyle w:val="Compact"/>
              <w:jc w:val="left"/>
            </w:pPr>
            <w:r>
              <w:rPr>
                <w:rFonts w:ascii="Calibri" w:hAnsi="Calibri"/>
                <w:sz w:val="18"/>
              </w:rPr>
              <w:t xml:space="preserve">Usuarios del sistema</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III</w:t>
            </w:r>
          </w:p>
        </w:tc>
        <w:tc>
          <w:tcPr>
            <w:shd w:val="clear" w:color="auto" w:fill="E8E8E8"/>
          </w:tcPr>
          <w:p>
            <w:pPr>
              <w:pStyle w:val="Compact"/>
              <w:jc w:val="left"/>
            </w:pPr>
            <w:r>
              <w:rPr>
                <w:rFonts w:ascii="Calibri" w:hAnsi="Calibri"/>
                <w:sz w:val="18"/>
              </w:rPr>
              <w:t xml:space="preserve">Mantener informado</w:t>
            </w:r>
          </w:p>
        </w:tc>
        <w:tc>
          <w:tcPr>
            <w:shd w:val="clear" w:color="auto" w:fill="E8E8E8"/>
          </w:tcPr>
          <w:p>
            <w:pPr>
              <w:pStyle w:val="Compact"/>
              <w:jc w:val="left"/>
            </w:pPr>
            <w:r>
              <w:rPr>
                <w:rFonts w:ascii="Calibri" w:hAnsi="Calibri"/>
                <w:sz w:val="18"/>
              </w:rPr>
              <w:t xml:space="preserve">C5 (sprints 8 y 9)</w:t>
            </w:r>
          </w:p>
        </w:tc>
      </w:tr>
      <w:tr>
        <w:tc>
          <w:tcPr>
            <w:shd w:val="clear" w:color="auto" w:fill="FFFFFF"/>
          </w:tcPr>
          <w:p>
            <w:pPr>
              <w:pStyle w:val="Compact"/>
              <w:jc w:val="left"/>
            </w:pPr>
            <w:r>
              <w:rPr>
                <w:rFonts w:ascii="Calibri" w:hAnsi="Calibri"/>
                <w:sz w:val="18"/>
              </w:rPr>
              <w:t xml:space="preserve">S9</w:t>
            </w:r>
          </w:p>
        </w:tc>
        <w:tc>
          <w:tcPr>
            <w:shd w:val="clear" w:color="auto" w:fill="FFFFFF"/>
          </w:tcPr>
          <w:p>
            <w:pPr>
              <w:pStyle w:val="Compact"/>
              <w:jc w:val="left"/>
            </w:pPr>
            <w:r>
              <w:rPr>
                <w:rFonts w:ascii="Calibri" w:hAnsi="Calibri"/>
                <w:sz w:val="18"/>
              </w:rPr>
              <w:t xml:space="preserve">Catedráticos de carreras UVG</w:t>
            </w:r>
          </w:p>
        </w:tc>
        <w:tc>
          <w:tcPr>
            <w:shd w:val="clear" w:color="auto" w:fill="FFFFFF"/>
          </w:tcPr>
          <w:p>
            <w:pPr>
              <w:pStyle w:val="Compact"/>
              <w:jc w:val="left"/>
            </w:pPr>
            <w:r>
              <w:rPr>
                <w:rFonts w:ascii="Calibri" w:hAnsi="Calibri"/>
                <w:sz w:val="18"/>
              </w:rPr>
              <w:t xml:space="preserve">Validadores de descripción de carreras</w:t>
            </w:r>
          </w:p>
        </w:tc>
        <w:tc>
          <w:tcPr>
            <w:shd w:val="clear" w:color="auto" w:fill="FFFFFF"/>
          </w:tcPr>
          <w:p>
            <w:pPr>
              <w:pStyle w:val="Compact"/>
              <w:jc w:val="left"/>
            </w:pPr>
            <w:r>
              <w:rPr>
                <w:rFonts w:ascii="Calibri" w:hAnsi="Calibri"/>
                <w:sz w:val="18"/>
              </w:rPr>
              <w:t xml:space="preserve">Bajo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III</w:t>
            </w:r>
          </w:p>
        </w:tc>
        <w:tc>
          <w:tcPr>
            <w:shd w:val="clear" w:color="auto" w:fill="FFFFFF"/>
          </w:tcPr>
          <w:p>
            <w:pPr>
              <w:pStyle w:val="Compact"/>
              <w:jc w:val="left"/>
            </w:pPr>
            <w:r>
              <w:rPr>
                <w:rFonts w:ascii="Calibri" w:hAnsi="Calibri"/>
                <w:sz w:val="18"/>
              </w:rPr>
              <w:t xml:space="preserve">Mantener informado</w:t>
            </w:r>
          </w:p>
        </w:tc>
        <w:tc>
          <w:tcPr>
            <w:shd w:val="clear" w:color="auto" w:fill="FFFFFF"/>
          </w:tcPr>
          <w:p>
            <w:pPr>
              <w:pStyle w:val="Compact"/>
              <w:jc w:val="left"/>
            </w:pPr>
            <w:r>
              <w:rPr>
                <w:rFonts w:ascii="Calibri" w:hAnsi="Calibri"/>
                <w:sz w:val="18"/>
              </w:rPr>
              <w:t xml:space="preserve">C6 (una vez, sprints 2–3)</w:t>
            </w:r>
          </w:p>
        </w:tc>
      </w:tr>
      <w:tr>
        <w:tc>
          <w:tcPr>
            <w:shd w:val="clear" w:color="auto" w:fill="E8E8E8"/>
          </w:tcPr>
          <w:p>
            <w:pPr>
              <w:pStyle w:val="Compact"/>
              <w:jc w:val="left"/>
            </w:pPr>
            <w:r>
              <w:rPr>
                <w:rFonts w:ascii="Calibri" w:hAnsi="Calibri"/>
                <w:sz w:val="18"/>
              </w:rPr>
              <w:t xml:space="preserve">S10</w:t>
            </w:r>
          </w:p>
        </w:tc>
        <w:tc>
          <w:tcPr>
            <w:shd w:val="clear" w:color="auto" w:fill="E8E8E8"/>
          </w:tcPr>
          <w:p>
            <w:pPr>
              <w:pStyle w:val="Compact"/>
              <w:jc w:val="left"/>
            </w:pPr>
            <w:r>
              <w:rPr>
                <w:rFonts w:ascii="Calibri" w:hAnsi="Calibri"/>
                <w:sz w:val="18"/>
              </w:rPr>
              <w:t xml:space="preserve">Proveedor infraestructura cloud</w:t>
            </w:r>
          </w:p>
        </w:tc>
        <w:tc>
          <w:tcPr>
            <w:shd w:val="clear" w:color="auto" w:fill="E8E8E8"/>
          </w:tcPr>
          <w:p>
            <w:pPr>
              <w:pStyle w:val="Compact"/>
              <w:jc w:val="left"/>
            </w:pPr>
            <w:r>
              <w:rPr>
                <w:rFonts w:ascii="Calibri" w:hAnsi="Calibri"/>
                <w:sz w:val="18"/>
              </w:rPr>
              <w:t xml:space="preserve">Proveedor externo de IaaS/PaaS</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IV</w:t>
            </w:r>
          </w:p>
        </w:tc>
        <w:tc>
          <w:tcPr>
            <w:shd w:val="clear" w:color="auto" w:fill="E8E8E8"/>
          </w:tcPr>
          <w:p>
            <w:pPr>
              <w:pStyle w:val="Compact"/>
              <w:jc w:val="left"/>
            </w:pPr>
            <w:r>
              <w:rPr>
                <w:rFonts w:ascii="Calibri" w:hAnsi="Calibri"/>
                <w:sz w:val="18"/>
              </w:rPr>
              <w:t xml:space="preserve">Monitorear</w:t>
            </w:r>
          </w:p>
        </w:tc>
        <w:tc>
          <w:tcPr>
            <w:shd w:val="clear" w:color="auto" w:fill="E8E8E8"/>
          </w:tcPr>
          <w:p>
            <w:pPr>
              <w:pStyle w:val="Compact"/>
              <w:jc w:val="left"/>
            </w:pPr>
            <w:r>
              <w:rPr>
                <w:rFonts w:ascii="Calibri" w:hAnsi="Calibri"/>
                <w:sz w:val="18"/>
              </w:rPr>
              <w:t xml:space="preserve">C7 (solo ante incidencia)</w:t>
            </w:r>
          </w:p>
        </w:tc>
      </w:tr>
    </w:tbl>
    <w:p>
      <w:pPr>
        <w:pStyle w:val="Heading2"/>
      </w:pPr>
      <w:bookmarkStart w:id="24" w:name="descripción-de-cada-cuadrante"/>
      <w:r>
        <w:t xml:space="preserve">Descripción de cada cuadrante</w:t>
      </w:r>
      <w:bookmarkEnd w:id="24"/>
    </w:p>
    <w:p>
      <w:pPr>
        <w:pStyle w:val="Heading3"/>
      </w:pPr>
      <w:bookmarkStart w:id="25" w:name="X90017de284c8d105735b644e92d67183323e5e5"/>
      <w:r>
        <w:t xml:space="preserve">Cuadrante I — Alto Poder / Alto Interés: Gestionar de cerca</w:t>
      </w:r>
      <w:bookmarkEnd w:id="25"/>
    </w:p>
    <w:p>
      <w:pPr>
        <w:pStyle w:val="FirstParagraph"/>
      </w:pPr>
      <w:r>
        <w:rPr>
          <w:b/>
        </w:rPr>
        <w:t xml:space="preserve">Stakeholders:</w:t>
      </w:r>
      <w:r>
        <w:t xml:space="preserve"> </w:t>
      </w:r>
      <w:r>
        <w:t xml:space="preserve">S1 (Marroquín/Sponsor), S2 (UVG institución), S3 (Dirección de Admisiones), S5 (PO Say), S6 (SM Cordero)</w:t>
      </w:r>
    </w:p>
    <w:p>
      <w:pPr>
        <w:pStyle w:val="BodyText"/>
      </w:pPr>
      <w:r>
        <w:t xml:space="preserve">Este cuadrante incluye a las personas con mayor influencia sobre el proyecto y con el mayor interés en su resultado. S1 autoriza el inicio, aprueba el cierre y puede paralizar el proyecto en cualquier momento si no está satisfecho. S3 es el único stakeholder externo capaz de bloquear el hito H4 (validación del catálogo), que es un hito crítico de la ruta. S2 representa la institución que adopta el sistema.</w:t>
      </w:r>
    </w:p>
    <w:p>
      <w:pPr>
        <w:pStyle w:val="BodyText"/>
      </w:pPr>
      <w:r>
        <w:t xml:space="preserve">La estrategia</w:t>
      </w:r>
      <w:r>
        <w:t xml:space="preserve"> </w:t>
      </w:r>
      <w:r>
        <w:t xml:space="preserve">“</w:t>
      </w:r>
      <w:r>
        <w:t xml:space="preserve">gestionar de cerca</w:t>
      </w:r>
      <w:r>
        <w:t xml:space="preserve">”</w:t>
      </w:r>
      <w:r>
        <w:t xml:space="preserve"> </w:t>
      </w:r>
      <w:r>
        <w:t xml:space="preserve">implica comunicación quincenal formal (C1), demostraciones en hitos clave (C2, C8), validaciones documentadas con acta y acceso directo al PO para cualquier decisión de alcance.</w:t>
      </w:r>
    </w:p>
    <w:p>
      <w:pPr>
        <w:pStyle w:val="Heading3"/>
      </w:pPr>
      <w:bookmarkStart w:id="26" w:name="X6fb0c7d475e953013dd3af54fb87cfd6ed11140"/>
      <w:r>
        <w:t xml:space="preserve">Cuadrante II — Alto Poder / Bajo Interés: Mantener satisfecho</w:t>
      </w:r>
      <w:bookmarkEnd w:id="26"/>
    </w:p>
    <w:p>
      <w:pPr>
        <w:pStyle w:val="FirstParagraph"/>
      </w:pPr>
      <w:r>
        <w:rPr>
          <w:b/>
        </w:rPr>
        <w:t xml:space="preserve">Stakeholder:</w:t>
      </w:r>
      <w:r>
        <w:t xml:space="preserve"> </w:t>
      </w:r>
      <w:r>
        <w:t xml:space="preserve">S4 (Área de TI / Infraestructura UVG)</w:t>
      </w:r>
    </w:p>
    <w:p>
      <w:pPr>
        <w:pStyle w:val="BodyText"/>
      </w:pPr>
      <w:r>
        <w:t xml:space="preserve">El Área de TI tiene poder alto porque controla la infraestructura de red de UVG y puede bloquear el despliegue si no coordina adecuadamente. Sin embargo, su interés en el contenido del sistema es bajo; su preocupación es técnica: que el sistema no genere problemas de seguridad o carga en la red institucional.</w:t>
      </w:r>
    </w:p>
    <w:p>
      <w:pPr>
        <w:pStyle w:val="BodyText"/>
      </w:pPr>
      <w:r>
        <w:t xml:space="preserve">La estrategia</w:t>
      </w:r>
      <w:r>
        <w:t xml:space="preserve"> </w:t>
      </w:r>
      <w:r>
        <w:t xml:space="preserve">“</w:t>
      </w:r>
      <w:r>
        <w:t xml:space="preserve">mantener satisfecho</w:t>
      </w:r>
      <w:r>
        <w:t xml:space="preserve">”</w:t>
      </w:r>
      <w:r>
        <w:t xml:space="preserve"> </w:t>
      </w:r>
      <w:r>
        <w:t xml:space="preserve">implica coordinaciones técnicas formales por hito (C4) lideradas por Developer Cruz, entregando la información técnica que TI necesita sin saturarlos con detalles del backlog o del negocio.</w:t>
      </w:r>
    </w:p>
    <w:p>
      <w:pPr>
        <w:pStyle w:val="Heading3"/>
      </w:pPr>
      <w:bookmarkStart w:id="27" w:name="X34675c1d49befe66c1bc457099e01569e588572"/>
      <w:r>
        <w:t xml:space="preserve">Cuadrante III — Bajo Poder / Alto Interés: Mantener informado</w:t>
      </w:r>
      <w:bookmarkEnd w:id="27"/>
    </w:p>
    <w:p>
      <w:pPr>
        <w:pStyle w:val="FirstParagraph"/>
      </w:pPr>
      <w:r>
        <w:rPr>
          <w:b/>
        </w:rPr>
        <w:t xml:space="preserve">Stakeholders:</w:t>
      </w:r>
      <w:r>
        <w:t xml:space="preserve"> </w:t>
      </w:r>
      <w:r>
        <w:t xml:space="preserve">S7 (Developers), S8 (Estudiantes diversificado), S9 (Catedráticos de carreras)</w:t>
      </w:r>
    </w:p>
    <w:p>
      <w:pPr>
        <w:pStyle w:val="BodyText"/>
      </w:pPr>
      <w:r>
        <w:t xml:space="preserve">S7 tiene alto interés porque son los ejecutores del proyecto; su satisfacción y motivación afectan la velocidad. S8 son los usuarios finales del sistema; su retroalimentación en H6 define si el sistema cumple su propósito. S9 tienen interés porque el catálogo del sistema describe sus propias carreras.</w:t>
      </w:r>
    </w:p>
    <w:p>
      <w:pPr>
        <w:pStyle w:val="BodyText"/>
      </w:pPr>
      <w:r>
        <w:t xml:space="preserve">La estrategia</w:t>
      </w:r>
      <w:r>
        <w:t xml:space="preserve"> </w:t>
      </w:r>
      <w:r>
        <w:t xml:space="preserve">“</w:t>
      </w:r>
      <w:r>
        <w:t xml:space="preserve">mantener informado</w:t>
      </w:r>
      <w:r>
        <w:t xml:space="preserve">”</w:t>
      </w:r>
      <w:r>
        <w:t xml:space="preserve"> </w:t>
      </w:r>
      <w:r>
        <w:t xml:space="preserve">implica ceremonies regulares para S7 (C3), sesiones de usabilidad para S8 (C5) y un formulario de validación para S9 (C6).</w:t>
      </w:r>
    </w:p>
    <w:p>
      <w:pPr>
        <w:pStyle w:val="Heading3"/>
      </w:pPr>
      <w:bookmarkStart w:id="28" w:name="X8a456c51b06525d9319fd8cbc066832f016d5c7"/>
      <w:r>
        <w:t xml:space="preserve">Cuadrante IV — Bajo Poder / Bajo Interés: Monitorear</w:t>
      </w:r>
      <w:bookmarkEnd w:id="28"/>
    </w:p>
    <w:p>
      <w:pPr>
        <w:pStyle w:val="FirstParagraph"/>
      </w:pPr>
      <w:r>
        <w:rPr>
          <w:b/>
        </w:rPr>
        <w:t xml:space="preserve">Stakeholder:</w:t>
      </w:r>
      <w:r>
        <w:t xml:space="preserve"> </w:t>
      </w:r>
      <w:r>
        <w:t xml:space="preserve">S10 (Proveedor cloud)</w:t>
      </w:r>
    </w:p>
    <w:p>
      <w:pPr>
        <w:pStyle w:val="BodyText"/>
      </w:pPr>
      <w:r>
        <w:t xml:space="preserve">El proveedor cloud tiene bajo interés en el negocio del proyecto (no le importa si el sistema recomienda carreras bien o mal) y bajo poder directo sobre las decisiones del proyecto. Su relevancia está acotada al cumplimiento del SLA.</w:t>
      </w:r>
    </w:p>
    <w:p>
      <w:pPr>
        <w:pStyle w:val="BodyText"/>
      </w:pPr>
      <w:r>
        <w:t xml:space="preserve">La estrategia</w:t>
      </w:r>
      <w:r>
        <w:t xml:space="preserve"> </w:t>
      </w:r>
      <w:r>
        <w:t xml:space="preserve">“</w:t>
      </w:r>
      <w:r>
        <w:t xml:space="preserve">monitorear</w:t>
      </w:r>
      <w:r>
        <w:t xml:space="preserve">”</w:t>
      </w:r>
      <w:r>
        <w:t xml:space="preserve"> </w:t>
      </w:r>
      <w:r>
        <w:t xml:space="preserve">implica contacto únicamente ante incidencia técnica (C7, Developer Chen) o ante la materialización del riesgo R6.</w:t>
      </w:r>
    </w:p>
    <w:p>
      <w:pPr>
        <w:pStyle w:val="Heading2"/>
      </w:pPr>
      <w:bookmarkStart w:id="29" w:name="mapa-textual-de-cuadrantes"/>
      <w:r>
        <w:t xml:space="preserve">Mapa textual de cuadrantes</w:t>
      </w:r>
      <w:bookmarkEnd w:id="29"/>
    </w:p>
    <w:p>
      <w:pPr>
        <w:pStyle w:val="SourceCode"/>
      </w:pPr>
      <w:r>
        <w:rPr>
          <w:rStyle w:val="VerbatimChar"/>
        </w:rPr>
        <w:t xml:space="preserve">                        MATRIZ PODER-INTERÉS</w:t>
      </w:r>
      <w:r>
        <w:br/>
      </w:r>
      <w:r>
        <w:rPr>
          <w:rStyle w:val="VerbatimChar"/>
        </w:rPr>
        <w:t xml:space="preserve">                    </w:t>
      </w:r>
      <w:r>
        <w:br/>
      </w:r>
      <w:r>
        <w:rPr>
          <w:rStyle w:val="VerbatimChar"/>
        </w:rPr>
        <w:t xml:space="preserve">     ALTO  |  CUADRANTE II              |  CUADRANTE I               </w:t>
      </w:r>
      <w:r>
        <w:br/>
      </w:r>
      <w:r>
        <w:rPr>
          <w:rStyle w:val="VerbatimChar"/>
        </w:rPr>
        <w:t xml:space="preserve">           |  Mantener satisfecho       |  Gestionar de cerca        </w:t>
      </w:r>
      <w:r>
        <w:br/>
      </w:r>
      <w:r>
        <w:rPr>
          <w:rStyle w:val="VerbatimChar"/>
        </w:rPr>
        <w:t xml:space="preserve">           |  S4 TI UVG                 |  S1 Marroquín (Sponsor)    </w:t>
      </w:r>
      <w:r>
        <w:br/>
      </w:r>
      <w:r>
        <w:rPr>
          <w:rStyle w:val="VerbatimChar"/>
        </w:rPr>
        <w:t xml:space="preserve">    PODER  |                            |  S2 UVG institución        </w:t>
      </w:r>
      <w:r>
        <w:br/>
      </w:r>
      <w:r>
        <w:rPr>
          <w:rStyle w:val="VerbatimChar"/>
        </w:rPr>
        <w:t xml:space="preserve">           |                            |  S3 Admisiones             </w:t>
      </w:r>
      <w:r>
        <w:br/>
      </w:r>
      <w:r>
        <w:rPr>
          <w:rStyle w:val="VerbatimChar"/>
        </w:rPr>
        <w:t xml:space="preserve">           |                            |  S5 PO Say                 </w:t>
      </w:r>
      <w:r>
        <w:br/>
      </w:r>
      <w:r>
        <w:rPr>
          <w:rStyle w:val="VerbatimChar"/>
        </w:rPr>
        <w:t xml:space="preserve">           |                            |  S6 SM Cordero             </w:t>
      </w:r>
      <w:r>
        <w:br/>
      </w:r>
      <w:r>
        <w:rPr>
          <w:rStyle w:val="VerbatimChar"/>
        </w:rPr>
        <w:t xml:space="preserve">           |----------------------------|----------------------------</w:t>
      </w:r>
      <w:r>
        <w:br/>
      </w:r>
      <w:r>
        <w:rPr>
          <w:rStyle w:val="VerbatimChar"/>
        </w:rPr>
        <w:t xml:space="preserve">     BAJO  |  CUADRANTE IV              |  CUADRANTE III             </w:t>
      </w:r>
      <w:r>
        <w:br/>
      </w:r>
      <w:r>
        <w:rPr>
          <w:rStyle w:val="VerbatimChar"/>
        </w:rPr>
        <w:t xml:space="preserve">           |  Monitorear                |  Mantener informado        </w:t>
      </w:r>
      <w:r>
        <w:br/>
      </w:r>
      <w:r>
        <w:rPr>
          <w:rStyle w:val="VerbatimChar"/>
        </w:rPr>
        <w:t xml:space="preserve">           |  S10 Proveedor cloud       |  S7 Developers             </w:t>
      </w:r>
      <w:r>
        <w:br/>
      </w:r>
      <w:r>
        <w:rPr>
          <w:rStyle w:val="VerbatimChar"/>
        </w:rPr>
        <w:t xml:space="preserve">           |                            |  S8 Estudiantes            </w:t>
      </w:r>
      <w:r>
        <w:br/>
      </w:r>
      <w:r>
        <w:rPr>
          <w:rStyle w:val="VerbatimChar"/>
        </w:rPr>
        <w:t xml:space="preserve">           |                            |  S9 Catedráticos carreras  </w:t>
      </w:r>
      <w:r>
        <w:br/>
      </w:r>
      <w:r>
        <w:rPr>
          <w:rStyle w:val="VerbatimChar"/>
        </w:rPr>
        <w:t xml:space="preserve">           |                            |                            </w:t>
      </w:r>
      <w:r>
        <w:br/>
      </w:r>
      <w:r>
        <w:rPr>
          <w:rStyle w:val="VerbatimChar"/>
        </w:rPr>
        <w:t xml:space="preserve">           +----------------------------+----------------------------</w:t>
      </w:r>
      <w:r>
        <w:br/>
      </w:r>
      <w:r>
        <w:rPr>
          <w:rStyle w:val="VerbatimChar"/>
        </w:rPr>
        <w:t xml:space="preserve">                        BAJO                        ALTO</w:t>
      </w:r>
      <w:r>
        <w:br/>
      </w:r>
      <w:r>
        <w:rPr>
          <w:rStyle w:val="VerbatimChar"/>
        </w:rPr>
        <w:t xml:space="preserve">                                   INTERÉS</w:t>
      </w:r>
    </w:p>
    <w:p>
      <w:pPr>
        <w:pStyle w:val="Heading2"/>
      </w:pPr>
      <w:bookmarkStart w:id="30" w:name="relación-con-el-plan-de-comunicaciones"/>
      <w:r>
        <w:t xml:space="preserve">Relación con el plan de comunicaciones</w:t>
      </w:r>
      <w:bookmarkEnd w:id="30"/>
    </w:p>
    <w:p>
      <w:pPr>
        <w:pStyle w:val="FirstParagraph"/>
      </w:pPr>
      <w:r>
        <w:t xml:space="preserve">Cada cuadrante de la Matriz Poder-Interés tiene una estrategia de comunicación asignada que se operacionaliza en el Plan de Comunicaciones C1–C8:</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Cuadrante</w:t>
            </w:r>
          </w:p>
        </w:tc>
        <w:tc>
          <w:tcPr>
            <w:tcBorders>
              <w:bottom w:val="single"/>
            </w:tcBorders>
            <w:vAlign w:val="bottom"/>
            <w:shd w:val="clear" w:color="auto" w:fill="0E2841"/>
          </w:tcPr>
          <w:p>
            <w:pPr>
              <w:pStyle w:val="Compact"/>
              <w:jc w:val="left"/>
            </w:pPr>
            <w:r>
              <w:rPr>
                <w:rFonts w:ascii="Calibri" w:hAnsi="Calibri"/>
                <w:b/>
                <w:color w:val="FFFFFF"/>
                <w:sz w:val="18"/>
              </w:rPr>
              <w:t xml:space="preserve">Estrategia</w:t>
            </w:r>
          </w:p>
        </w:tc>
        <w:tc>
          <w:tcPr>
            <w:tcBorders>
              <w:bottom w:val="single"/>
            </w:tcBorders>
            <w:vAlign w:val="bottom"/>
            <w:shd w:val="clear" w:color="auto" w:fill="0E2841"/>
          </w:tcPr>
          <w:p>
            <w:pPr>
              <w:pStyle w:val="Compact"/>
              <w:jc w:val="left"/>
            </w:pPr>
            <w:r>
              <w:rPr>
                <w:rFonts w:ascii="Calibri" w:hAnsi="Calibri"/>
                <w:b/>
                <w:color w:val="FFFFFF"/>
                <w:sz w:val="18"/>
              </w:rPr>
              <w:t xml:space="preserve">Canales del plan</w:t>
            </w:r>
          </w:p>
        </w:tc>
      </w:tr>
      <w:tr>
        <w:tc>
          <w:tcPr>
            <w:shd w:val="clear" w:color="auto" w:fill="FFFFFF"/>
          </w:tcPr>
          <w:p>
            <w:pPr>
              <w:pStyle w:val="Compact"/>
              <w:jc w:val="left"/>
            </w:pPr>
            <w:r>
              <w:rPr>
                <w:rFonts w:ascii="Calibri" w:hAnsi="Calibri"/>
                <w:sz w:val="18"/>
              </w:rPr>
              <w:t xml:space="preserve">I</w:t>
            </w:r>
          </w:p>
        </w:tc>
        <w:tc>
          <w:tcPr>
            <w:shd w:val="clear" w:color="auto" w:fill="FFFFFF"/>
          </w:tcPr>
          <w:p>
            <w:pPr>
              <w:pStyle w:val="Compact"/>
              <w:jc w:val="left"/>
            </w:pPr>
            <w:r>
              <w:rPr>
                <w:rFonts w:ascii="Calibri" w:hAnsi="Calibri"/>
                <w:sz w:val="18"/>
              </w:rPr>
              <w:t xml:space="preserve">Gestionar de cerca</w:t>
            </w:r>
          </w:p>
        </w:tc>
        <w:tc>
          <w:tcPr>
            <w:shd w:val="clear" w:color="auto" w:fill="FFFFFF"/>
          </w:tcPr>
          <w:p>
            <w:pPr>
              <w:pStyle w:val="Compact"/>
              <w:jc w:val="left"/>
            </w:pPr>
            <w:r>
              <w:rPr>
                <w:rFonts w:ascii="Calibri" w:hAnsi="Calibri"/>
                <w:sz w:val="18"/>
              </w:rPr>
              <w:t xml:space="preserve">C1 (Sponsor quincenal), C2 (Admisiones por hito), C8 (cierre formal)</w:t>
            </w:r>
          </w:p>
        </w:tc>
      </w:tr>
      <w:tr>
        <w:tc>
          <w:tcPr>
            <w:shd w:val="clear" w:color="auto" w:fill="E8E8E8"/>
          </w:tcPr>
          <w:p>
            <w:pPr>
              <w:pStyle w:val="Compact"/>
              <w:jc w:val="left"/>
            </w:pPr>
            <w:r>
              <w:rPr>
                <w:rFonts w:ascii="Calibri" w:hAnsi="Calibri"/>
                <w:sz w:val="18"/>
              </w:rPr>
              <w:t xml:space="preserve">II</w:t>
            </w:r>
          </w:p>
        </w:tc>
        <w:tc>
          <w:tcPr>
            <w:shd w:val="clear" w:color="auto" w:fill="E8E8E8"/>
          </w:tcPr>
          <w:p>
            <w:pPr>
              <w:pStyle w:val="Compact"/>
              <w:jc w:val="left"/>
            </w:pPr>
            <w:r>
              <w:rPr>
                <w:rFonts w:ascii="Calibri" w:hAnsi="Calibri"/>
                <w:sz w:val="18"/>
              </w:rPr>
              <w:t xml:space="preserve">Mantener satisfecho</w:t>
            </w:r>
          </w:p>
        </w:tc>
        <w:tc>
          <w:tcPr>
            <w:shd w:val="clear" w:color="auto" w:fill="E8E8E8"/>
          </w:tcPr>
          <w:p>
            <w:pPr>
              <w:pStyle w:val="Compact"/>
              <w:jc w:val="left"/>
            </w:pPr>
            <w:r>
              <w:rPr>
                <w:rFonts w:ascii="Calibri" w:hAnsi="Calibri"/>
                <w:sz w:val="18"/>
              </w:rPr>
              <w:t xml:space="preserve">C4 (TI UVG por hito técnico)</w:t>
            </w:r>
          </w:p>
        </w:tc>
      </w:tr>
      <w:tr>
        <w:tc>
          <w:tcPr>
            <w:shd w:val="clear" w:color="auto" w:fill="FFFFFF"/>
          </w:tcPr>
          <w:p>
            <w:pPr>
              <w:pStyle w:val="Compact"/>
              <w:jc w:val="left"/>
            </w:pPr>
            <w:r>
              <w:rPr>
                <w:rFonts w:ascii="Calibri" w:hAnsi="Calibri"/>
                <w:sz w:val="18"/>
              </w:rPr>
              <w:t xml:space="preserve">III</w:t>
            </w:r>
          </w:p>
        </w:tc>
        <w:tc>
          <w:tcPr>
            <w:shd w:val="clear" w:color="auto" w:fill="FFFFFF"/>
          </w:tcPr>
          <w:p>
            <w:pPr>
              <w:pStyle w:val="Compact"/>
              <w:jc w:val="left"/>
            </w:pPr>
            <w:r>
              <w:rPr>
                <w:rFonts w:ascii="Calibri" w:hAnsi="Calibri"/>
                <w:sz w:val="18"/>
              </w:rPr>
              <w:t xml:space="preserve">Mantener informado</w:t>
            </w:r>
          </w:p>
        </w:tc>
        <w:tc>
          <w:tcPr>
            <w:shd w:val="clear" w:color="auto" w:fill="FFFFFF"/>
          </w:tcPr>
          <w:p>
            <w:pPr>
              <w:pStyle w:val="Compact"/>
              <w:jc w:val="left"/>
            </w:pPr>
            <w:r>
              <w:rPr>
                <w:rFonts w:ascii="Calibri" w:hAnsi="Calibri"/>
                <w:sz w:val="18"/>
              </w:rPr>
              <w:t xml:space="preserve">C3 (equipo diario), C5 (estudiantes sprints 8–9), C6 (catedráticos sprints 2–3)</w:t>
            </w:r>
          </w:p>
        </w:tc>
      </w:tr>
      <w:tr>
        <w:tc>
          <w:tcPr>
            <w:shd w:val="clear" w:color="auto" w:fill="E8E8E8"/>
          </w:tcPr>
          <w:p>
            <w:pPr>
              <w:pStyle w:val="Compact"/>
              <w:jc w:val="left"/>
            </w:pPr>
            <w:r>
              <w:rPr>
                <w:rFonts w:ascii="Calibri" w:hAnsi="Calibri"/>
                <w:sz w:val="18"/>
              </w:rPr>
              <w:t xml:space="preserve">IV</w:t>
            </w:r>
          </w:p>
        </w:tc>
        <w:tc>
          <w:tcPr>
            <w:shd w:val="clear" w:color="auto" w:fill="E8E8E8"/>
          </w:tcPr>
          <w:p>
            <w:pPr>
              <w:pStyle w:val="Compact"/>
              <w:jc w:val="left"/>
            </w:pPr>
            <w:r>
              <w:rPr>
                <w:rFonts w:ascii="Calibri" w:hAnsi="Calibri"/>
                <w:sz w:val="18"/>
              </w:rPr>
              <w:t xml:space="preserve">Monitorear</w:t>
            </w:r>
          </w:p>
        </w:tc>
        <w:tc>
          <w:tcPr>
            <w:shd w:val="clear" w:color="auto" w:fill="E8E8E8"/>
          </w:tcPr>
          <w:p>
            <w:pPr>
              <w:pStyle w:val="Compact"/>
              <w:jc w:val="left"/>
            </w:pPr>
            <w:r>
              <w:rPr>
                <w:rFonts w:ascii="Calibri" w:hAnsi="Calibri"/>
                <w:sz w:val="18"/>
              </w:rPr>
              <w:t xml:space="preserve">C7 (proveedor cloud solo ante incidencia)</w:t>
            </w:r>
          </w:p>
        </w:tc>
      </w:tr>
    </w:tbl>
    <w:p>
      <w:pPr>
        <w:pStyle w:val="Heading2"/>
      </w:pPr>
      <w:bookmarkStart w:id="31" w:name="anti-patrones-evitados"/>
      <w:r>
        <w:t xml:space="preserve">Anti-patrones evitados</w:t>
      </w:r>
      <w:bookmarkEnd w:id="31"/>
    </w:p>
    <w:p>
      <w:pPr>
        <w:numPr>
          <w:ilvl w:val="0"/>
          <w:numId w:val="1002"/>
        </w:numPr>
        <w:pStyle w:val="Compact"/>
      </w:pPr>
      <w:r>
        <w:t xml:space="preserve">Gestionar solo al Sponsor e ignorar a Admisiones: S3 tiene el poder de bloquear H4, que es la validación del catálogo. Sin ese hito, EP03 y EP04 no pueden completarse correctamente.</w:t>
      </w:r>
    </w:p>
    <w:p>
      <w:pPr>
        <w:numPr>
          <w:ilvl w:val="0"/>
          <w:numId w:val="1002"/>
        </w:numPr>
        <w:pStyle w:val="Compact"/>
      </w:pPr>
      <w:r>
        <w:t xml:space="preserve">Ignorar al Área de TI hasta el momento del despliegue: S4 puede bloquear el despliegue si no está coordinado con anticipación. La comunicación C4 comienza desde H3.</w:t>
      </w:r>
    </w:p>
    <w:p>
      <w:pPr>
        <w:numPr>
          <w:ilvl w:val="0"/>
          <w:numId w:val="1002"/>
        </w:numPr>
        <w:pStyle w:val="Compact"/>
      </w:pPr>
      <w:r>
        <w:t xml:space="preserve">Tratar a los estudiantes (S8) como audiencia pasiva: son los jueces reales de la calidad del sistema en H6. Su retroalimentación en las pruebas de usabilidad es un insumo crítico para los sprints 8 y 9.</w:t>
      </w:r>
    </w:p>
    <w:p>
      <w:pPr>
        <w:numPr>
          <w:ilvl w:val="0"/>
          <w:numId w:val="1002"/>
        </w:numPr>
        <w:pStyle w:val="Compact"/>
      </w:pPr>
      <w:r>
        <w:t xml:space="preserve">Asumir que el proveedor cloud (S10) no requiere gestión: aunque está en Cuadrante IV, el riesgo R6 tiene estrategia</w:t>
      </w:r>
      <w:r>
        <w:t xml:space="preserve"> </w:t>
      </w:r>
      <w:r>
        <w:t xml:space="preserve">“</w:t>
      </w:r>
      <w:r>
        <w:t xml:space="preserve">Transferir</w:t>
      </w:r>
      <w:r>
        <w:t xml:space="preserve">”</w:t>
      </w:r>
      <w:r>
        <w:t xml:space="preserve"> </w:t>
      </w:r>
      <w:r>
        <w:t xml:space="preserve">que requiere un SLA formal. Si no se gestiona la adquisición, R6 pasa de ser un riesgo transferido a ser un riesgo aceptado sin plan.</w:t>
      </w:r>
    </w:p>
    <w:p>
      <w:pPr>
        <w:pStyle w:val="Heading2"/>
      </w:pPr>
      <w:bookmarkStart w:id="32" w:name="X478fdc2c50c1d7393d19b78a78c1f5d782b065d"/>
      <w:r>
        <w:t xml:space="preserve">Niveles de compromiso: estado actual y meta</w:t>
      </w:r>
      <w:bookmarkEnd w:id="32"/>
    </w:p>
    <w:p>
      <w:pPr>
        <w:pStyle w:val="FirstParagraph"/>
      </w:pPr>
      <w:r>
        <w:t xml:space="preserve">El nivel de compromiso de un stakeholder describe cuánto apoya o resiste activamente el proyecto. El modelo de compromiso define 5 niveles:</w:t>
      </w:r>
    </w:p>
    <w:p>
      <w:pPr>
        <w:numPr>
          <w:ilvl w:val="0"/>
          <w:numId w:val="1003"/>
        </w:numPr>
        <w:pStyle w:val="Compact"/>
      </w:pPr>
      <w:r>
        <w:rPr>
          <w:b/>
        </w:rPr>
        <w:t xml:space="preserve">Desconoce</w:t>
      </w:r>
      <w:r>
        <w:t xml:space="preserve">: no está al tanto del proyecto ni de sus implicaciones.</w:t>
      </w:r>
    </w:p>
    <w:p>
      <w:pPr>
        <w:numPr>
          <w:ilvl w:val="0"/>
          <w:numId w:val="1003"/>
        </w:numPr>
        <w:pStyle w:val="Compact"/>
      </w:pPr>
      <w:r>
        <w:rPr>
          <w:b/>
        </w:rPr>
        <w:t xml:space="preserve">Resistente</w:t>
      </w:r>
      <w:r>
        <w:t xml:space="preserve">: conoce el proyecto pero se opone activamente o lo obstaculiza.</w:t>
      </w:r>
    </w:p>
    <w:p>
      <w:pPr>
        <w:numPr>
          <w:ilvl w:val="0"/>
          <w:numId w:val="1003"/>
        </w:numPr>
        <w:pStyle w:val="Compact"/>
      </w:pPr>
      <w:r>
        <w:rPr>
          <w:b/>
        </w:rPr>
        <w:t xml:space="preserve">Neutral</w:t>
      </w:r>
      <w:r>
        <w:t xml:space="preserve">: conoce el proyecto pero no lo apoya ni lo resiste.</w:t>
      </w:r>
    </w:p>
    <w:p>
      <w:pPr>
        <w:numPr>
          <w:ilvl w:val="0"/>
          <w:numId w:val="1003"/>
        </w:numPr>
        <w:pStyle w:val="Compact"/>
      </w:pPr>
      <w:r>
        <w:rPr>
          <w:b/>
        </w:rPr>
        <w:t xml:space="preserve">Partidario</w:t>
      </w:r>
      <w:r>
        <w:t xml:space="preserve">: apoya el proyecto y colabora cuando se le solicita.</w:t>
      </w:r>
    </w:p>
    <w:p>
      <w:pPr>
        <w:numPr>
          <w:ilvl w:val="0"/>
          <w:numId w:val="1003"/>
        </w:numPr>
        <w:pStyle w:val="Compact"/>
      </w:pPr>
      <w:r>
        <w:rPr>
          <w:b/>
        </w:rPr>
        <w:t xml:space="preserve">Líder</w:t>
      </w:r>
      <w:r>
        <w:t xml:space="preserve">: apoya activamente el proyecto, lo promueve y actúa sin necesidad de ser convocado.</w:t>
      </w:r>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320"/>
        <w:gridCol w:w="1320"/>
        <w:gridCol w:w="1320"/>
        <w:gridCol w:w="1320"/>
        <w:gridCol w:w="1320"/>
        <w:gridCol w:w="132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Stakeholder</w:t>
            </w:r>
          </w:p>
        </w:tc>
        <w:tc>
          <w:tcPr>
            <w:tcBorders>
              <w:bottom w:val="single"/>
            </w:tcBorders>
            <w:vAlign w:val="bottom"/>
            <w:shd w:val="clear" w:color="auto" w:fill="0E2841"/>
          </w:tcPr>
          <w:p>
            <w:pPr>
              <w:pStyle w:val="Compact"/>
              <w:jc w:val="left"/>
            </w:pPr>
            <w:r>
              <w:rPr>
                <w:rFonts w:ascii="Calibri" w:hAnsi="Calibri"/>
                <w:b/>
                <w:color w:val="FFFFFF"/>
                <w:sz w:val="18"/>
              </w:rPr>
              <w:t xml:space="preserve">Nivel actual</w:t>
            </w:r>
          </w:p>
        </w:tc>
        <w:tc>
          <w:tcPr>
            <w:tcBorders>
              <w:bottom w:val="single"/>
            </w:tcBorders>
            <w:vAlign w:val="bottom"/>
            <w:shd w:val="clear" w:color="auto" w:fill="0E2841"/>
          </w:tcPr>
          <w:p>
            <w:pPr>
              <w:pStyle w:val="Compact"/>
              <w:jc w:val="left"/>
            </w:pPr>
            <w:r>
              <w:rPr>
                <w:rFonts w:ascii="Calibri" w:hAnsi="Calibri"/>
                <w:b/>
                <w:color w:val="FFFFFF"/>
                <w:sz w:val="18"/>
              </w:rPr>
              <w:t xml:space="preserve">Nivel meta</w:t>
            </w:r>
          </w:p>
        </w:tc>
        <w:tc>
          <w:tcPr>
            <w:tcBorders>
              <w:bottom w:val="single"/>
            </w:tcBorders>
            <w:vAlign w:val="bottom"/>
            <w:shd w:val="clear" w:color="auto" w:fill="0E2841"/>
          </w:tcPr>
          <w:p>
            <w:pPr>
              <w:pStyle w:val="Compact"/>
              <w:jc w:val="left"/>
            </w:pPr>
            <w:r>
              <w:rPr>
                <w:rFonts w:ascii="Calibri" w:hAnsi="Calibri"/>
                <w:b/>
                <w:color w:val="FFFFFF"/>
                <w:sz w:val="18"/>
              </w:rPr>
              <w:t xml:space="preserve">Brecha</w:t>
            </w:r>
          </w:p>
        </w:tc>
        <w:tc>
          <w:tcPr>
            <w:tcBorders>
              <w:bottom w:val="single"/>
            </w:tcBorders>
            <w:vAlign w:val="bottom"/>
            <w:shd w:val="clear" w:color="auto" w:fill="0E2841"/>
          </w:tcPr>
          <w:p>
            <w:pPr>
              <w:pStyle w:val="Compact"/>
              <w:jc w:val="left"/>
            </w:pPr>
            <w:r>
              <w:rPr>
                <w:rFonts w:ascii="Calibri" w:hAnsi="Calibri"/>
                <w:b/>
                <w:color w:val="FFFFFF"/>
                <w:sz w:val="18"/>
              </w:rPr>
              <w:t xml:space="preserve">Acción para cerrar la brecha</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Marroquín (Sponsor)</w:t>
            </w:r>
          </w:p>
        </w:tc>
        <w:tc>
          <w:tcPr>
            <w:shd w:val="clear" w:color="auto" w:fill="FFFFFF"/>
          </w:tcPr>
          <w:p>
            <w:pPr>
              <w:pStyle w:val="Compact"/>
              <w:jc w:val="left"/>
            </w:pPr>
            <w:r>
              <w:rPr>
                <w:rFonts w:ascii="Calibri" w:hAnsi="Calibri"/>
                <w:sz w:val="18"/>
              </w:rPr>
              <w:t xml:space="preserve">Líder</w:t>
            </w:r>
          </w:p>
        </w:tc>
        <w:tc>
          <w:tcPr>
            <w:shd w:val="clear" w:color="auto" w:fill="FFFFFF"/>
          </w:tcPr>
          <w:p>
            <w:pPr>
              <w:pStyle w:val="Compact"/>
              <w:jc w:val="left"/>
            </w:pPr>
            <w:r>
              <w:rPr>
                <w:rFonts w:ascii="Calibri" w:hAnsi="Calibri"/>
                <w:sz w:val="18"/>
              </w:rPr>
              <w:t xml:space="preserve">Líder</w:t>
            </w:r>
          </w:p>
        </w:tc>
        <w:tc>
          <w:tcPr>
            <w:shd w:val="clear" w:color="auto" w:fill="FFFFFF"/>
          </w:tcPr>
          <w:p>
            <w:pPr>
              <w:pStyle w:val="Compact"/>
              <w:jc w:val="left"/>
            </w:pPr>
            <w:r>
              <w:rPr>
                <w:rFonts w:ascii="Calibri" w:hAnsi="Calibri"/>
                <w:sz w:val="18"/>
              </w:rPr>
              <w:t xml:space="preserve">Sin brecha</w:t>
            </w:r>
          </w:p>
        </w:tc>
        <w:tc>
          <w:tcPr>
            <w:shd w:val="clear" w:color="auto" w:fill="FFFFFF"/>
          </w:tcPr>
          <w:p>
            <w:pPr>
              <w:pStyle w:val="Compact"/>
              <w:jc w:val="left"/>
            </w:pPr>
            <w:r>
              <w:rPr>
                <w:rFonts w:ascii="Calibri" w:hAnsi="Calibri"/>
                <w:sz w:val="18"/>
              </w:rPr>
              <w:t xml:space="preserve">Mantener con C1 quincenal y transparencia en EVM</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left"/>
            </w:pPr>
            <w:r>
              <w:rPr>
                <w:rFonts w:ascii="Calibri" w:hAnsi="Calibri"/>
                <w:sz w:val="18"/>
              </w:rPr>
              <w:t xml:space="preserve">UVG institución</w:t>
            </w:r>
          </w:p>
        </w:tc>
        <w:tc>
          <w:tcPr>
            <w:shd w:val="clear" w:color="auto" w:fill="E8E8E8"/>
          </w:tcPr>
          <w:p>
            <w:pPr>
              <w:pStyle w:val="Compact"/>
              <w:jc w:val="left"/>
            </w:pPr>
            <w:r>
              <w:rPr>
                <w:rFonts w:ascii="Calibri" w:hAnsi="Calibri"/>
                <w:sz w:val="18"/>
              </w:rPr>
              <w:t xml:space="preserve">Neutral</w:t>
            </w:r>
          </w:p>
        </w:tc>
        <w:tc>
          <w:tcPr>
            <w:shd w:val="clear" w:color="auto" w:fill="E8E8E8"/>
          </w:tcPr>
          <w:p>
            <w:pPr>
              <w:pStyle w:val="Compact"/>
              <w:jc w:val="left"/>
            </w:pPr>
            <w:r>
              <w:rPr>
                <w:rFonts w:ascii="Calibri" w:hAnsi="Calibri"/>
                <w:sz w:val="18"/>
              </w:rPr>
              <w:t xml:space="preserve">Partidario</w:t>
            </w:r>
          </w:p>
        </w:tc>
        <w:tc>
          <w:tcPr>
            <w:shd w:val="clear" w:color="auto" w:fill="E8E8E8"/>
          </w:tcPr>
          <w:p>
            <w:pPr>
              <w:pStyle w:val="Compact"/>
              <w:jc w:val="left"/>
            </w:pPr>
            <w:r>
              <w:rPr>
                <w:rFonts w:ascii="Calibri" w:hAnsi="Calibri"/>
                <w:sz w:val="18"/>
              </w:rPr>
              <w:t xml:space="preserve">+1 nivel</w:t>
            </w:r>
          </w:p>
        </w:tc>
        <w:tc>
          <w:tcPr>
            <w:shd w:val="clear" w:color="auto" w:fill="E8E8E8"/>
          </w:tcPr>
          <w:p>
            <w:pPr>
              <w:pStyle w:val="Compact"/>
              <w:jc w:val="left"/>
            </w:pPr>
            <w:r>
              <w:rPr>
                <w:rFonts w:ascii="Calibri" w:hAnsi="Calibri"/>
                <w:sz w:val="18"/>
              </w:rPr>
              <w:t xml:space="preserve">C8 al cierre con entregable formal; demostración institucional del valor del sistema</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left"/>
            </w:pPr>
            <w:r>
              <w:rPr>
                <w:rFonts w:ascii="Calibri" w:hAnsi="Calibri"/>
                <w:sz w:val="18"/>
              </w:rPr>
              <w:t xml:space="preserve">Admisiones</w:t>
            </w:r>
          </w:p>
        </w:tc>
        <w:tc>
          <w:tcPr>
            <w:shd w:val="clear" w:color="auto" w:fill="FFFFFF"/>
          </w:tcPr>
          <w:p>
            <w:pPr>
              <w:pStyle w:val="Compact"/>
              <w:jc w:val="left"/>
            </w:pPr>
            <w:r>
              <w:rPr>
                <w:rFonts w:ascii="Calibri" w:hAnsi="Calibri"/>
                <w:sz w:val="18"/>
              </w:rPr>
              <w:t xml:space="preserve">Neutral</w:t>
            </w:r>
          </w:p>
        </w:tc>
        <w:tc>
          <w:tcPr>
            <w:shd w:val="clear" w:color="auto" w:fill="FFFFFF"/>
          </w:tcPr>
          <w:p>
            <w:pPr>
              <w:pStyle w:val="Compact"/>
              <w:jc w:val="left"/>
            </w:pPr>
            <w:r>
              <w:rPr>
                <w:rFonts w:ascii="Calibri" w:hAnsi="Calibri"/>
                <w:sz w:val="18"/>
              </w:rPr>
              <w:t xml:space="preserve">Partidario</w:t>
            </w:r>
          </w:p>
        </w:tc>
        <w:tc>
          <w:tcPr>
            <w:shd w:val="clear" w:color="auto" w:fill="FFFFFF"/>
          </w:tcPr>
          <w:p>
            <w:pPr>
              <w:pStyle w:val="Compact"/>
              <w:jc w:val="left"/>
            </w:pPr>
            <w:r>
              <w:rPr>
                <w:rFonts w:ascii="Calibri" w:hAnsi="Calibri"/>
                <w:sz w:val="18"/>
              </w:rPr>
              <w:t xml:space="preserve">+1 nivel</w:t>
            </w:r>
          </w:p>
        </w:tc>
        <w:tc>
          <w:tcPr>
            <w:shd w:val="clear" w:color="auto" w:fill="FFFFFF"/>
          </w:tcPr>
          <w:p>
            <w:pPr>
              <w:pStyle w:val="Compact"/>
              <w:jc w:val="left"/>
            </w:pPr>
            <w:r>
              <w:rPr>
                <w:rFonts w:ascii="Calibri" w:hAnsi="Calibri"/>
                <w:sz w:val="18"/>
              </w:rPr>
              <w:t xml:space="preserve">Involucramiento temprano en H4; demostración de que el catálogo digital reduce su carga de orientación manual</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left"/>
            </w:pPr>
            <w:r>
              <w:rPr>
                <w:rFonts w:ascii="Calibri" w:hAnsi="Calibri"/>
                <w:sz w:val="18"/>
              </w:rPr>
              <w:t xml:space="preserve">TI UVG</w:t>
            </w:r>
          </w:p>
        </w:tc>
        <w:tc>
          <w:tcPr>
            <w:shd w:val="clear" w:color="auto" w:fill="E8E8E8"/>
          </w:tcPr>
          <w:p>
            <w:pPr>
              <w:pStyle w:val="Compact"/>
              <w:jc w:val="left"/>
            </w:pPr>
            <w:r>
              <w:rPr>
                <w:rFonts w:ascii="Calibri" w:hAnsi="Calibri"/>
                <w:sz w:val="18"/>
              </w:rPr>
              <w:t xml:space="preserve">Neutral</w:t>
            </w:r>
          </w:p>
        </w:tc>
        <w:tc>
          <w:tcPr>
            <w:shd w:val="clear" w:color="auto" w:fill="E8E8E8"/>
          </w:tcPr>
          <w:p>
            <w:pPr>
              <w:pStyle w:val="Compact"/>
              <w:jc w:val="left"/>
            </w:pPr>
            <w:r>
              <w:rPr>
                <w:rFonts w:ascii="Calibri" w:hAnsi="Calibri"/>
                <w:sz w:val="18"/>
              </w:rPr>
              <w:t xml:space="preserve">Neutral</w:t>
            </w:r>
          </w:p>
        </w:tc>
        <w:tc>
          <w:tcPr>
            <w:shd w:val="clear" w:color="auto" w:fill="E8E8E8"/>
          </w:tcPr>
          <w:p>
            <w:pPr>
              <w:pStyle w:val="Compact"/>
              <w:jc w:val="left"/>
            </w:pPr>
            <w:r>
              <w:rPr>
                <w:rFonts w:ascii="Calibri" w:hAnsi="Calibri"/>
                <w:sz w:val="18"/>
              </w:rPr>
              <w:t xml:space="preserve">Sin brecha</w:t>
            </w:r>
          </w:p>
        </w:tc>
        <w:tc>
          <w:tcPr>
            <w:shd w:val="clear" w:color="auto" w:fill="E8E8E8"/>
          </w:tcPr>
          <w:p>
            <w:pPr>
              <w:pStyle w:val="Compact"/>
              <w:jc w:val="left"/>
            </w:pPr>
            <w:r>
              <w:rPr>
                <w:rFonts w:ascii="Calibri" w:hAnsi="Calibri"/>
                <w:sz w:val="18"/>
              </w:rPr>
              <w:t xml:space="preserve">C4 técnico por hito es suficiente; TI no necesita ser Líder para colaborar efectivamente</w:t>
            </w:r>
          </w:p>
        </w:tc>
      </w:tr>
      <w:tr>
        <w:tc>
          <w:tcPr>
            <w:shd w:val="clear" w:color="auto" w:fill="FFFFFF"/>
          </w:tcPr>
          <w:p>
            <w:pPr>
              <w:pStyle w:val="Compact"/>
              <w:jc w:val="left"/>
            </w:pPr>
            <w:r>
              <w:rPr>
                <w:rFonts w:ascii="Calibri" w:hAnsi="Calibri"/>
                <w:sz w:val="18"/>
              </w:rPr>
              <w:t xml:space="preserve">S5</w:t>
            </w:r>
          </w:p>
        </w:tc>
        <w:tc>
          <w:tcPr>
            <w:shd w:val="clear" w:color="auto" w:fill="FFFFFF"/>
          </w:tcPr>
          <w:p>
            <w:pPr>
              <w:pStyle w:val="Compact"/>
              <w:jc w:val="left"/>
            </w:pPr>
            <w:r>
              <w:rPr>
                <w:rFonts w:ascii="Calibri" w:hAnsi="Calibri"/>
                <w:sz w:val="18"/>
              </w:rPr>
              <w:t xml:space="preserve">PO Say</w:t>
            </w:r>
          </w:p>
        </w:tc>
        <w:tc>
          <w:tcPr>
            <w:shd w:val="clear" w:color="auto" w:fill="FFFFFF"/>
          </w:tcPr>
          <w:p>
            <w:pPr>
              <w:pStyle w:val="Compact"/>
              <w:jc w:val="left"/>
            </w:pPr>
            <w:r>
              <w:rPr>
                <w:rFonts w:ascii="Calibri" w:hAnsi="Calibri"/>
                <w:sz w:val="18"/>
              </w:rPr>
              <w:t xml:space="preserve">Líder</w:t>
            </w:r>
          </w:p>
        </w:tc>
        <w:tc>
          <w:tcPr>
            <w:shd w:val="clear" w:color="auto" w:fill="FFFFFF"/>
          </w:tcPr>
          <w:p>
            <w:pPr>
              <w:pStyle w:val="Compact"/>
              <w:jc w:val="left"/>
            </w:pPr>
            <w:r>
              <w:rPr>
                <w:rFonts w:ascii="Calibri" w:hAnsi="Calibri"/>
                <w:sz w:val="18"/>
              </w:rPr>
              <w:t xml:space="preserve">Líder</w:t>
            </w:r>
          </w:p>
        </w:tc>
        <w:tc>
          <w:tcPr>
            <w:shd w:val="clear" w:color="auto" w:fill="FFFFFF"/>
          </w:tcPr>
          <w:p>
            <w:pPr>
              <w:pStyle w:val="Compact"/>
              <w:jc w:val="left"/>
            </w:pPr>
            <w:r>
              <w:rPr>
                <w:rFonts w:ascii="Calibri" w:hAnsi="Calibri"/>
                <w:sz w:val="18"/>
              </w:rPr>
              <w:t xml:space="preserve">Sin brecha</w:t>
            </w:r>
          </w:p>
        </w:tc>
        <w:tc>
          <w:tcPr>
            <w:shd w:val="clear" w:color="auto" w:fill="FFFFFF"/>
          </w:tcPr>
          <w:p>
            <w:pPr>
              <w:pStyle w:val="Compact"/>
              <w:jc w:val="left"/>
            </w:pPr>
            <w:r>
              <w:rPr>
                <w:rFonts w:ascii="Calibri" w:hAnsi="Calibri"/>
                <w:sz w:val="18"/>
              </w:rPr>
              <w:t xml:space="preserve">Rol interno — compromiso estructural</w:t>
            </w:r>
          </w:p>
        </w:tc>
      </w:tr>
      <w:tr>
        <w:tc>
          <w:tcPr>
            <w:shd w:val="clear" w:color="auto" w:fill="E8E8E8"/>
          </w:tcPr>
          <w:p>
            <w:pPr>
              <w:pStyle w:val="Compact"/>
              <w:jc w:val="left"/>
            </w:pPr>
            <w:r>
              <w:rPr>
                <w:rFonts w:ascii="Calibri" w:hAnsi="Calibri"/>
                <w:sz w:val="18"/>
              </w:rPr>
              <w:t xml:space="preserve">S6</w:t>
            </w:r>
          </w:p>
        </w:tc>
        <w:tc>
          <w:tcPr>
            <w:shd w:val="clear" w:color="auto" w:fill="E8E8E8"/>
          </w:tcPr>
          <w:p>
            <w:pPr>
              <w:pStyle w:val="Compact"/>
              <w:jc w:val="left"/>
            </w:pPr>
            <w:r>
              <w:rPr>
                <w:rFonts w:ascii="Calibri" w:hAnsi="Calibri"/>
                <w:sz w:val="18"/>
              </w:rPr>
              <w:t xml:space="preserve">SM Cordero</w:t>
            </w:r>
          </w:p>
        </w:tc>
        <w:tc>
          <w:tcPr>
            <w:shd w:val="clear" w:color="auto" w:fill="E8E8E8"/>
          </w:tcPr>
          <w:p>
            <w:pPr>
              <w:pStyle w:val="Compact"/>
              <w:jc w:val="left"/>
            </w:pPr>
            <w:r>
              <w:rPr>
                <w:rFonts w:ascii="Calibri" w:hAnsi="Calibri"/>
                <w:sz w:val="18"/>
              </w:rPr>
              <w:t xml:space="preserve">Líder</w:t>
            </w:r>
          </w:p>
        </w:tc>
        <w:tc>
          <w:tcPr>
            <w:shd w:val="clear" w:color="auto" w:fill="E8E8E8"/>
          </w:tcPr>
          <w:p>
            <w:pPr>
              <w:pStyle w:val="Compact"/>
              <w:jc w:val="left"/>
            </w:pPr>
            <w:r>
              <w:rPr>
                <w:rFonts w:ascii="Calibri" w:hAnsi="Calibri"/>
                <w:sz w:val="18"/>
              </w:rPr>
              <w:t xml:space="preserve">Líder</w:t>
            </w:r>
          </w:p>
        </w:tc>
        <w:tc>
          <w:tcPr>
            <w:shd w:val="clear" w:color="auto" w:fill="E8E8E8"/>
          </w:tcPr>
          <w:p>
            <w:pPr>
              <w:pStyle w:val="Compact"/>
              <w:jc w:val="left"/>
            </w:pPr>
            <w:r>
              <w:rPr>
                <w:rFonts w:ascii="Calibri" w:hAnsi="Calibri"/>
                <w:sz w:val="18"/>
              </w:rPr>
              <w:t xml:space="preserve">Sin brecha</w:t>
            </w:r>
          </w:p>
        </w:tc>
        <w:tc>
          <w:tcPr>
            <w:shd w:val="clear" w:color="auto" w:fill="E8E8E8"/>
          </w:tcPr>
          <w:p>
            <w:pPr>
              <w:pStyle w:val="Compact"/>
              <w:jc w:val="left"/>
            </w:pPr>
            <w:r>
              <w:rPr>
                <w:rFonts w:ascii="Calibri" w:hAnsi="Calibri"/>
                <w:sz w:val="18"/>
              </w:rPr>
              <w:t xml:space="preserve">Rol interno — compromiso estructural</w:t>
            </w:r>
          </w:p>
        </w:tc>
      </w:tr>
      <w:tr>
        <w:tc>
          <w:tcPr>
            <w:shd w:val="clear" w:color="auto" w:fill="FFFFFF"/>
          </w:tcPr>
          <w:p>
            <w:pPr>
              <w:pStyle w:val="Compact"/>
              <w:jc w:val="left"/>
            </w:pPr>
            <w:r>
              <w:rPr>
                <w:rFonts w:ascii="Calibri" w:hAnsi="Calibri"/>
                <w:sz w:val="18"/>
              </w:rPr>
              <w:t xml:space="preserve">S7</w:t>
            </w:r>
          </w:p>
        </w:tc>
        <w:tc>
          <w:tcPr>
            <w:shd w:val="clear" w:color="auto" w:fill="FFFFFF"/>
          </w:tcPr>
          <w:p>
            <w:pPr>
              <w:pStyle w:val="Compact"/>
              <w:jc w:val="left"/>
            </w:pPr>
            <w:r>
              <w:rPr>
                <w:rFonts w:ascii="Calibri" w:hAnsi="Calibri"/>
                <w:sz w:val="18"/>
              </w:rPr>
              <w:t xml:space="preserve">Developers</w:t>
            </w:r>
          </w:p>
        </w:tc>
        <w:tc>
          <w:tcPr>
            <w:shd w:val="clear" w:color="auto" w:fill="FFFFFF"/>
          </w:tcPr>
          <w:p>
            <w:pPr>
              <w:pStyle w:val="Compact"/>
              <w:jc w:val="left"/>
            </w:pPr>
            <w:r>
              <w:rPr>
                <w:rFonts w:ascii="Calibri" w:hAnsi="Calibri"/>
                <w:sz w:val="18"/>
              </w:rPr>
              <w:t xml:space="preserve">Partidario</w:t>
            </w:r>
          </w:p>
        </w:tc>
        <w:tc>
          <w:tcPr>
            <w:shd w:val="clear" w:color="auto" w:fill="FFFFFF"/>
          </w:tcPr>
          <w:p>
            <w:pPr>
              <w:pStyle w:val="Compact"/>
              <w:jc w:val="left"/>
            </w:pPr>
            <w:r>
              <w:rPr>
                <w:rFonts w:ascii="Calibri" w:hAnsi="Calibri"/>
                <w:sz w:val="18"/>
              </w:rPr>
              <w:t xml:space="preserve">Líder</w:t>
            </w:r>
          </w:p>
        </w:tc>
        <w:tc>
          <w:tcPr>
            <w:shd w:val="clear" w:color="auto" w:fill="FFFFFF"/>
          </w:tcPr>
          <w:p>
            <w:pPr>
              <w:pStyle w:val="Compact"/>
              <w:jc w:val="left"/>
            </w:pPr>
            <w:r>
              <w:rPr>
                <w:rFonts w:ascii="Calibri" w:hAnsi="Calibri"/>
                <w:sz w:val="18"/>
              </w:rPr>
              <w:t xml:space="preserve">+1 nivel</w:t>
            </w:r>
          </w:p>
        </w:tc>
        <w:tc>
          <w:tcPr>
            <w:shd w:val="clear" w:color="auto" w:fill="FFFFFF"/>
          </w:tcPr>
          <w:p>
            <w:pPr>
              <w:pStyle w:val="Compact"/>
              <w:jc w:val="left"/>
            </w:pPr>
            <w:r>
              <w:rPr>
                <w:rFonts w:ascii="Calibri" w:hAnsi="Calibri"/>
                <w:sz w:val="18"/>
              </w:rPr>
              <w:t xml:space="preserve">Ceremonies de Scrum que dan autonomía y visibilidad; pair programming que distribuye propiedad del código</w:t>
            </w:r>
          </w:p>
        </w:tc>
      </w:tr>
      <w:tr>
        <w:tc>
          <w:tcPr>
            <w:shd w:val="clear" w:color="auto" w:fill="E8E8E8"/>
          </w:tcPr>
          <w:p>
            <w:pPr>
              <w:pStyle w:val="Compact"/>
              <w:jc w:val="left"/>
            </w:pPr>
            <w:r>
              <w:rPr>
                <w:rFonts w:ascii="Calibri" w:hAnsi="Calibri"/>
                <w:sz w:val="18"/>
              </w:rPr>
              <w:t xml:space="preserve">S8</w:t>
            </w:r>
          </w:p>
        </w:tc>
        <w:tc>
          <w:tcPr>
            <w:shd w:val="clear" w:color="auto" w:fill="E8E8E8"/>
          </w:tcPr>
          <w:p>
            <w:pPr>
              <w:pStyle w:val="Compact"/>
              <w:jc w:val="left"/>
            </w:pPr>
            <w:r>
              <w:rPr>
                <w:rFonts w:ascii="Calibri" w:hAnsi="Calibri"/>
                <w:sz w:val="18"/>
              </w:rPr>
              <w:t xml:space="preserve">Estudiantes</w:t>
            </w:r>
          </w:p>
        </w:tc>
        <w:tc>
          <w:tcPr>
            <w:shd w:val="clear" w:color="auto" w:fill="E8E8E8"/>
          </w:tcPr>
          <w:p>
            <w:pPr>
              <w:pStyle w:val="Compact"/>
              <w:jc w:val="left"/>
            </w:pPr>
            <w:r>
              <w:rPr>
                <w:rFonts w:ascii="Calibri" w:hAnsi="Calibri"/>
                <w:sz w:val="18"/>
              </w:rPr>
              <w:t xml:space="preserve">Desconoce</w:t>
            </w:r>
          </w:p>
        </w:tc>
        <w:tc>
          <w:tcPr>
            <w:shd w:val="clear" w:color="auto" w:fill="E8E8E8"/>
          </w:tcPr>
          <w:p>
            <w:pPr>
              <w:pStyle w:val="Compact"/>
              <w:jc w:val="left"/>
            </w:pPr>
            <w:r>
              <w:rPr>
                <w:rFonts w:ascii="Calibri" w:hAnsi="Calibri"/>
                <w:sz w:val="18"/>
              </w:rPr>
              <w:t xml:space="preserve">Partidario</w:t>
            </w:r>
          </w:p>
        </w:tc>
        <w:tc>
          <w:tcPr>
            <w:shd w:val="clear" w:color="auto" w:fill="E8E8E8"/>
          </w:tcPr>
          <w:p>
            <w:pPr>
              <w:pStyle w:val="Compact"/>
              <w:jc w:val="left"/>
            </w:pPr>
            <w:r>
              <w:rPr>
                <w:rFonts w:ascii="Calibri" w:hAnsi="Calibri"/>
                <w:sz w:val="18"/>
              </w:rPr>
              <w:t xml:space="preserve">+2 niveles</w:t>
            </w:r>
          </w:p>
        </w:tc>
        <w:tc>
          <w:tcPr>
            <w:shd w:val="clear" w:color="auto" w:fill="E8E8E8"/>
          </w:tcPr>
          <w:p>
            <w:pPr>
              <w:pStyle w:val="Compact"/>
              <w:jc w:val="left"/>
            </w:pPr>
            <w:r>
              <w:rPr>
                <w:rFonts w:ascii="Calibri" w:hAnsi="Calibri"/>
                <w:sz w:val="18"/>
              </w:rPr>
              <w:t xml:space="preserve">C5 en sprints 8–9: invitación directa a sesiones de usabilidad; el interés propio (orientación vocacional) es el incentivo natural</w:t>
            </w:r>
          </w:p>
        </w:tc>
      </w:tr>
      <w:tr>
        <w:tc>
          <w:tcPr>
            <w:shd w:val="clear" w:color="auto" w:fill="FFFFFF"/>
          </w:tcPr>
          <w:p>
            <w:pPr>
              <w:pStyle w:val="Compact"/>
              <w:jc w:val="left"/>
            </w:pPr>
            <w:r>
              <w:rPr>
                <w:rFonts w:ascii="Calibri" w:hAnsi="Calibri"/>
                <w:sz w:val="18"/>
              </w:rPr>
              <w:t xml:space="preserve">S9</w:t>
            </w:r>
          </w:p>
        </w:tc>
        <w:tc>
          <w:tcPr>
            <w:shd w:val="clear" w:color="auto" w:fill="FFFFFF"/>
          </w:tcPr>
          <w:p>
            <w:pPr>
              <w:pStyle w:val="Compact"/>
              <w:jc w:val="left"/>
            </w:pPr>
            <w:r>
              <w:rPr>
                <w:rFonts w:ascii="Calibri" w:hAnsi="Calibri"/>
                <w:sz w:val="18"/>
              </w:rPr>
              <w:t xml:space="preserve">Catedráticos</w:t>
            </w:r>
          </w:p>
        </w:tc>
        <w:tc>
          <w:tcPr>
            <w:shd w:val="clear" w:color="auto" w:fill="FFFFFF"/>
          </w:tcPr>
          <w:p>
            <w:pPr>
              <w:pStyle w:val="Compact"/>
              <w:jc w:val="left"/>
            </w:pPr>
            <w:r>
              <w:rPr>
                <w:rFonts w:ascii="Calibri" w:hAnsi="Calibri"/>
                <w:sz w:val="18"/>
              </w:rPr>
              <w:t xml:space="preserve">Desconoce</w:t>
            </w:r>
          </w:p>
        </w:tc>
        <w:tc>
          <w:tcPr>
            <w:shd w:val="clear" w:color="auto" w:fill="FFFFFF"/>
          </w:tcPr>
          <w:p>
            <w:pPr>
              <w:pStyle w:val="Compact"/>
              <w:jc w:val="left"/>
            </w:pPr>
            <w:r>
              <w:rPr>
                <w:rFonts w:ascii="Calibri" w:hAnsi="Calibri"/>
                <w:sz w:val="18"/>
              </w:rPr>
              <w:t xml:space="preserve">Neutral</w:t>
            </w:r>
          </w:p>
        </w:tc>
        <w:tc>
          <w:tcPr>
            <w:shd w:val="clear" w:color="auto" w:fill="FFFFFF"/>
          </w:tcPr>
          <w:p>
            <w:pPr>
              <w:pStyle w:val="Compact"/>
              <w:jc w:val="left"/>
            </w:pPr>
            <w:r>
              <w:rPr>
                <w:rFonts w:ascii="Calibri" w:hAnsi="Calibri"/>
                <w:sz w:val="18"/>
              </w:rPr>
              <w:t xml:space="preserve">+1 nivel</w:t>
            </w:r>
          </w:p>
        </w:tc>
        <w:tc>
          <w:tcPr>
            <w:shd w:val="clear" w:color="auto" w:fill="FFFFFF"/>
          </w:tcPr>
          <w:p>
            <w:pPr>
              <w:pStyle w:val="Compact"/>
              <w:jc w:val="left"/>
            </w:pPr>
            <w:r>
              <w:rPr>
                <w:rFonts w:ascii="Calibri" w:hAnsi="Calibri"/>
                <w:sz w:val="18"/>
              </w:rPr>
              <w:t xml:space="preserve">C6: formulario de validación con propósito claro (su carrera se describe correctamente en el sistema)</w:t>
            </w:r>
          </w:p>
        </w:tc>
      </w:tr>
      <w:tr>
        <w:tc>
          <w:tcPr>
            <w:shd w:val="clear" w:color="auto" w:fill="E8E8E8"/>
          </w:tcPr>
          <w:p>
            <w:pPr>
              <w:pStyle w:val="Compact"/>
              <w:jc w:val="left"/>
            </w:pPr>
            <w:r>
              <w:rPr>
                <w:rFonts w:ascii="Calibri" w:hAnsi="Calibri"/>
                <w:sz w:val="18"/>
              </w:rPr>
              <w:t xml:space="preserve">S10</w:t>
            </w:r>
          </w:p>
        </w:tc>
        <w:tc>
          <w:tcPr>
            <w:shd w:val="clear" w:color="auto" w:fill="E8E8E8"/>
          </w:tcPr>
          <w:p>
            <w:pPr>
              <w:pStyle w:val="Compact"/>
              <w:jc w:val="left"/>
            </w:pPr>
            <w:r>
              <w:rPr>
                <w:rFonts w:ascii="Calibri" w:hAnsi="Calibri"/>
                <w:sz w:val="18"/>
              </w:rPr>
              <w:t xml:space="preserve">Proveedor cloud</w:t>
            </w:r>
          </w:p>
        </w:tc>
        <w:tc>
          <w:tcPr>
            <w:shd w:val="clear" w:color="auto" w:fill="E8E8E8"/>
          </w:tcPr>
          <w:p>
            <w:pPr>
              <w:pStyle w:val="Compact"/>
              <w:jc w:val="left"/>
            </w:pPr>
            <w:r>
              <w:rPr>
                <w:rFonts w:ascii="Calibri" w:hAnsi="Calibri"/>
                <w:sz w:val="18"/>
              </w:rPr>
              <w:t xml:space="preserve">Neutral</w:t>
            </w:r>
          </w:p>
        </w:tc>
        <w:tc>
          <w:tcPr>
            <w:shd w:val="clear" w:color="auto" w:fill="E8E8E8"/>
          </w:tcPr>
          <w:p>
            <w:pPr>
              <w:pStyle w:val="Compact"/>
              <w:jc w:val="left"/>
            </w:pPr>
            <w:r>
              <w:rPr>
                <w:rFonts w:ascii="Calibri" w:hAnsi="Calibri"/>
                <w:sz w:val="18"/>
              </w:rPr>
              <w:t xml:space="preserve">Neutral</w:t>
            </w:r>
          </w:p>
        </w:tc>
        <w:tc>
          <w:tcPr>
            <w:shd w:val="clear" w:color="auto" w:fill="E8E8E8"/>
          </w:tcPr>
          <w:p>
            <w:pPr>
              <w:pStyle w:val="Compact"/>
              <w:jc w:val="left"/>
            </w:pPr>
            <w:r>
              <w:rPr>
                <w:rFonts w:ascii="Calibri" w:hAnsi="Calibri"/>
                <w:sz w:val="18"/>
              </w:rPr>
              <w:t xml:space="preserve">Sin brecha</w:t>
            </w:r>
          </w:p>
        </w:tc>
        <w:tc>
          <w:tcPr>
            <w:shd w:val="clear" w:color="auto" w:fill="E8E8E8"/>
          </w:tcPr>
          <w:p>
            <w:pPr>
              <w:pStyle w:val="Compact"/>
              <w:jc w:val="left"/>
            </w:pPr>
            <w:r>
              <w:rPr>
                <w:rFonts w:ascii="Calibri" w:hAnsi="Calibri"/>
                <w:sz w:val="18"/>
              </w:rPr>
              <w:t xml:space="preserve">Relación contractual; el proveedor cumple el SLA sin necesitar convicción sobre el valor del proyecto</w:t>
            </w:r>
          </w:p>
        </w:tc>
      </w:tr>
    </w:tbl>
    <w:p>
      <w:pPr>
        <w:pStyle w:val="BodyText"/>
      </w:pPr>
      <w:r>
        <w:rPr>
          <w:b/>
        </w:rPr>
        <w:t xml:space="preserve">Nota:</w:t>
      </w:r>
      <w:r>
        <w:t xml:space="preserve"> </w:t>
      </w:r>
      <w:r>
        <w:t xml:space="preserve">Las brechas de mayor prioridad son S3 (Admisiones, bloquea H4) y S8 (Estudiantes, validan usabilidad en H6). Estas brechas son las más críticas para el éxito del proyecto.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10 PMI: Gestión de los Stakeholders</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10 PMI: Gestión de los Stakeholders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SITPS-PMI-2026-10</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2026-05-18T22:26:37Z</dcterms:created>
  <dcterms:modified xsi:type="dcterms:W3CDTF">2026-05-18T22:26:37Z</dcterms:modified>
</cp:coreProperties>
</file>

<file path=docProps/custom.xml><?xml version="1.0" encoding="utf-8"?>
<Properties xmlns="http://schemas.openxmlformats.org/officeDocument/2006/custom-properties" xmlns:vt="http://schemas.openxmlformats.org/officeDocument/2006/docPropsVTypes"/>
</file>