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360"/>
      </w:tblGrid>
      <w:tr>
        <w:tc>
          <w:tcPr>
            <w:tcW w:type="dxa" w:w="9360"/>
            <w:shd w:val="clear" w:color="auto" w:fill="0E2841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200" w:after="80"/>
            </w:pPr>
            <w:r>
              <w:rPr>
                <w:rFonts w:ascii="Calibri" w:hAnsi="Calibri"/>
                <w:b/>
                <w:color w:val="FFFFFF"/>
                <w:sz w:val="36"/>
              </w:rPr>
              <w:t>Strategic IT Project Solutions</w:t>
            </w:r>
          </w:p>
          <w:p>
            <w:pPr>
              <w:spacing w:before="0" w:after="200"/>
            </w:pPr>
            <w:r>
              <w:rPr>
                <w:rFonts w:ascii="Calibri" w:hAnsi="Calibri"/>
                <w:b w:val="0"/>
                <w:color w:val="E97132"/>
                <w:sz w:val="22"/>
              </w:rPr>
              <w:t>Agile &amp; Project Management Advisory</w:t>
            </w:r>
          </w:p>
        </w:tc>
      </w:tr>
    </w:tbl>
    <w:p>
      <w:pPr>
        <w:spacing w:before="280" w:after="160"/>
        <w:jc w:val="center"/>
      </w:pPr>
      <w:r>
        <w:rPr>
          <w:rFonts w:ascii="Calibri" w:hAnsi="Calibri"/>
          <w:b/>
          <w:color w:val="AAAAAA"/>
          <w:sz w:val="18"/>
        </w:rPr>
        <w:t>SITPS-PMI-2026-14</w:t>
      </w:r>
    </w:p>
    <w:p>
      <w:pPr>
        <w:spacing w:before="0" w:after="240"/>
        <w:pBdr>
          <w:bottom w:val="single" w:sz="16" w:space="1" w:color="E97132"/>
        </w:pBdr>
      </w:pPr>
    </w:p>
    <w:p>
      <w:pPr>
        <w:spacing w:before="0" w:after="200"/>
        <w:jc w:val="center"/>
      </w:pPr>
      <w:r>
        <w:rPr>
          <w:rFonts w:ascii="Calibri" w:hAnsi="Calibri"/>
          <w:b/>
          <w:color w:val="0E2841"/>
          <w:sz w:val="44"/>
        </w:rPr>
        <w:t>SAFe y Skills Matrix: Declaración de No Aplicabilidad</w:t>
      </w:r>
    </w:p>
    <w:p>
      <w:pPr>
        <w:spacing w:before="0" w:after="80"/>
        <w:jc w:val="center"/>
      </w:pPr>
      <w:r>
        <w:rPr>
          <w:rFonts w:ascii="Calibri" w:hAnsi="Calibri"/>
          <w:b w:val="0"/>
          <w:color w:val="0E6251"/>
          <w:sz w:val="24"/>
        </w:rPr>
        <w:t>Sistema de Recomendación de Carrera Universitaria</w:t>
      </w:r>
    </w:p>
    <w:p>
      <w:pPr>
        <w:spacing w:before="0" w:after="280"/>
        <w:jc w:val="center"/>
      </w:pPr>
      <w:r>
        <w:rPr>
          <w:rFonts w:ascii="Calibri" w:hAnsi="Calibri"/>
          <w:b w:val="0"/>
          <w:color w:val="AAAAAA"/>
          <w:sz w:val="20"/>
        </w:rPr>
        <w:t>UVG Campus Central — 2026</w:t>
      </w:r>
    </w:p>
    <w:p>
      <w:pPr>
        <w:spacing w:before="0" w:after="240"/>
        <w:pBdr>
          <w:bottom w:val="single" w:sz="8" w:space="1" w:color="E8E8E8"/>
        </w:pBdr>
      </w:pPr>
    </w:p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1814"/>
        <w:gridCol w:w="7258"/>
      </w:tblGrid>
      <w:tr>
        <w:tc>
          <w:tcPr>
            <w:tcW w:w="1814" w:type="dx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AAAAAA"/>
                <w:sz w:val="20"/>
              </w:rPr>
              <w:t>Proyecto</w:t>
            </w:r>
          </w:p>
        </w:tc>
        <w:tc>
          <w:tcPr>
            <w:tcW w:w="7258" w:type="dxa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color w:val="0E2841"/>
                <w:sz w:val="20"/>
              </w:rPr>
              <w:t>Sistema de Recomendación Vocacional</w:t>
            </w:r>
          </w:p>
        </w:tc>
      </w:tr>
      <w:tr>
        <w:tc>
          <w:tcPr>
            <w:tcW w:w="1814" w:type="dx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AAAAAA"/>
                <w:sz w:val="20"/>
              </w:rPr>
              <w:t>Cliente</w:t>
            </w:r>
          </w:p>
        </w:tc>
        <w:tc>
          <w:tcPr>
            <w:tcW w:w="7258" w:type="dxa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color w:val="0E2841"/>
                <w:sz w:val="20"/>
              </w:rPr>
              <w:t>UVG Campus Central — Admisiones</w:t>
            </w:r>
          </w:p>
        </w:tc>
      </w:tr>
      <w:tr>
        <w:tc>
          <w:tcPr>
            <w:tcW w:w="1814" w:type="dx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AAAAAA"/>
                <w:sz w:val="20"/>
              </w:rPr>
              <w:t>Product Owner</w:t>
            </w:r>
          </w:p>
        </w:tc>
        <w:tc>
          <w:tcPr>
            <w:tcW w:w="7258" w:type="dxa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color w:val="0E2841"/>
                <w:sz w:val="20"/>
              </w:rPr>
              <w:t>Josué Say</w:t>
            </w:r>
          </w:p>
        </w:tc>
      </w:tr>
      <w:tr>
        <w:tc>
          <w:tcPr>
            <w:tcW w:w="1814" w:type="dx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AAAAAA"/>
                <w:sz w:val="20"/>
              </w:rPr>
              <w:t>Sponsor</w:t>
            </w:r>
          </w:p>
        </w:tc>
        <w:tc>
          <w:tcPr>
            <w:tcW w:w="7258" w:type="dxa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color w:val="0E2841"/>
                <w:sz w:val="20"/>
              </w:rPr>
              <w:t>Erick Oswaldo Marroquín Zamora</w:t>
            </w:r>
          </w:p>
        </w:tc>
      </w:tr>
      <w:tr>
        <w:tc>
          <w:tcPr>
            <w:tcW w:w="1814" w:type="dx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AAAAAA"/>
                <w:sz w:val="20"/>
              </w:rPr>
              <w:t>Fecha</w:t>
            </w:r>
          </w:p>
        </w:tc>
        <w:tc>
          <w:tcPr>
            <w:tcW w:w="7258" w:type="dxa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color w:val="0E2841"/>
                <w:sz w:val="20"/>
              </w:rPr>
              <w:t>Mayo 2026</w:t>
            </w:r>
          </w:p>
        </w:tc>
      </w:tr>
      <w:tr>
        <w:tc>
          <w:tcPr>
            <w:tcW w:w="1814" w:type="dx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AAAAAA"/>
                <w:sz w:val="20"/>
              </w:rPr>
              <w:t>Versión</w:t>
            </w:r>
          </w:p>
        </w:tc>
        <w:tc>
          <w:tcPr>
            <w:tcW w:w="7258" w:type="dxa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color w:val="0E2841"/>
                <w:sz w:val="20"/>
              </w:rPr>
              <w:t>1.0</w:t>
            </w:r>
          </w:p>
        </w:tc>
      </w:tr>
    </w:tbl>
    <w:p>
      <w:pPr>
        <w:spacing w:before="280" w:after="200"/>
        <w:pBdr>
          <w:bottom w:val="single" w:sz="16" w:space="1" w:color="E97132"/>
        </w:pBdr>
      </w:pPr>
    </w:p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360"/>
      </w:tblGrid>
      <w:tr>
        <w:tc>
          <w:tcPr>
            <w:tcW w:type="dxa" w:w="9360"/>
            <w:shd w:val="clear" w:color="auto" w:fill="E8E8E8"/>
            <w:tcBorders>
              <w:top w:val="none"/>
              <w:bottom w:val="none"/>
              <w:right w:val="none"/>
              <w:left w:val="single" w:sz="18" w:space="0" w:color="0E6251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>
            <w:pPr>
              <w:spacing w:before="120" w:after="120"/>
            </w:pPr>
            <w:r>
              <w:rPr>
                <w:rFonts w:ascii="Calibri" w:hAnsi="Calibri"/>
                <w:b/>
                <w:color w:val="0E2841"/>
                <w:sz w:val="20"/>
              </w:rPr>
              <w:t xml:space="preserve">Área PMI: </w:t>
            </w:r>
            <w:r>
              <w:rPr>
                <w:rFonts w:ascii="Calibri" w:hAnsi="Calibri"/>
                <w:b w:val="0"/>
                <w:color w:val="0E2841"/>
                <w:sz w:val="20"/>
              </w:rPr>
              <w:t>SAFe y Skills Matrix — Declaración de No Aplicabilidad</w:t>
            </w:r>
          </w:p>
        </w:tc>
      </w:tr>
    </w:tbl>
    <w:p>
      <w:pPr>
        <w:spacing w:before="400" w:after="0"/>
      </w:pPr>
    </w:p>
    <w:p>
      <w:pPr>
        <w:spacing w:before="0" w:after="80"/>
        <w:pBdr>
          <w:bottom w:val="single" w:sz="6" w:space="1" w:color="E8E8E8"/>
        </w:pBdr>
      </w:pPr>
    </w:p>
    <w:p>
      <w:pPr>
        <w:spacing w:before="80" w:after="0"/>
        <w:tabs>
          <w:tab w:val="right" w:pos="9360"/>
        </w:tabs>
      </w:pPr>
      <w:r>
        <w:rPr>
          <w:rFonts w:ascii="Calibri" w:hAnsi="Calibri"/>
          <w:b w:val="0"/>
          <w:color w:val="AAAAAA"/>
          <w:sz w:val="16"/>
        </w:rPr>
        <w:t>Documento de uso interno — Strategic IT Project Solutions</w:t>
      </w:r>
      <w:r>
        <w:rPr>
          <w:rFonts w:ascii="Calibri" w:hAnsi="Calibri"/>
          <w:b w:val="0"/>
          <w:color w:val="AAAAAA"/>
          <w:sz w:val="16"/>
        </w:rPr>
        <w:tab/>
        <w:t>SITPS-PMI-2026-14 — v1.0</w:t>
      </w:r>
    </w:p>
    <w:p>
      <w:r>
        <w:br w:type="page"/>
      </w:r>
    </w:p>
    <w:p>
      <w:pPr>
        <w:pStyle w:val="Heading1"/>
      </w:pPr>
      <w:bookmarkStart w:id="20" w:name="Xcbff13152f54915bacd5c9a7e103a3b428a8ba4"/>
      <w:r>
        <w:t xml:space="preserve">SAFe y Skills Matrix: Declaración de No Aplicabilidad</w:t>
      </w:r>
      <w:bookmarkEnd w:id="20"/>
    </w:p>
    <w:p>
      <w:pPr>
        <w:pStyle w:val="Heading2"/>
      </w:pPr>
      <w:bookmarkStart w:id="21" w:name="X2c544df3b99369195148a7da66d2daa70f95c6f"/>
      <w:r>
        <w:t xml:space="preserve">Declaración explícita: SAFe NO APLICA a este proyecto</w:t>
      </w:r>
      <w:bookmarkEnd w:id="21"/>
    </w:p>
    <w:p>
      <w:pPr>
        <w:pStyle w:val="FirstParagraph"/>
      </w:pPr>
      <w:r>
        <w:t xml:space="preserve">SAFe (Scaled Agile Framework) no aplica al Sistema de Recomendación de Carrera Universitaria para UVG Campus Central 2026. Esta declaración es explícita e intencional: no es un olvido ni una omisión por desconocimiento del framework. Es una decisión metodológica justificada.</w:t>
      </w:r>
    </w:p>
    <w:p>
      <w:pPr>
        <w:pStyle w:val="Heading2"/>
      </w:pPr>
      <w:bookmarkStart w:id="22" w:name="qué-es-safe-y-cuándo-aplica"/>
      <w:r>
        <w:t xml:space="preserve">Qué es SAFe y cuándo aplica</w:t>
      </w:r>
      <w:bookmarkEnd w:id="22"/>
    </w:p>
    <w:p>
      <w:pPr>
        <w:pStyle w:val="FirstParagraph"/>
      </w:pPr>
      <w:r>
        <w:t xml:space="preserve">SAFe (Scaled Agile Framework) es un framework de escalamiento ágil diseñado para organizaciones que ejecutan múltiples proyectos de software de forma simultánea con equipos interdependientes. Sus características definitorias son:</w:t>
      </w:r>
    </w:p>
    <w:p>
      <w:pPr>
        <w:numPr>
          <w:ilvl w:val="0"/>
          <w:numId w:val="1001"/>
        </w:numPr>
        <w:pStyle w:val="Compact"/>
      </w:pPr>
      <w:r>
        <w:t xml:space="preserve">Está diseñado para coordinar</w:t>
      </w:r>
      <w:r>
        <w:t xml:space="preserve"> </w:t>
      </w:r>
      <w:r>
        <w:rPr>
          <w:b/>
        </w:rPr>
        <w:t xml:space="preserve">múltiples equipos ágiles</w:t>
      </w:r>
      <w:r>
        <w:t xml:space="preserve"> </w:t>
      </w:r>
      <w:r>
        <w:t xml:space="preserve">que trabajan en el mismo producto o programa simultáneamente.</w:t>
      </w:r>
    </w:p>
    <w:p>
      <w:pPr>
        <w:numPr>
          <w:ilvl w:val="0"/>
          <w:numId w:val="1001"/>
        </w:numPr>
        <w:pStyle w:val="Compact"/>
      </w:pPr>
      <w:r>
        <w:t xml:space="preserve">Introduce el concepto de</w:t>
      </w:r>
      <w:r>
        <w:t xml:space="preserve"> </w:t>
      </w:r>
      <w:r>
        <w:rPr>
          <w:b/>
        </w:rPr>
        <w:t xml:space="preserve">ART (Agile Release Train)</w:t>
      </w:r>
      <w:r>
        <w:t xml:space="preserve">: un conjunto de entre 50 y 125 personas organizadas en múltiples equipos que planifican y entregan juntos en ciclos de PI (Program Increment) de 8–12 semanas.</w:t>
      </w:r>
    </w:p>
    <w:p>
      <w:pPr>
        <w:numPr>
          <w:ilvl w:val="0"/>
          <w:numId w:val="1001"/>
        </w:numPr>
        <w:pStyle w:val="Compact"/>
      </w:pPr>
      <w:r>
        <w:t xml:space="preserve">El</w:t>
      </w:r>
      <w:r>
        <w:t xml:space="preserve"> </w:t>
      </w:r>
      <w:r>
        <w:rPr>
          <w:b/>
        </w:rPr>
        <w:t xml:space="preserve">PI Planning</w:t>
      </w:r>
      <w:r>
        <w:t xml:space="preserve"> </w:t>
      </w:r>
      <w:r>
        <w:t xml:space="preserve">es la ceremonia central de SAFe: un evento de 2 días donde todos los equipos del ART sincronizan sus planes, identifican dependencias entre equipos y se comprometen con los objetivos del PI.</w:t>
      </w:r>
    </w:p>
    <w:p>
      <w:pPr>
        <w:numPr>
          <w:ilvl w:val="0"/>
          <w:numId w:val="1001"/>
        </w:numPr>
        <w:pStyle w:val="Compact"/>
      </w:pPr>
      <w:r>
        <w:t xml:space="preserve">SAFe tiene múltiples niveles de configuración: Essential SAFe (el mínimo), Large Solution SAFe, Portfolio SAFe y Full SAFe, cada uno añadiendo estructuras de gobernanza y coordinación adicionales.</w:t>
      </w:r>
    </w:p>
    <w:p>
      <w:pPr>
        <w:numPr>
          <w:ilvl w:val="0"/>
          <w:numId w:val="1001"/>
        </w:numPr>
        <w:pStyle w:val="Compact"/>
      </w:pPr>
      <w:r>
        <w:t xml:space="preserve">SAFe aplica cuando: la organización tiene 3 o más equipos ágiles interdependientes, hay problemas de alineación entre equipos, existe una cartera de productos que requiere gobernanza centralizada, o el alcance del programa supera lo que un solo equipo puede manejar.</w:t>
      </w:r>
    </w:p>
    <w:p>
      <w:pPr>
        <w:pStyle w:val="Heading2"/>
      </w:pPr>
      <w:bookmarkStart w:id="23" w:name="por-qué-safe-no-aplica-a-este-proyecto"/>
      <w:r>
        <w:t xml:space="preserve">Por qué SAFe no aplica a este proyecto</w:t>
      </w:r>
      <w:bookmarkEnd w:id="23"/>
    </w:p>
    <w:p>
      <w:pPr>
        <w:pStyle w:val="Heading3"/>
      </w:pPr>
      <w:bookmarkStart w:id="24" w:name="razón-1-tamaño-del-equipo"/>
      <w:r>
        <w:t xml:space="preserve">Razón 1 — Tamaño del equipo</w:t>
      </w:r>
      <w:bookmarkEnd w:id="24"/>
    </w:p>
    <w:p>
      <w:pPr>
        <w:pStyle w:val="FirstParagraph"/>
      </w:pPr>
      <w:r>
        <w:t xml:space="preserve">Este proyecto tiene</w:t>
      </w:r>
      <w:r>
        <w:t xml:space="preserve"> </w:t>
      </w:r>
      <w:r>
        <w:rPr>
          <w:b/>
        </w:rPr>
        <w:t xml:space="preserve">5 personas</w:t>
      </w:r>
      <w:r>
        <w:t xml:space="preserve"> </w:t>
      </w:r>
      <w:r>
        <w:t xml:space="preserve">organizadas en un</w:t>
      </w:r>
      <w:r>
        <w:t xml:space="preserve"> </w:t>
      </w:r>
      <w:r>
        <w:rPr>
          <w:b/>
        </w:rPr>
        <w:t xml:space="preserve">único equipo</w:t>
      </w:r>
      <w:r>
        <w:t xml:space="preserve"> </w:t>
      </w:r>
      <w:r>
        <w:t xml:space="preserve">con roles definidos: PO, SM y 3 developers. SAFe está diseñado para ART de entre 50 y 125 personas. Aplicar SAFe a 5 personas sería el equivalente metodológico de usar una excavadora para plantar un árbol en un jardín.</w:t>
      </w:r>
    </w:p>
    <w:p>
      <w:pPr>
        <w:pStyle w:val="Heading3"/>
      </w:pPr>
      <w:bookmarkStart w:id="25" w:name="razón-2-un-solo-equipo"/>
      <w:r>
        <w:t xml:space="preserve">Razón 2 — Un solo equipo</w:t>
      </w:r>
      <w:bookmarkEnd w:id="25"/>
    </w:p>
    <w:p>
      <w:pPr>
        <w:pStyle w:val="FirstParagraph"/>
      </w:pPr>
      <w:r>
        <w:t xml:space="preserve">SAFe resuelve el problema de</w:t>
      </w:r>
      <w:r>
        <w:t xml:space="preserve"> </w:t>
      </w:r>
      <w:r>
        <w:rPr>
          <w:b/>
        </w:rPr>
        <w:t xml:space="preserve">coordinación entre múltiples equipos</w:t>
      </w:r>
      <w:r>
        <w:t xml:space="preserve">. Si hay un solo equipo, no existe el problema que SAFe resuelve. La coordinación entre los 5 integrantes de este equipo se gestiona con las ceremonies de Scrum (Daily, Sprint Planning, Sprint Review, Sprint Retrospective) y el tablero Kanban/Scrumban.</w:t>
      </w:r>
    </w:p>
    <w:p>
      <w:pPr>
        <w:pStyle w:val="Heading3"/>
      </w:pPr>
      <w:bookmarkStart w:id="26" w:name="razón-3-alcance-definido-y-acotado"/>
      <w:r>
        <w:t xml:space="preserve">Razón 3 — Alcance definido y acotado</w:t>
      </w:r>
      <w:bookmarkEnd w:id="26"/>
    </w:p>
    <w:p>
      <w:pPr>
        <w:pStyle w:val="FirstParagraph"/>
      </w:pPr>
      <w:r>
        <w:t xml:space="preserve">Este proyecto tiene un alcance completamente definido: 6 épicas, 32 HU, 121 SP, 8 sprints. No hay múltiples productos ni múltiples programas que requieran coordinación de cartera. El Product Backlog de un solo equipo gestiona todo el alcance del proyecto.</w:t>
      </w:r>
    </w:p>
    <w:p>
      <w:pPr>
        <w:pStyle w:val="Heading3"/>
      </w:pPr>
      <w:bookmarkStart w:id="27" w:name="Xf2131e384aba5c6e66ef6f148dcb3ac4b0469f9"/>
      <w:r>
        <w:t xml:space="preserve">Razón 4 — Sobredimensionamiento metodológico injustificado</w:t>
      </w:r>
      <w:bookmarkEnd w:id="27"/>
    </w:p>
    <w:p>
      <w:pPr>
        <w:pStyle w:val="FirstParagraph"/>
      </w:pPr>
      <w:r>
        <w:t xml:space="preserve">Adoptar SAFe agregaría:</w:t>
      </w:r>
    </w:p>
    <w:p>
      <w:pPr>
        <w:numPr>
          <w:ilvl w:val="0"/>
          <w:numId w:val="1002"/>
        </w:numPr>
        <w:pStyle w:val="Compact"/>
      </w:pPr>
      <w:r>
        <w:t xml:space="preserve">Un PI Planning bimestral que duraría 2 días para un equipo de 5 personas (overhead desproporcionado).</w:t>
      </w:r>
    </w:p>
    <w:p>
      <w:pPr>
        <w:numPr>
          <w:ilvl w:val="0"/>
          <w:numId w:val="1002"/>
        </w:numPr>
        <w:pStyle w:val="Compact"/>
      </w:pPr>
      <w:r>
        <w:t xml:space="preserve">Roles SAFe adicionales (RTE — Release Train Engineer, Product Manager, Business Owners) que duplicarían responsabilidades ya cubiertas por PO y SM.</w:t>
      </w:r>
    </w:p>
    <w:p>
      <w:pPr>
        <w:numPr>
          <w:ilvl w:val="0"/>
          <w:numId w:val="1002"/>
        </w:numPr>
        <w:pStyle w:val="Compact"/>
      </w:pPr>
      <w:r>
        <w:t xml:space="preserve">Artefactos de programa (PI Objectives, Program Board, Milestones de ART) que no añaden valor a un proyecto de alcance fijo.</w:t>
      </w:r>
    </w:p>
    <w:p>
      <w:pPr>
        <w:numPr>
          <w:ilvl w:val="0"/>
          <w:numId w:val="1002"/>
        </w:numPr>
        <w:pStyle w:val="Compact"/>
      </w:pPr>
      <w:r>
        <w:t xml:space="preserve">Complejidad organizacional que el equipo tendría que aprender y mantener sin ningún beneficio de coordinación.</w:t>
      </w:r>
    </w:p>
    <w:p>
      <w:pPr>
        <w:pStyle w:val="Heading3"/>
      </w:pPr>
      <w:bookmarkStart w:id="28" w:name="X39006fbb2347ad39fc4cfd759433afd5e295625"/>
      <w:r>
        <w:t xml:space="preserve">Herramienta equivalente usada en su lugar</w:t>
      </w:r>
      <w:bookmarkEnd w:id="28"/>
    </w:p>
    <w:p>
      <w:pPr>
        <w:pStyle w:val="FirstParagraph"/>
      </w:pPr>
      <w:r>
        <w:t xml:space="preserve">Las necesidades de coordinación que SAFe resolvería en un contexto de múltiples equipos se resuelven en este proyecto con: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Matriz RACI</w:t>
      </w:r>
      <w:r>
        <w:t xml:space="preserve">: define quién hace qué en las actividades clave del proyecto. Ver SITPS-PMI-2026-06.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Roles Scrum claramente definidos</w:t>
      </w:r>
      <w:r>
        <w:t xml:space="preserve">: PO (priorización y representación del cliente), SM (facilitación y eliminación de impedimentos), Developers (implementación). No hay ambigüedad de roles que requiera la estructura de gobernanza de SAFe.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Ceremonies de Scrum</w:t>
      </w:r>
      <w:r>
        <w:t xml:space="preserve">: Daily Scrum, Sprint Planning, Sprint Review y Sprint Retrospective proveen toda la coordinación necesaria para un equipo de 5 personas.</w:t>
      </w:r>
    </w:p>
    <w:p>
      <w:pPr>
        <w:pStyle w:val="Heading2"/>
      </w:pPr>
      <w:bookmarkStart w:id="29" w:name="X9fb92f7a48c03475d587a882cb2138cdaab71ac"/>
      <w:r>
        <w:t xml:space="preserve">Skills Matrix: Declaración de No Aplicabilidad</w:t>
      </w:r>
      <w:bookmarkEnd w:id="29"/>
    </w:p>
    <w:p>
      <w:pPr>
        <w:pStyle w:val="FirstParagraph"/>
      </w:pPr>
      <w:r>
        <w:t xml:space="preserve">La Skills Matrix no aplica a este proyecto por la misma razón que SAFe.</w:t>
      </w:r>
    </w:p>
    <w:p>
      <w:pPr>
        <w:pStyle w:val="Heading3"/>
      </w:pPr>
      <w:bookmarkStart w:id="30" w:name="qué-es-la-skills-matrix-y-cuándo-aplica"/>
      <w:r>
        <w:t xml:space="preserve">Qué es la Skills Matrix y cuándo aplica</w:t>
      </w:r>
      <w:bookmarkEnd w:id="30"/>
    </w:p>
    <w:p>
      <w:pPr>
        <w:pStyle w:val="FirstParagraph"/>
      </w:pPr>
      <w:r>
        <w:t xml:space="preserve">La Skills Matrix es una herramienta de gestión de recursos humanos que mapea las habilidades de múltiples personas contra las competencias requeridas por múltiples proyectos o equipos. Permite a los gerentes de recursos identificar quién puede asumir qué rol en qué proyecto, detectar brechas de habilidades a nivel organizacional y planificar capacitaciones.</w:t>
      </w:r>
    </w:p>
    <w:p>
      <w:pPr>
        <w:pStyle w:val="BodyText"/>
      </w:pPr>
      <w:r>
        <w:t xml:space="preserve">La Skills Matrix aplica cuando: hay un pool de recursos compartidos entre múltiples proyectos, los roles no están fijos y el mismo developer puede ser asignado a diferentes equipos, o cuando la organización necesita planificar la capacitación de su fuerza laboral en múltiples competencias.</w:t>
      </w:r>
    </w:p>
    <w:p>
      <w:pPr>
        <w:pStyle w:val="Heading3"/>
      </w:pPr>
      <w:bookmarkStart w:id="31" w:name="por-qué-no-aplica-a-este-proyecto"/>
      <w:r>
        <w:t xml:space="preserve">Por qué no aplica a este proyecto</w:t>
      </w:r>
      <w:bookmarkEnd w:id="31"/>
    </w:p>
    <w:p>
      <w:pPr>
        <w:numPr>
          <w:ilvl w:val="0"/>
          <w:numId w:val="1004"/>
        </w:numPr>
        <w:pStyle w:val="Compact"/>
      </w:pPr>
      <w:r>
        <w:t xml:space="preserve">Los</w:t>
      </w:r>
      <w:r>
        <w:t xml:space="preserve"> </w:t>
      </w:r>
      <w:r>
        <w:rPr>
          <w:b/>
        </w:rPr>
        <w:t xml:space="preserve">5 integrantes del equipo tienen roles fijos</w:t>
      </w:r>
      <w:r>
        <w:t xml:space="preserve"> </w:t>
      </w:r>
      <w:r>
        <w:t xml:space="preserve">durante toda la Fase 2 (ene–abr 2027). No hay reasignación de personas entre equipos.</w:t>
      </w:r>
    </w:p>
    <w:p>
      <w:pPr>
        <w:numPr>
          <w:ilvl w:val="0"/>
          <w:numId w:val="1004"/>
        </w:numPr>
        <w:pStyle w:val="Compact"/>
      </w:pPr>
      <w:r>
        <w:t xml:space="preserve">No existe un</w:t>
      </w:r>
      <w:r>
        <w:t xml:space="preserve"> </w:t>
      </w:r>
      <w:r>
        <w:rPr>
          <w:b/>
        </w:rPr>
        <w:t xml:space="preserve">pool de recursos compartidos</w:t>
      </w:r>
      <w:r>
        <w:t xml:space="preserve">: el developer Cruz no es prestado a otro proyecto en el sprint 4. Los 5 miembros del equipo están dedicados a este proyecto con sus FTE declarados.</w:t>
      </w:r>
    </w:p>
    <w:p>
      <w:pPr>
        <w:numPr>
          <w:ilvl w:val="0"/>
          <w:numId w:val="1004"/>
        </w:numPr>
        <w:pStyle w:val="Compact"/>
      </w:pPr>
      <w:r>
        <w:t xml:space="preserve">La</w:t>
      </w:r>
      <w:r>
        <w:t xml:space="preserve"> </w:t>
      </w:r>
      <w:r>
        <w:rPr>
          <w:b/>
        </w:rPr>
        <w:t xml:space="preserve">asignación de responsabilidades</w:t>
      </w:r>
      <w:r>
        <w:t xml:space="preserve"> </w:t>
      </w:r>
      <w:r>
        <w:t xml:space="preserve">ya está completamente resuelta con la RACI documentada en SITPS-PMI-2026-06. Saber que Developer Chen tiene habilidades en seguridad y Developer Cruz tiene habilidades en arquitectura cloud no requiere una Skills Matrix: está documentado en la RACI y en las responsabilidades de cada rol.</w:t>
      </w:r>
    </w:p>
    <w:p>
      <w:pPr>
        <w:pStyle w:val="Heading3"/>
      </w:pPr>
      <w:bookmarkStart w:id="32" w:name="Xf80f8eb3ca2c962c420b9c08ebc650f2699626a"/>
      <w:r>
        <w:t xml:space="preserve">Herramienta equivalente usada en su lugar</w:t>
      </w:r>
      <w:bookmarkEnd w:id="32"/>
    </w:p>
    <w:p>
      <w:pPr>
        <w:pStyle w:val="FirstParagraph"/>
      </w:pPr>
      <w:r>
        <w:t xml:space="preserve">La asignación de responsabilidades técnicas se gestiona con la</w:t>
      </w:r>
      <w:r>
        <w:t xml:space="preserve"> </w:t>
      </w:r>
      <w:r>
        <w:rPr>
          <w:b/>
        </w:rPr>
        <w:t xml:space="preserve">Matriz RACI</w:t>
      </w:r>
      <w:r>
        <w:t xml:space="preserve"> </w:t>
      </w:r>
      <w:r>
        <w:t xml:space="preserve">documentada en SITPS-PMI-2026-06. La RACI provee exactamente lo que el proyecto necesita: quién es responsable, quién rinde cuentas, quién debe ser consultado y quién debe ser informado para cada actividad clave del proyecto.</w:t>
      </w:r>
    </w:p>
    <w:sectPr>
      <w:headerReference w:type="default" r:id="rId9"/>
      <w:footerReference w:type="default" r:id="rId10"/>
      <w:headerReference w:type="first" r:id="rId11"/>
      <w:footerReference w:type="first" r:id="rId12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80" w:after="0"/>
      <w:pBdr>
        <w:top w:val="single" w:sz="8" w:space="1" w:color="E97132"/>
      </w:pBdr>
      <w:tabs>
        <w:tab w:val="right" w:pos="9360"/>
      </w:tabs>
    </w:pPr>
    <w:r>
      <w:rPr>
        <w:rFonts w:ascii="Calibri" w:hAnsi="Calibri"/>
        <w:b w:val="0"/>
        <w:color w:val="AAAAAA"/>
        <w:sz w:val="16"/>
      </w:rPr>
      <w:t>SAFe y Skills Matrix: Declaración de No Aplicabilidad</w:t>
    </w:r>
    <w:r>
      <w:rPr>
        <w:rFonts w:ascii="Calibri" w:hAnsi="Calibri"/>
        <w:b w:val="0"/>
        <w:color w:val="AAAAAA"/>
        <w:sz w:val="16"/>
      </w:rPr>
      <w:tab/>
    </w:r>
    <w:r>
      <w:rPr>
        <w:rFonts w:ascii="Calibri" w:hAnsi="Calibri"/>
        <w:color w:val="AAAAAA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b w:val="0"/>
        <w:color w:val="AAAAAA"/>
        <w:sz w:val="16"/>
      </w:rPr>
      <w:t xml:space="preserve"> / </w:t>
    </w:r>
    <w:r>
      <w:rPr>
        <w:rFonts w:ascii="Calibri" w:hAnsi="Calibri"/>
        <w:color w:val="AAAAAA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80"/>
      <w:pBdr>
        <w:top w:val="single" w:sz="8" w:space="1" w:color="E97132"/>
      </w:pBdr>
    </w:pPr>
    <w:r>
      <w:rPr>
        <w:rFonts w:ascii="Calibri" w:hAnsi="Calibri"/>
        <w:b w:val="0"/>
        <w:color w:val="AAAAAA"/>
        <w:sz w:val="16"/>
      </w:rPr>
      <w:t>SAFe y Skills Matrix: Declaración de No Aplicabilidad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/>
      <w:shd w:val="clear" w:color="auto" w:fill="0E2841"/>
      <w:tabs>
        <w:tab w:val="right" w:pos="9360"/>
      </w:tabs>
    </w:pPr>
    <w:r>
      <w:rPr>
        <w:rFonts w:ascii="Calibri" w:hAnsi="Calibri"/>
        <w:b/>
        <w:color w:val="FFFFFF"/>
        <w:sz w:val="16"/>
      </w:rPr>
      <w:t xml:space="preserve">  SITPS-PMI-2026-14</w:t>
    </w:r>
    <w:r>
      <w:rPr>
        <w:rFonts w:ascii="Calibri" w:hAnsi="Calibri"/>
        <w:b w:val="0"/>
        <w:color w:val="FFFFFF"/>
        <w:sz w:val="16"/>
      </w:rPr>
      <w:tab/>
      <w:t xml:space="preserve">Strategic IT Project Solutions  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Calibri" w:hAnsi="Calibri"/>
      <w:b w:val="0"/>
      <w:color w:val="222233"/>
      <w:sz w:val="22"/>
    </w:rPr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2026-05-18T22:26:37Z</dcterms:created>
  <dcterms:modified xsi:type="dcterms:W3CDTF">2026-05-18T22:26:37Z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