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0E2841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200" w:after="80"/>
            </w:pPr>
            <w:r>
              <w:rPr>
                <w:rFonts w:ascii="Calibri" w:hAnsi="Calibri"/>
                <w:b/>
                <w:color w:val="FFFFFF"/>
                <w:sz w:val="36"/>
              </w:rPr>
              <w:t>Strategic IT Project Solutions</w:t>
            </w:r>
          </w:p>
          <w:p>
            <w:pPr>
              <w:spacing w:before="0" w:after="200"/>
            </w:pPr>
            <w:r>
              <w:rPr>
                <w:rFonts w:ascii="Calibri" w:hAnsi="Calibri"/>
                <w:b w:val="0"/>
                <w:color w:val="E97132"/>
                <w:sz w:val="22"/>
              </w:rPr>
              <w:t>Agile &amp; Project Management Advisory</w:t>
            </w:r>
          </w:p>
        </w:tc>
      </w:tr>
    </w:tbl>
    <w:p>
      <w:pPr>
        <w:spacing w:before="280" w:after="160"/>
        <w:jc w:val="center"/>
      </w:pPr>
      <w:r>
        <w:rPr>
          <w:rFonts w:ascii="Calibri" w:hAnsi="Calibri"/>
          <w:b/>
          <w:color w:val="AAAAAA"/>
          <w:sz w:val="18"/>
        </w:rPr>
        <w:t>SITPS-SBN-2026-01</w:t>
      </w:r>
    </w:p>
    <w:p>
      <w:pPr>
        <w:spacing w:before="0" w:after="240"/>
        <w:pBdr>
          <w:bottom w:val="single" w:sz="16" w:space="1" w:color="E97132"/>
        </w:pBdr>
      </w:pPr>
    </w:p>
    <w:p>
      <w:pPr>
        <w:spacing w:before="0" w:after="200"/>
        <w:jc w:val="center"/>
      </w:pPr>
      <w:r>
        <w:rPr>
          <w:rFonts w:ascii="Calibri" w:hAnsi="Calibri"/>
          <w:b/>
          <w:color w:val="0E2841"/>
          <w:sz w:val="44"/>
        </w:rPr>
        <w:t>BID y ROM en Scrumban</w:t>
      </w:r>
    </w:p>
    <w:p>
      <w:pPr>
        <w:spacing w:before="0" w:after="80"/>
        <w:jc w:val="center"/>
      </w:pPr>
      <w:r>
        <w:rPr>
          <w:rFonts w:ascii="Calibri" w:hAnsi="Calibri"/>
          <w:b w:val="0"/>
          <w:color w:val="0E6251"/>
          <w:sz w:val="24"/>
        </w:rPr>
        <w:t>Sistema de Recomendación de Carrera Universitaria</w:t>
      </w:r>
    </w:p>
    <w:p>
      <w:pPr>
        <w:spacing w:before="0" w:after="280"/>
        <w:jc w:val="center"/>
      </w:pPr>
      <w:r>
        <w:rPr>
          <w:rFonts w:ascii="Calibri" w:hAnsi="Calibri"/>
          <w:b w:val="0"/>
          <w:color w:val="AAAAAA"/>
          <w:sz w:val="20"/>
        </w:rPr>
        <w:t>UVG Campus Central — 2026</w:t>
      </w:r>
    </w:p>
    <w:p>
      <w:pPr>
        <w:spacing w:before="0" w:after="240"/>
        <w:pBdr>
          <w:bottom w:val="single" w:sz="8" w:space="1" w:color="E8E8E8"/>
        </w:pBdr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1814"/>
        <w:gridCol w:w="7258"/>
      </w:tblGrid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Proyecto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Sistema de Recomendación Vocacional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Cliente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UVG Campus Central — Admisiones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Product Owner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Josué Say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Sponsor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Erick Oswaldo Marroquín Zamora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Fecha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Mayo 2026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Versión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1.0</w:t>
            </w:r>
          </w:p>
        </w:tc>
      </w:tr>
    </w:tbl>
    <w:p>
      <w:pPr>
        <w:spacing w:before="280" w:after="200"/>
        <w:pBdr>
          <w:bottom w:val="single" w:sz="16" w:space="1" w:color="E97132"/>
        </w:pBdr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E8E8E8"/>
            <w:tcBorders>
              <w:top w:val="none"/>
              <w:bottom w:val="none"/>
              <w:right w:val="none"/>
              <w:left w:val="single" w:sz="18" w:space="0" w:color="0E6251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0E2841"/>
                <w:sz w:val="20"/>
              </w:rPr>
              <w:t xml:space="preserve">Área PMI: </w:t>
            </w:r>
            <w:r>
              <w:rPr>
                <w:rFonts w:ascii="Calibri" w:hAnsi="Calibri"/>
                <w:b w:val="0"/>
                <w:color w:val="0E2841"/>
                <w:sz w:val="20"/>
              </w:rPr>
              <w:t>Marco de Proceso — Scrumban</w:t>
            </w:r>
          </w:p>
        </w:tc>
      </w:tr>
    </w:tbl>
    <w:p>
      <w:pPr>
        <w:spacing w:before="400" w:after="0"/>
      </w:pPr>
    </w:p>
    <w:p>
      <w:pPr>
        <w:spacing w:before="0" w:after="80"/>
        <w:pBdr>
          <w:bottom w:val="single" w:sz="6" w:space="1" w:color="E8E8E8"/>
        </w:pBdr>
      </w:pPr>
    </w:p>
    <w:p>
      <w:pPr>
        <w:spacing w:before="80" w:after="0"/>
        <w:tabs>
          <w:tab w:val="right" w:pos="9360"/>
        </w:tabs>
      </w:pPr>
      <w:r>
        <w:rPr>
          <w:rFonts w:ascii="Calibri" w:hAnsi="Calibri"/>
          <w:b w:val="0"/>
          <w:color w:val="AAAAAA"/>
          <w:sz w:val="16"/>
        </w:rPr>
        <w:t>Documento de uso interno — Strategic IT Project Solutions</w:t>
      </w:r>
      <w:r>
        <w:rPr>
          <w:rFonts w:ascii="Calibri" w:hAnsi="Calibri"/>
          <w:b w:val="0"/>
          <w:color w:val="AAAAAA"/>
          <w:sz w:val="16"/>
        </w:rPr>
        <w:tab/>
        <w:t>SITPS-SBN-2026-01 — v1.0</w:t>
      </w:r>
    </w:p>
    <w:p>
      <w:r>
        <w:br w:type="page"/>
      </w:r>
    </w:p>
    <w:p>
      <w:pPr>
        <w:pStyle w:val="Heading1"/>
      </w:pPr>
      <w:bookmarkStart w:id="20" w:name="bid-y-rom-en-scrumban"/>
      <w:r>
        <w:t xml:space="preserve">BID y ROM en Scrumban</w:t>
      </w:r>
      <w:bookmarkEnd w:id="20"/>
    </w:p>
    <w:p>
      <w:pPr>
        <w:pStyle w:val="Heading2"/>
      </w:pPr>
      <w:bookmarkStart w:id="21" w:name="definición-de-bid-y-rom"/>
      <w:r>
        <w:t xml:space="preserve">Definición de BID y ROM</w:t>
      </w:r>
      <w:bookmarkEnd w:id="21"/>
    </w:p>
    <w:p>
      <w:pPr>
        <w:pStyle w:val="Heading3"/>
      </w:pPr>
      <w:bookmarkStart w:id="22" w:name="bid-build-trabajo-planificado"/>
      <w:r>
        <w:t xml:space="preserve">BID — Build / Trabajo planificado</w:t>
      </w:r>
      <w:bookmarkEnd w:id="22"/>
    </w:p>
    <w:p>
      <w:pPr>
        <w:pStyle w:val="FirstParagraph"/>
      </w:pPr>
      <w:r>
        <w:t xml:space="preserve">BID (Build, Innovation and Disruptive) es el trabajo planificado que el equipo compromete en el Sprint Planning. Corresponde al desarrollo de nuevas funcionalidades, épicas e historias de usuario que están priorizadas en el Product Backlog antes del inicio del sprint. El BID es predecible, estimable y forma el núcleo del Sprint Goal.</w:t>
      </w:r>
    </w:p>
    <w:p>
      <w:pPr>
        <w:pStyle w:val="BodyText"/>
      </w:pPr>
      <w:r>
        <w:t xml:space="preserve">Características del trabajo BID:</w:t>
      </w:r>
    </w:p>
    <w:p>
      <w:pPr>
        <w:numPr>
          <w:ilvl w:val="0"/>
          <w:numId w:val="1001"/>
        </w:numPr>
        <w:pStyle w:val="Compact"/>
      </w:pPr>
      <w:r>
        <w:t xml:space="preserve">Está definido antes del inicio del sprint.</w:t>
      </w:r>
    </w:p>
    <w:p>
      <w:pPr>
        <w:numPr>
          <w:ilvl w:val="0"/>
          <w:numId w:val="1001"/>
        </w:numPr>
        <w:pStyle w:val="Compact"/>
      </w:pPr>
      <w:r>
        <w:t xml:space="preserve">Tiene criterios de aceptación acordados con el PO en el Planning.</w:t>
      </w:r>
    </w:p>
    <w:p>
      <w:pPr>
        <w:numPr>
          <w:ilvl w:val="0"/>
          <w:numId w:val="1001"/>
        </w:numPr>
        <w:pStyle w:val="Compact"/>
      </w:pPr>
      <w:r>
        <w:t xml:space="preserve">Se estima en Story Points durante el Planning.</w:t>
      </w:r>
    </w:p>
    <w:p>
      <w:pPr>
        <w:numPr>
          <w:ilvl w:val="0"/>
          <w:numId w:val="1001"/>
        </w:numPr>
        <w:pStyle w:val="Compact"/>
      </w:pPr>
      <w:r>
        <w:t xml:space="preserve">Forma el 80% de la capacidad comprometida del sprint en este proyecto.</w:t>
      </w:r>
    </w:p>
    <w:p>
      <w:pPr>
        <w:pStyle w:val="Heading3"/>
      </w:pPr>
      <w:bookmarkStart w:id="23" w:name="rom-run-trabajo-no-planificado"/>
      <w:r>
        <w:t xml:space="preserve">ROM — Run / Trabajo no planificado</w:t>
      </w:r>
      <w:bookmarkEnd w:id="23"/>
    </w:p>
    <w:p>
      <w:pPr>
        <w:pStyle w:val="FirstParagraph"/>
      </w:pPr>
      <w:r>
        <w:t xml:space="preserve">ROM (Run, Operate and Maintain) es el trabajo que no estaba planificado al inicio del sprint y que surge durante la iteración. Puede ser una corrección de defecto descubierto en producción o en testing, un ajuste solicitado por el cliente, una urgencia técnica no anticipada o una tarea de configuración o soporte que emerge durante el sprint.</w:t>
      </w:r>
    </w:p>
    <w:p>
      <w:pPr>
        <w:pStyle w:val="BodyText"/>
      </w:pPr>
      <w:r>
        <w:t xml:space="preserve">Características del trabajo ROM:</w:t>
      </w:r>
    </w:p>
    <w:p>
      <w:pPr>
        <w:numPr>
          <w:ilvl w:val="0"/>
          <w:numId w:val="1002"/>
        </w:numPr>
        <w:pStyle w:val="Compact"/>
      </w:pPr>
      <w:r>
        <w:t xml:space="preserve">No estaba en el Sprint Backlog al inicio del sprint.</w:t>
      </w:r>
    </w:p>
    <w:p>
      <w:pPr>
        <w:numPr>
          <w:ilvl w:val="0"/>
          <w:numId w:val="1002"/>
        </w:numPr>
        <w:pStyle w:val="Compact"/>
      </w:pPr>
      <w:r>
        <w:t xml:space="preserve">Surge durante la iteración y requiere atención en el sprint actual.</w:t>
      </w:r>
    </w:p>
    <w:p>
      <w:pPr>
        <w:numPr>
          <w:ilvl w:val="0"/>
          <w:numId w:val="1002"/>
        </w:numPr>
        <w:pStyle w:val="Compact"/>
      </w:pPr>
      <w:r>
        <w:t xml:space="preserve">Requiere aprobación explícita del PO antes de ingresar al tablero.</w:t>
      </w:r>
    </w:p>
    <w:p>
      <w:pPr>
        <w:numPr>
          <w:ilvl w:val="0"/>
          <w:numId w:val="1002"/>
        </w:numPr>
        <w:pStyle w:val="Compact"/>
      </w:pPr>
      <w:r>
        <w:t xml:space="preserve">Debe ingresar dentro de los límites WIP disponibles.</w:t>
      </w:r>
    </w:p>
    <w:p>
      <w:pPr>
        <w:numPr>
          <w:ilvl w:val="0"/>
          <w:numId w:val="1002"/>
        </w:numPr>
        <w:pStyle w:val="Compact"/>
      </w:pPr>
      <w:r>
        <w:t xml:space="preserve">Forma el umbral del 20% de capacidad reservada del sprint en este proyecto.</w:t>
      </w:r>
    </w:p>
    <w:p>
      <w:pPr>
        <w:pStyle w:val="Heading2"/>
      </w:pPr>
      <w:bookmarkStart w:id="24" w:name="distribución-declarada-para-el-proyecto"/>
      <w:r>
        <w:t xml:space="preserve">Distribución declarada para el proyecto</w:t>
      </w:r>
      <w:bookmarkEnd w:id="24"/>
    </w:p>
    <w:tbl>
      <w:tblPr>
        <w:tblStyle w:val="Table"/>
        <w:tblW w:type="pct" w:w="0.0"/>
        <w:tblLook w:firstRow="1"/>
        <w:tblBorders>
          <w:top w:val="single" w:sz="4" w:space="0" w:color="0E6251"/>
          <w:left w:val="single" w:sz="4" w:space="0" w:color="0E6251"/>
          <w:bottom w:val="single" w:sz="4" w:space="0" w:color="0E6251"/>
          <w:right w:val="single" w:sz="4" w:space="0" w:color="0E6251"/>
          <w:insideH w:val="single" w:sz="4" w:space="0" w:color="0E6251"/>
          <w:insideV w:val="single" w:sz="4" w:space="0" w:color="0E6251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Porcentaje de la capacidad del sprint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SP por sprint (base 20 SP)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BID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80%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16 SP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ROM (umbral incluido)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20%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 SP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Total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100%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20 SP</w:t>
            </w:r>
          </w:p>
        </w:tc>
      </w:tr>
    </w:tbl>
    <w:p>
      <w:pPr>
        <w:pStyle w:val="Heading2"/>
      </w:pPr>
      <w:bookmarkStart w:id="25" w:name="X5b2470d4fc01a302f486c8387de14605c025b79"/>
      <w:r>
        <w:t xml:space="preserve">Justificación del 80/20 para este proyecto</w:t>
      </w:r>
      <w:bookmarkEnd w:id="25"/>
    </w:p>
    <w:p>
      <w:pPr>
        <w:pStyle w:val="FirstParagraph"/>
      </w:pPr>
      <w:r>
        <w:t xml:space="preserve">La proporción típica que enseña el curso es 70/30 (70% BID, 30% ROM). Para este proyecto se adopta 80/20. Esta decisión tiene cuatro justificaciones específicas al contexto:</w:t>
      </w:r>
    </w:p>
    <w:p>
      <w:pPr>
        <w:pStyle w:val="Heading3"/>
      </w:pPr>
      <w:bookmarkStart w:id="26" w:name="Xa13a0509abc0e57ead37cf170efdfc7987545af"/>
      <w:r>
        <w:t xml:space="preserve">Justificación 1: Sistema desarrollado desde cero sin deuda técnica heredada</w:t>
      </w:r>
      <w:bookmarkEnd w:id="26"/>
    </w:p>
    <w:p>
      <w:pPr>
        <w:pStyle w:val="FirstParagraph"/>
      </w:pPr>
      <w:r>
        <w:t xml:space="preserve">El Sistema de Recomendación de Carrera Universitaria para UVG se construye desde cero. No hay base de código preexistente, no hay integraciones legacy heredadas y no hay deuda técnica acumulada de un sistema anterior. El equipo controla el alcance completo desde el inicio.</w:t>
      </w:r>
    </w:p>
    <w:p>
      <w:pPr>
        <w:pStyle w:val="BodyText"/>
      </w:pPr>
      <w:r>
        <w:t xml:space="preserve">En proyectos con sistemas existentes, la deuda técnica y los defectos del sistema en operación generan un volumen de trabajo ROM constante y difícilmente controlable. En este proyecto, ese componente es mínimo porque no hay sistema en producción al que dar soporte durante el desarrollo.</w:t>
      </w:r>
    </w:p>
    <w:p>
      <w:pPr>
        <w:pStyle w:val="Heading3"/>
      </w:pPr>
      <w:bookmarkStart w:id="27" w:name="X01fa05d106e723341765389f123934a83606d36"/>
      <w:r>
        <w:t xml:space="preserve">Justificación 2: Cliente institucional con requerimientos documentados y estables</w:t>
      </w:r>
      <w:bookmarkEnd w:id="27"/>
    </w:p>
    <w:p>
      <w:pPr>
        <w:pStyle w:val="FirstParagraph"/>
      </w:pPr>
      <w:r>
        <w:t xml:space="preserve">El cliente es la propia institución educativa (UVG) con el pensum 2026 ya definido y los requerimientos del sistema documentados antes del inicio del proyecto. UVG no es un cliente externo con cambios frecuentes de prioridad ni urgencias externas recurrentes derivadas de dinámicas de mercado.</w:t>
      </w:r>
    </w:p>
    <w:p>
      <w:pPr>
        <w:pStyle w:val="BodyText"/>
      </w:pPr>
      <w:r>
        <w:t xml:space="preserve">La estabilidad de los requerimientos reduce la probabilidad de solicitudes ROM de alto impacto durante el sprint. Las solicitudes que puedan llegar son ajustes de detalle o clarificaciones, no cambios de alcance que generen trabajo de varios SP.</w:t>
      </w:r>
    </w:p>
    <w:p>
      <w:pPr>
        <w:pStyle w:val="Heading3"/>
      </w:pPr>
      <w:bookmarkStart w:id="28" w:name="Xcee2d7732f45e1ad4191505f37a5c6d0b9c4262"/>
      <w:r>
        <w:t xml:space="preserve">Justificación 3: Incertidumbre técnica concentrada y no distribuida</w:t>
      </w:r>
      <w:bookmarkEnd w:id="28"/>
    </w:p>
    <w:p>
      <w:pPr>
        <w:pStyle w:val="FirstParagraph"/>
      </w:pPr>
      <w:r>
        <w:t xml:space="preserve">Las épicas EP04 (Motor de recomendación) y EP05 (Análisis de afinidad) concentran las tareas de mayor duración estimada del proyecto (hasta 10 días por tarea) y la mayor incertidumbre técnica. El trabajo no planificado derivado de esta incertidumbre se concentra en los sprints S5 y S6, no se distribuye uniformemente a lo largo de los 8 sprints.</w:t>
      </w:r>
    </w:p>
    <w:p>
      <w:pPr>
        <w:pStyle w:val="BodyText"/>
      </w:pPr>
      <w:r>
        <w:t xml:space="preserve">Adoptar 70/30 durante todos los sprints sacrificaría 2 SP adicionales de BID por sprint en iteraciones (S1, S2, S3, S4) donde la probabilidad de trabajo ROM es baja. El 80/20 es más eficiente: los sprints con baja incertidumbre operan a plena capacidad BID; si los sprints de alta incertidumbre necesitan más ROM, el PO puede activar el proceso de cargo adicional.</w:t>
      </w:r>
    </w:p>
    <w:p>
      <w:pPr>
        <w:pStyle w:val="Heading3"/>
      </w:pPr>
      <w:bookmarkStart w:id="29" w:name="X4787d0cc7a99da5b43d15fe7545702b53bdcbd1"/>
      <w:r>
        <w:t xml:space="preserve">Justificación 4: Componente de soporte mínimo durante el desarrollo</w:t>
      </w:r>
      <w:bookmarkEnd w:id="29"/>
    </w:p>
    <w:p>
      <w:pPr>
        <w:pStyle w:val="FirstParagraph"/>
      </w:pPr>
      <w:r>
        <w:t xml:space="preserve">La proporción 70/30 es típica para proyectos que desarrollan software nuevo al mismo tiempo que mantienen un sistema existente en producción. En ese contexto, el 30% ROM refleja el soporte activo al sistema en operación.</w:t>
      </w:r>
    </w:p>
    <w:p>
      <w:pPr>
        <w:pStyle w:val="BodyText"/>
      </w:pPr>
      <w:r>
        <w:t xml:space="preserve">En este proyecto no hay sistema en producción durante la fase de desarrollo. El componente de soporte es mínimo y no justifica reservar el 30% de la capacidad como umbral ROM en todos los sprints. El 20% es suficiente para absorber los ajustes no planificados esperados.</w:t>
      </w:r>
    </w:p>
    <w:p>
      <w:pPr>
        <w:pStyle w:val="Heading2"/>
      </w:pPr>
      <w:bookmarkStart w:id="30" w:name="cuándo-usar-7030-vs-8020"/>
      <w:r>
        <w:t xml:space="preserve">Cuándo usar 70/30 vs 80/20</w:t>
      </w:r>
      <w:bookmarkEnd w:id="30"/>
    </w:p>
    <w:tbl>
      <w:tblPr>
        <w:tblStyle w:val="Table"/>
        <w:tblW w:type="pct" w:w="5000.0"/>
        <w:tblLook w:firstRow="1"/>
        <w:tblBorders>
          <w:top w:val="single" w:sz="4" w:space="0" w:color="0E6251"/>
          <w:left w:val="single" w:sz="4" w:space="0" w:color="0E6251"/>
          <w:bottom w:val="single" w:sz="4" w:space="0" w:color="0E6251"/>
          <w:right w:val="single" w:sz="4" w:space="0" w:color="0E6251"/>
          <w:insideH w:val="single" w:sz="4" w:space="0" w:color="0E6251"/>
          <w:insideV w:val="single" w:sz="4" w:space="0" w:color="0E6251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Condición del proyecto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Proporción recomendada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Sistema existente en producción con soporte activo durante el desarrollo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70/30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Alta frecuencia de cambios de prioridad por parte del cliente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70/30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Deuda técnica heredada significativa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70/30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Múltiples clientes externos con urgencias no coordinadas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70/30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Sistema desarrollado desde cero sin base de código preexistente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80/20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Cliente institucional con requerimientos documentados y estables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80/20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Incertidumbre técnica concentrada en sprints específicos, no distribuida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80/20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Sin sistema en producción durante la fase de desarrollo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80/20</w:t>
            </w:r>
          </w:p>
        </w:tc>
      </w:tr>
    </w:tbl>
    <w:p>
      <w:pPr>
        <w:pStyle w:val="BodyText"/>
      </w:pPr>
      <w:r>
        <w:t xml:space="preserve">La decisión de 70/30 vs 80/20 no es ideológica: es una calibración basada en el volumen real esperado de trabajo no planificado. Si durante el proyecto el ROM real supera consistentemente el 20%, el equipo y el PO revisan la proporción y pueden ajustarla a 70/30 para los sprints restantes.</w:t>
      </w:r>
    </w:p>
    <w:p>
      <w:pPr>
        <w:pStyle w:val="Heading2"/>
      </w:pPr>
      <w:bookmarkStart w:id="31" w:name="cómo-opera-el-umbral-rom-en-la-práctica"/>
      <w:r>
        <w:t xml:space="preserve">Cómo opera el umbral ROM en la práctica</w:t>
      </w:r>
      <w:bookmarkEnd w:id="31"/>
    </w:p>
    <w:p>
      <w:pPr>
        <w:pStyle w:val="Heading3"/>
      </w:pPr>
      <w:bookmarkStart w:id="32" w:name="qué-entra-como-rom"/>
      <w:r>
        <w:t xml:space="preserve">Qué entra como ROM</w:t>
      </w:r>
      <w:bookmarkEnd w:id="32"/>
    </w:p>
    <w:p>
      <w:pPr>
        <w:numPr>
          <w:ilvl w:val="0"/>
          <w:numId w:val="1003"/>
        </w:numPr>
        <w:pStyle w:val="Compact"/>
      </w:pPr>
      <w:r>
        <w:t xml:space="preserve">Defectos descubiertos en testing de un sprint anterior que no fueron identificados en el DoD.</w:t>
      </w:r>
    </w:p>
    <w:p>
      <w:pPr>
        <w:numPr>
          <w:ilvl w:val="0"/>
          <w:numId w:val="1003"/>
        </w:numPr>
        <w:pStyle w:val="Compact"/>
      </w:pPr>
      <w:r>
        <w:t xml:space="preserve">Ajustes técnicos necesarios para que una funcionalidad BID ya desarrollada funcione correctamente con otra parte del sistema.</w:t>
      </w:r>
    </w:p>
    <w:p>
      <w:pPr>
        <w:numPr>
          <w:ilvl w:val="0"/>
          <w:numId w:val="1003"/>
        </w:numPr>
        <w:pStyle w:val="Compact"/>
      </w:pPr>
      <w:r>
        <w:t xml:space="preserve">Solicitudes de clarificación que requieren trabajo técnico concreto (no solo responder una pregunta).</w:t>
      </w:r>
    </w:p>
    <w:p>
      <w:pPr>
        <w:numPr>
          <w:ilvl w:val="0"/>
          <w:numId w:val="1003"/>
        </w:numPr>
        <w:pStyle w:val="Compact"/>
      </w:pPr>
      <w:r>
        <w:t xml:space="preserve">Tareas de configuración de entorno o infraestructura que surgieron durante el sprint y bloquean trabajo BID.</w:t>
      </w:r>
    </w:p>
    <w:p>
      <w:pPr>
        <w:numPr>
          <w:ilvl w:val="0"/>
          <w:numId w:val="1003"/>
        </w:numPr>
        <w:pStyle w:val="Compact"/>
      </w:pPr>
      <w:r>
        <w:t xml:space="preserve">Correcciones de datos o configuración solicitadas por UVG relacionadas con el sistema en desarrollo.</w:t>
      </w:r>
    </w:p>
    <w:p>
      <w:pPr>
        <w:pStyle w:val="Heading3"/>
      </w:pPr>
      <w:bookmarkStart w:id="33" w:name="qué-no-entra-como-rom"/>
      <w:r>
        <w:t xml:space="preserve">Qué no entra como ROM</w:t>
      </w:r>
      <w:bookmarkEnd w:id="33"/>
    </w:p>
    <w:p>
      <w:pPr>
        <w:numPr>
          <w:ilvl w:val="0"/>
          <w:numId w:val="1004"/>
        </w:numPr>
        <w:pStyle w:val="Compact"/>
      </w:pPr>
      <w:r>
        <w:t xml:space="preserve">Expansión de alcance: funcionalidades nuevas que el cliente quiere agregar durante el sprint. Estas van al Product Backlog y se priorizan para el siguiente sprint. No son trabajo ROM; son BID diferido.</w:t>
      </w:r>
    </w:p>
    <w:p>
      <w:pPr>
        <w:numPr>
          <w:ilvl w:val="0"/>
          <w:numId w:val="1004"/>
        </w:numPr>
        <w:pStyle w:val="Compact"/>
      </w:pPr>
      <w:r>
        <w:t xml:space="preserve">Nuevas épicas o historias de usuario que no estaban en el alcance original del proyecto. Estas requieren negociación de alcance y no pueden absorberse por el canal ROM.</w:t>
      </w:r>
    </w:p>
    <w:p>
      <w:pPr>
        <w:numPr>
          <w:ilvl w:val="0"/>
          <w:numId w:val="1004"/>
        </w:numPr>
        <w:pStyle w:val="Compact"/>
      </w:pPr>
      <w:r>
        <w:t xml:space="preserve">Trabajo que debería haberse planificado en el Sprint Planning pero se olvidó. Si la tarea era predecible al inicio del sprint, no es ROM; es una falla de planificación que se resuelve en la Retrospectiva.</w:t>
      </w:r>
    </w:p>
    <w:p>
      <w:pPr>
        <w:numPr>
          <w:ilvl w:val="0"/>
          <w:numId w:val="1004"/>
        </w:numPr>
        <w:pStyle w:val="Compact"/>
      </w:pPr>
      <w:r>
        <w:t xml:space="preserve">Requerimientos que cambian de forma fundamental la arquitectura del sistema. Estos requieren una decisión de alcance formal entre el PO y UVG.</w:t>
      </w:r>
    </w:p>
    <w:p>
      <w:pPr>
        <w:pStyle w:val="Heading2"/>
      </w:pPr>
      <w:bookmarkStart w:id="34" w:name="X1ac763decb61e1085ec9deed0aa54b5532aca18"/>
      <w:r>
        <w:t xml:space="preserve">Clasificación de interrupciones: operativas ROM vs expansión de alcance</w:t>
      </w:r>
      <w:bookmarkEnd w:id="34"/>
    </w:p>
    <w:tbl>
      <w:tblPr>
        <w:tblStyle w:val="Table"/>
        <w:tblW w:type="pct" w:w="5000.0"/>
        <w:tblLook w:firstRow="1"/>
        <w:tblBorders>
          <w:top w:val="single" w:sz="4" w:space="0" w:color="0E6251"/>
          <w:left w:val="single" w:sz="4" w:space="0" w:color="0E6251"/>
          <w:bottom w:val="single" w:sz="4" w:space="0" w:color="0E6251"/>
          <w:right w:val="single" w:sz="4" w:space="0" w:color="0E6251"/>
          <w:insideH w:val="single" w:sz="4" w:space="0" w:color="0E6251"/>
          <w:insideV w:val="single" w:sz="4" w:space="0" w:color="0E6251"/>
        </w:tblBorders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Tipo de solicitud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Clasificación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Canal de entrada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Defecto encontrado en el sistema en desarrollo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ROM operativo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Canal ROM, aprobación del PO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Ajuste de funcionalidad ya desarrollada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ROM operativo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Canal ROM, aprobación del PO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Nueva funcionalidad solicitada durante el sprint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Expansión de alcance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Product Backlog; no entra como ROM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Cambio de requerimiento que afecta el diseño arquitectónico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Expansión de alcance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Negociación de alcance formal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Tarea de configuración técnica no anticipada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ROM operativo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Canal ROM, aprobación del PO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Historia de usuario nueva que el cliente quiere en el sprint actual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Expansión de alcance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Product Backlog; si es urgente, negociar remoción de BID</w:t>
            </w:r>
          </w:p>
        </w:tc>
      </w:tr>
    </w:tbl>
    <w:p>
      <w:pPr>
        <w:pStyle w:val="BodyText"/>
      </w:pPr>
      <w:r>
        <w:t xml:space="preserve">La distinción es clave para proteger el canal ROM de un uso incorrecto: si cualquier solicitud del cliente se clasifica como ROM, el umbral se agota rápidamente con trabajo que no es operativo sino de alcance, y el equipo no tiene capacidad para responder a las verdaderas urgencias técnicas del sprint.</w:t>
      </w:r>
    </w:p>
    <w:p>
      <w:pPr>
        <w:pStyle w:val="BodyText"/>
      </w:pPr>
      <w:r>
        <w:t xml:space="preserve">El PO es el responsable de hacer esta clasificación en el momento en que llega la solicitud. El Facilitador puede apoyar con la clasificación técnica, pero la decisión final es del PO.</w:t>
      </w:r>
    </w:p>
    <w:sectPr>
      <w:headerReference w:type="default" r:id="rId9"/>
      <w:footerReference w:type="default" r:id="rId10"/>
      <w:headerReference w:type="first" r:id="rId11"/>
      <w:footerReference w:type="first" r:id="rId12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pBdr>
        <w:top w:val="single" w:sz="8" w:space="1" w:color="E97132"/>
      </w:pBdr>
      <w:tabs>
        <w:tab w:val="right" w:pos="9360"/>
      </w:tabs>
    </w:pPr>
    <w:r>
      <w:rPr>
        <w:rFonts w:ascii="Calibri" w:hAnsi="Calibri"/>
        <w:b w:val="0"/>
        <w:color w:val="AAAAAA"/>
        <w:sz w:val="16"/>
      </w:rPr>
      <w:t>BID y ROM en Scrumban</w:t>
    </w:r>
    <w:r>
      <w:rPr>
        <w:rFonts w:ascii="Calibri" w:hAnsi="Calibri"/>
        <w:b w:val="0"/>
        <w:color w:val="AAAAAA"/>
        <w:sz w:val="16"/>
      </w:rPr>
      <w:tab/>
    </w:r>
    <w:r>
      <w:rPr>
        <w:rFonts w:ascii="Calibri" w:hAnsi="Calibri"/>
        <w:color w:val="AAAAAA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b w:val="0"/>
        <w:color w:val="AAAAAA"/>
        <w:sz w:val="16"/>
      </w:rPr>
      <w:t xml:space="preserve"> / </w:t>
    </w:r>
    <w:r>
      <w:rPr>
        <w:rFonts w:ascii="Calibri" w:hAnsi="Calibri"/>
        <w:color w:val="AAAAAA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pBdr>
        <w:top w:val="single" w:sz="8" w:space="1" w:color="E97132"/>
      </w:pBdr>
    </w:pPr>
    <w:r>
      <w:rPr>
        <w:rFonts w:ascii="Calibri" w:hAnsi="Calibri"/>
        <w:b w:val="0"/>
        <w:color w:val="AAAAAA"/>
        <w:sz w:val="16"/>
      </w:rPr>
      <w:t>BID y ROM en Scrumban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shd w:val="clear" w:color="auto" w:fill="0E2841"/>
      <w:tabs>
        <w:tab w:val="right" w:pos="9360"/>
      </w:tabs>
    </w:pPr>
    <w:r>
      <w:rPr>
        <w:rFonts w:ascii="Calibri" w:hAnsi="Calibri"/>
        <w:b/>
        <w:color w:val="FFFFFF"/>
        <w:sz w:val="16"/>
      </w:rPr>
      <w:t xml:space="preserve">  SITPS-SBN-2026-01</w:t>
    </w:r>
    <w:r>
      <w:rPr>
        <w:rFonts w:ascii="Calibri" w:hAnsi="Calibri"/>
        <w:b w:val="0"/>
        <w:color w:val="FFFFFF"/>
        <w:sz w:val="16"/>
      </w:rPr>
      <w:tab/>
      <w:t xml:space="preserve">Strategic IT Project Solutions  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b w:val="0"/>
      <w:color w:val="222233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2026-05-18T22:26:40Z</dcterms:created>
  <dcterms:modified xsi:type="dcterms:W3CDTF">2026-05-18T22:26:40Z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