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0E2841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before="200" w:after="80"/>
            </w:pPr>
            <w:r>
              <w:rPr>
                <w:rFonts w:ascii="Calibri" w:hAnsi="Calibri"/>
                <w:b/>
                <w:color w:val="FFFFFF"/>
                <w:sz w:val="36"/>
              </w:rPr>
              <w:t>Strategic IT Project Solutions</w:t>
            </w:r>
          </w:p>
          <w:p>
            <w:pPr>
              <w:spacing w:before="0" w:after="200"/>
            </w:pPr>
            <w:r>
              <w:rPr>
                <w:rFonts w:ascii="Calibri" w:hAnsi="Calibri"/>
                <w:b w:val="0"/>
                <w:color w:val="E97132"/>
                <w:sz w:val="22"/>
              </w:rPr>
              <w:t>Agile &amp; Project Management Advisory</w:t>
            </w:r>
          </w:p>
        </w:tc>
      </w:tr>
    </w:tbl>
    <w:p>
      <w:pPr>
        <w:spacing w:before="280" w:after="160"/>
        <w:jc w:val="center"/>
      </w:pPr>
      <w:r>
        <w:rPr>
          <w:rFonts w:ascii="Calibri" w:hAnsi="Calibri"/>
          <w:b/>
          <w:color w:val="AAAAAA"/>
          <w:sz w:val="18"/>
        </w:rPr>
        <w:t>SITPS-SBN-2026-05</w:t>
      </w:r>
    </w:p>
    <w:p>
      <w:pPr>
        <w:spacing w:before="0" w:after="240"/>
        <w:pBdr>
          <w:bottom w:val="single" w:sz="16" w:space="1" w:color="E97132"/>
        </w:pBdr>
      </w:pPr>
    </w:p>
    <w:p>
      <w:pPr>
        <w:spacing w:before="0" w:after="200"/>
        <w:jc w:val="center"/>
      </w:pPr>
      <w:r>
        <w:rPr>
          <w:rFonts w:ascii="Calibri" w:hAnsi="Calibri"/>
          <w:b/>
          <w:color w:val="0E2841"/>
          <w:sz w:val="44"/>
        </w:rPr>
        <w:t>Métricas en Scrumban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E6251"/>
          <w:sz w:val="24"/>
        </w:rPr>
        <w:t>Sistema de Recomendación de Carrera Universitaria</w:t>
      </w:r>
    </w:p>
    <w:p>
      <w:pPr>
        <w:spacing w:before="0" w:after="280"/>
        <w:jc w:val="center"/>
      </w:pPr>
      <w:r>
        <w:rPr>
          <w:rFonts w:ascii="Calibri" w:hAnsi="Calibri"/>
          <w:b w:val="0"/>
          <w:color w:val="AAAAAA"/>
          <w:sz w:val="20"/>
        </w:rPr>
        <w:t>UVG Campus Central — 2026</w:t>
      </w:r>
    </w:p>
    <w:p>
      <w:pPr>
        <w:spacing w:before="0" w:after="240"/>
        <w:pBdr>
          <w:bottom w:val="single" w:sz="8" w:space="1" w:color="E8E8E8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1814"/>
        <w:gridCol w:w="7258"/>
      </w:tblGrid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Proyecto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Sistema de Recomendación Vocacional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Cliente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UVG Campus Central — Admisiones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Product Owner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Josué Say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Sponsor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Erick Oswaldo Marroquín Zamora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Fecha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Mayo 2026</w:t>
            </w:r>
          </w:p>
        </w:tc>
      </w:tr>
      <w:tr>
        <w:tc>
          <w:tcPr>
            <w:tcW w:w="1814" w:type="dx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AAAAAA"/>
                <w:sz w:val="20"/>
              </w:rPr>
              <w:t>Versión</w:t>
            </w:r>
          </w:p>
        </w:tc>
        <w:tc>
          <w:tcPr>
            <w:tcW w:w="7258" w:type="dxa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0E2841"/>
                <w:sz w:val="20"/>
              </w:rPr>
              <w:t>1.0</w:t>
            </w:r>
          </w:p>
        </w:tc>
      </w:tr>
    </w:tbl>
    <w:p>
      <w:pPr>
        <w:spacing w:before="280" w:after="200"/>
        <w:pBdr>
          <w:bottom w:val="single" w:sz="16" w:space="1" w:color="E97132"/>
        </w:pBdr>
      </w:pPr>
    </w:p>
    <w:tbl>
      <w:tblPr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360"/>
      </w:tblGrid>
      <w:tr>
        <w:tc>
          <w:tcPr>
            <w:tcW w:type="dxa" w:w="9360"/>
            <w:shd w:val="clear" w:color="auto" w:fill="E8E8E8"/>
            <w:tcBorders>
              <w:top w:val="none"/>
              <w:bottom w:val="none"/>
              <w:right w:val="none"/>
              <w:left w:val="single" w:sz="18" w:space="0" w:color="0E6251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0E2841"/>
                <w:sz w:val="20"/>
              </w:rPr>
              <w:t xml:space="preserve">Área PMI: </w:t>
            </w:r>
            <w:r>
              <w:rPr>
                <w:rFonts w:ascii="Calibri" w:hAnsi="Calibri"/>
                <w:b w:val="0"/>
                <w:color w:val="0E2841"/>
                <w:sz w:val="20"/>
              </w:rPr>
              <w:t>Marco de Proceso — Scrumban</w:t>
            </w:r>
          </w:p>
        </w:tc>
      </w:tr>
    </w:tbl>
    <w:p>
      <w:pPr>
        <w:spacing w:before="400" w:after="0"/>
      </w:pPr>
    </w:p>
    <w:p>
      <w:pPr>
        <w:spacing w:before="0" w:after="80"/>
        <w:pBdr>
          <w:bottom w:val="single" w:sz="6" w:space="1" w:color="E8E8E8"/>
        </w:pBdr>
      </w:pPr>
    </w:p>
    <w:p>
      <w:pPr>
        <w:spacing w:before="80" w:after="0"/>
        <w:tabs>
          <w:tab w:val="right" w:pos="9360"/>
        </w:tabs>
      </w:pPr>
      <w:r>
        <w:rPr>
          <w:rFonts w:ascii="Calibri" w:hAnsi="Calibri"/>
          <w:b w:val="0"/>
          <w:color w:val="AAAAAA"/>
          <w:sz w:val="16"/>
        </w:rPr>
        <w:t>Documento de uso interno — Strategic IT Project Solutions</w:t>
      </w:r>
      <w:r>
        <w:rPr>
          <w:rFonts w:ascii="Calibri" w:hAnsi="Calibri"/>
          <w:b w:val="0"/>
          <w:color w:val="AAAAAA"/>
          <w:sz w:val="16"/>
        </w:rPr>
        <w:tab/>
        <w:t>SITPS-SBN-2026-05 — v1.0</w:t>
      </w:r>
    </w:p>
    <w:p>
      <w:r>
        <w:br w:type="page"/>
      </w:r>
    </w:p>
    <w:p>
      <w:pPr>
        <w:pStyle w:val="Heading1"/>
      </w:pPr>
      <w:bookmarkStart w:id="20" w:name="métricas-en-scrumban"/>
      <w:r>
        <w:t xml:space="preserve">Métricas en Scrumban</w:t>
      </w:r>
      <w:bookmarkEnd w:id="20"/>
    </w:p>
    <w:p>
      <w:pPr>
        <w:pStyle w:val="Heading2"/>
      </w:pPr>
      <w:bookmarkStart w:id="21" w:name="principio-de-medición-híbrida"/>
      <w:r>
        <w:t xml:space="preserve">Principio de medición híbrida</w:t>
      </w:r>
      <w:bookmarkEnd w:id="21"/>
    </w:p>
    <w:p>
      <w:pPr>
        <w:pStyle w:val="FirstParagraph"/>
      </w:pPr>
      <w:r>
        <w:t xml:space="preserve">Scrumban combina métricas de Scrum (orientadas al sprint) con métricas de Kanban (orientadas al flujo). Las seis métricas de este proyecto son las seis dimensiones de control que el PO y el Facilitador usan para tomar decisiones durante y al cierre de cada sprint. No son métricas opcionales: sin ellas, el equipo no puede operar Scrumban de forma genuina.</w:t>
      </w:r>
    </w:p>
    <w:p>
      <w:pPr>
        <w:pStyle w:val="Heading2"/>
      </w:pPr>
      <w:bookmarkStart w:id="22" w:name="las-seis-métricas"/>
      <w:r>
        <w:t xml:space="preserve">Las seis métricas</w:t>
      </w:r>
      <w:bookmarkEnd w:id="22"/>
    </w:p>
    <w:p>
      <w:pPr>
        <w:pStyle w:val="Heading3"/>
      </w:pPr>
      <w:bookmarkStart w:id="23" w:name="métrica-1-velocidad-del-sprint"/>
      <w:r>
        <w:t xml:space="preserve">Métrica 1: Velocidad del sprint</w:t>
      </w:r>
      <w:bookmarkEnd w:id="23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Story Points completados en el sprint vs Story Points comprometidos en el Planning.</w:t>
      </w:r>
    </w:p>
    <w:p>
      <w:pPr>
        <w:pStyle w:val="BodyText"/>
      </w:pPr>
      <w:r>
        <w:rPr>
          <w:b/>
        </w:rPr>
        <w:t xml:space="preserve">Cálculo: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Velocidad real</m:t>
          </m:r>
          <m:r>
            <m:t>=</m:t>
          </m:r>
          <m:r>
            <m:t>∑</m:t>
          </m:r>
          <m:r>
            <m:t>S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tareas en Done al cierre del sprint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Tasa de cumplimiento</m:t>
          </m:r>
          <m: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Velocidad real</m:t>
              </m:r>
            </m:num>
            <m:den>
              <m:r>
                <m:rPr>
                  <m:nor/>
                  <m:sty m:val="p"/>
                </m:rPr>
                <m:t>SP comprometidos</m:t>
              </m:r>
            </m:den>
          </m:f>
          <m: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b/>
        </w:rPr>
        <w:t xml:space="preserve">Valor de referencia del proyecto:</w:t>
      </w:r>
      <w:r>
        <w:t xml:space="preserve"> </w:t>
      </w:r>
      <w:r>
        <w:t xml:space="preserve">20 SP comprometidos por sprint. Una tasa de cumplimiento por debajo del 80% activa revisión en la Retrospectiva.</w:t>
      </w:r>
    </w:p>
    <w:p>
      <w:pPr>
        <w:pStyle w:val="BodyText"/>
      </w:pPr>
      <w:r>
        <w:rPr>
          <w:b/>
        </w:rPr>
        <w:t xml:space="preserve">Frecuencia de reporte:</w:t>
      </w:r>
      <w:r>
        <w:t xml:space="preserve"> </w:t>
      </w:r>
      <w:r>
        <w:t xml:space="preserve">al cierre de cada sprint, en la Sprint Review.</w:t>
      </w:r>
    </w:p>
    <w:p>
      <w:pPr>
        <w:pStyle w:val="BodyText"/>
      </w:pPr>
      <w:r>
        <w:rPr>
          <w:b/>
        </w:rPr>
        <w:t xml:space="preserve">Decisiones que habilita:</w:t>
      </w:r>
    </w:p>
    <w:p>
      <w:pPr>
        <w:numPr>
          <w:ilvl w:val="0"/>
          <w:numId w:val="1001"/>
        </w:numPr>
        <w:pStyle w:val="Compact"/>
      </w:pPr>
      <w:r>
        <w:t xml:space="preserve">El PO ajusta el volumen del siguiente Sprint Planning si la velocidad real se aleja consistentemente de la estimada.</w:t>
      </w:r>
    </w:p>
    <w:p>
      <w:pPr>
        <w:numPr>
          <w:ilvl w:val="0"/>
          <w:numId w:val="1001"/>
        </w:numPr>
        <w:pStyle w:val="Compact"/>
      </w:pPr>
      <w:r>
        <w:t xml:space="preserve">El Facilitador revisa si la causa es técnica (deuda, bloqueos) o de estimación (SP mal calibrados).</w:t>
      </w:r>
    </w:p>
    <w:p>
      <w:pPr>
        <w:pStyle w:val="Heading3"/>
      </w:pPr>
      <w:bookmarkStart w:id="24" w:name="métrica-2-burndown-del-sprint"/>
      <w:r>
        <w:t xml:space="preserve">Métrica 2: Burndown del sprint</w:t>
      </w:r>
      <w:bookmarkEnd w:id="24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progreso diario del sprint expresado como SP pendientes de completar vs SP esperados según el ritmo lineal comprometido.</w:t>
      </w:r>
    </w:p>
    <w:p>
      <w:pPr>
        <w:pStyle w:val="BodyText"/>
      </w:pPr>
      <w:r>
        <w:rPr>
          <w:b/>
        </w:rPr>
        <w:t xml:space="preserve">Cálculo:</w:t>
      </w:r>
      <w:r>
        <w:t xml:space="preserve"> </w:t>
      </w:r>
      <w:r>
        <w:t xml:space="preserve">al inicio del sprint se dibuja la línea ideal:</w:t>
      </w:r>
      <w:r>
        <w:t xml:space="preserve"> </w:t>
      </w:r>
      <m:oMath>
        <m:r>
          <m:t>S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comprometidos</m:t>
            </m:r>
          </m:sub>
        </m:sSub>
      </m:oMath>
      <w:r>
        <w:t xml:space="preserve"> </w:t>
      </w:r>
      <w:r>
        <w:t xml:space="preserve">divididos uniformemente entre los 10 días hábiles. Cada día se registra el SP pendiente real y se compara con la línea ideal.</w:t>
      </w:r>
    </w:p>
    <w:p>
      <w:pPr>
        <w:pStyle w:val="BodyText"/>
      </w:pPr>
      <w:r>
        <w:rPr>
          <w:b/>
        </w:rPr>
        <w:t xml:space="preserve">Frecuencia de reporte:</w:t>
      </w:r>
      <w:r>
        <w:t xml:space="preserve"> </w:t>
      </w:r>
      <w:r>
        <w:t xml:space="preserve">diariamente por el Facilitador; resumen al cierre del sprint en la Review.</w:t>
      </w:r>
    </w:p>
    <w:p>
      <w:pPr>
        <w:pStyle w:val="BodyText"/>
      </w:pPr>
      <w:r>
        <w:rPr>
          <w:b/>
        </w:rPr>
        <w:t xml:space="preserve">Decisiones que habilita:</w:t>
      </w:r>
    </w:p>
    <w:p>
      <w:pPr>
        <w:numPr>
          <w:ilvl w:val="0"/>
          <w:numId w:val="1002"/>
        </w:numPr>
        <w:pStyle w:val="Compact"/>
      </w:pPr>
      <w:r>
        <w:t xml:space="preserve">Si la curva real está consistentemente por encima de la línea ideal (más SP pendientes de lo esperado), el Facilitador alerta al equipo y al PO antes del día 7 para gestionar el alcance del sprint.</w:t>
      </w:r>
    </w:p>
    <w:p>
      <w:pPr>
        <w:numPr>
          <w:ilvl w:val="0"/>
          <w:numId w:val="1002"/>
        </w:numPr>
        <w:pStyle w:val="Compact"/>
      </w:pPr>
      <w:r>
        <w:t xml:space="preserve">Si la curva real está muy por debajo, el PO puede considerar activar trabajo ROM adicional dentro del umbral disponible.</w:t>
      </w:r>
    </w:p>
    <w:p>
      <w:pPr>
        <w:pStyle w:val="Heading3"/>
      </w:pPr>
      <w:bookmarkStart w:id="25" w:name="Xdf3bacf7b88482e13bfcc491e1adade48dadcb5"/>
      <w:r>
        <w:t xml:space="preserve">Métrica 3: Ratio BID/ROM real vs planificado</w:t>
      </w:r>
      <w:bookmarkEnd w:id="25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proporción de SP completados en tareas BID vs SP completados en tareas ROM durante el sprint, comparada con la distribución planificada (80/20).</w:t>
      </w:r>
    </w:p>
    <w:p>
      <w:pPr>
        <w:pStyle w:val="BodyText"/>
      </w:pPr>
      <w:r>
        <w:rPr>
          <w:b/>
        </w:rPr>
        <w:t xml:space="preserve">Cálculo: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BID real (%)</m:t>
          </m:r>
          <m: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BID completados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total completados</m:t>
                  </m:r>
                </m:sub>
              </m:sSub>
            </m:den>
          </m:f>
          <m:r>
            <m:t>×</m:t>
          </m:r>
          <m:r>
            <m:t>100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ROM real (%)</m:t>
          </m:r>
          <m:r>
            <m:t>=</m:t>
          </m:r>
          <m:f>
            <m:fPr>
              <m:type m:val="bar"/>
            </m:fPr>
            <m:num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ROM completados</m:t>
                  </m:r>
                </m:sub>
              </m:sSub>
            </m:num>
            <m:den>
              <m:r>
                <m:t>S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total completados</m:t>
                  </m:r>
                </m:sub>
              </m:sSub>
            </m:den>
          </m:f>
          <m:r>
            <m:t>×</m:t>
          </m:r>
          <m:r>
            <m:t>100</m:t>
          </m:r>
        </m:oMath>
      </m:oMathPara>
    </w:p>
    <w:p>
      <w:pPr>
        <w:pStyle w:val="FirstParagraph"/>
      </w:pPr>
      <w:r>
        <w:rPr>
          <w:b/>
        </w:rPr>
        <w:t xml:space="preserve">Frecuencia de reporte:</w:t>
      </w:r>
      <w:r>
        <w:t xml:space="preserve"> </w:t>
      </w:r>
      <w:r>
        <w:t xml:space="preserve">al cierre de cada sprint, en la Sprint Review.</w:t>
      </w:r>
    </w:p>
    <w:p>
      <w:pPr>
        <w:pStyle w:val="BodyText"/>
      </w:pPr>
      <w:r>
        <w:rPr>
          <w:b/>
        </w:rPr>
        <w:t xml:space="preserve">Decisiones que habilita:</w:t>
      </w:r>
    </w:p>
    <w:p>
      <w:pPr>
        <w:numPr>
          <w:ilvl w:val="0"/>
          <w:numId w:val="1003"/>
        </w:numPr>
        <w:pStyle w:val="Compact"/>
      </w:pPr>
      <w:r>
        <w:t xml:space="preserve">Si el ROM real supera el 20%, el PO verifica si se excedió el umbral SLA y activa el proceso de cargo adicional.</w:t>
      </w:r>
    </w:p>
    <w:p>
      <w:pPr>
        <w:numPr>
          <w:ilvl w:val="0"/>
          <w:numId w:val="1003"/>
        </w:numPr>
        <w:pStyle w:val="Compact"/>
      </w:pPr>
      <w:r>
        <w:t xml:space="preserve">Si el ROM real es consistentemente menor al 10%, el equipo puede revisar si la reserva ROM del 20% es excesiva para el contexto actual del proyecto.</w:t>
      </w:r>
    </w:p>
    <w:p>
      <w:pPr>
        <w:numPr>
          <w:ilvl w:val="0"/>
          <w:numId w:val="1003"/>
        </w:numPr>
        <w:pStyle w:val="Compact"/>
      </w:pPr>
      <w:r>
        <w:t xml:space="preserve">El ratio real es el dato base para el reporte de facturación del sprint.</w:t>
      </w:r>
    </w:p>
    <w:p>
      <w:pPr>
        <w:pStyle w:val="Heading3"/>
      </w:pPr>
      <w:bookmarkStart w:id="26" w:name="métrica-4-cycle-time-de-tareas"/>
      <w:r>
        <w:t xml:space="preserve">Métrica 4: Cycle Time de tareas</w:t>
      </w:r>
      <w:bookmarkEnd w:id="26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tiempo transcurrido desde que una tarea entra a la columna In Progress hasta que llega a Done. Se mide en días hábiles.</w:t>
      </w:r>
    </w:p>
    <w:p>
      <w:pPr>
        <w:pStyle w:val="BodyText"/>
      </w:pPr>
      <w:r>
        <w:rPr>
          <w:b/>
        </w:rPr>
        <w:t xml:space="preserve">Cálculo: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Cycle Time</m:t>
              </m:r>
            </m:e>
            <m:sub>
              <m:r>
                <m:rPr>
                  <m:nor/>
                  <m:sty m:val="p"/>
                </m:rPr>
                <m:t>tarea</m:t>
              </m:r>
            </m:sub>
          </m:sSub>
          <m:r>
            <m:t>=</m:t>
          </m:r>
          <m:r>
            <m:rPr>
              <m:nor/>
              <m:sty m:val="p"/>
            </m:rPr>
            <m:t>Fecha Done</m:t>
          </m:r>
          <m:r>
            <m:t>−</m:t>
          </m:r>
          <m:r>
            <m:rPr>
              <m:nor/>
              <m:sty m:val="p"/>
            </m:rPr>
            <m:t>Fecha inicio In Progress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C</m:t>
              </m:r>
              <m:r>
                <m:t>T</m:t>
              </m:r>
            </m:e>
          </m:bar>
          <m:r>
            <m:t>=</m:t>
          </m:r>
          <m:f>
            <m:fPr>
              <m:type m:val="bar"/>
            </m:fPr>
            <m:num>
              <m:r>
                <m:t>∑</m:t>
              </m:r>
              <m:r>
                <m:rPr>
                  <m:nor/>
                  <m:sty m:val="p"/>
                </m:rPr>
                <m:t>Cycle Time de todas las tareas del sprint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tareas completadas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</w:rPr>
        <w:t xml:space="preserve">Valor de referencia del proyecto:</w:t>
      </w:r>
      <w:r>
        <w:t xml:space="preserve"> </w:t>
      </w:r>
      <w:r>
        <w:t xml:space="preserve">máximo 10 días hábiles por tarea según el SLA.</w:t>
      </w:r>
    </w:p>
    <w:p>
      <w:pPr>
        <w:pStyle w:val="BodyText"/>
      </w:pPr>
      <w:r>
        <w:rPr>
          <w:b/>
        </w:rPr>
        <w:t xml:space="preserve">Frecuencia de reporte:</w:t>
      </w:r>
      <w:r>
        <w:t xml:space="preserve"> </w:t>
      </w:r>
      <w:r>
        <w:t xml:space="preserve">por tarea (el Facilitador lo registra al mover cada tarjeta a Done); promedio al cierre del sprint en la Retrospectiva.</w:t>
      </w:r>
    </w:p>
    <w:p>
      <w:pPr>
        <w:pStyle w:val="BodyText"/>
      </w:pPr>
      <w:r>
        <w:rPr>
          <w:b/>
        </w:rPr>
        <w:t xml:space="preserve">Decisiones que habilita:</w:t>
      </w:r>
    </w:p>
    <w:p>
      <w:pPr>
        <w:numPr>
          <w:ilvl w:val="0"/>
          <w:numId w:val="1004"/>
        </w:numPr>
        <w:pStyle w:val="Compact"/>
      </w:pPr>
      <w:r>
        <w:t xml:space="preserve">Tareas con Cycle Time mayor a 10 días activan revisión: ¿hubo bloqueo en Testing?, ¿la tarea era demasiado grande para una iteración?</w:t>
      </w:r>
    </w:p>
    <w:p>
      <w:pPr>
        <w:numPr>
          <w:ilvl w:val="0"/>
          <w:numId w:val="1004"/>
        </w:numPr>
        <w:pStyle w:val="Compact"/>
      </w:pPr>
      <w:r>
        <w:t xml:space="preserve">El Facilitador usa el Cycle Time promedio para ajustar los límites WIP si hay cuellos de botella recurrentes.</w:t>
      </w:r>
    </w:p>
    <w:p>
      <w:pPr>
        <w:pStyle w:val="Heading3"/>
      </w:pPr>
      <w:bookmarkStart w:id="27" w:name="métrica-5-throughput-del-sprint"/>
      <w:r>
        <w:t xml:space="preserve">Métrica 5: Throughput del sprint</w:t>
      </w:r>
      <w:bookmarkEnd w:id="27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número de tareas completadas por semana durante el sprint. Es una métrica de flujo, no de estimación.</w:t>
      </w:r>
    </w:p>
    <w:p>
      <w:pPr>
        <w:pStyle w:val="BodyText"/>
      </w:pPr>
      <w:r>
        <w:rPr>
          <w:b/>
        </w:rPr>
        <w:t xml:space="preserve">Cálculo: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Throughput semanal</m:t>
          </m:r>
          <m: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tareas Done en la semana</m:t>
                  </m:r>
                </m:sub>
              </m:sSub>
            </m:num>
            <m:den>
              <m:r>
                <m:t>1</m:t>
              </m:r>
              <m:r>
                <m:rPr>
                  <m:nor/>
                  <m:sty m:val="p"/>
                </m:rPr>
                <m:t> semana</m:t>
              </m:r>
            </m:den>
          </m:f>
        </m:oMath>
      </m:oMathPara>
    </w:p>
    <w:p>
      <w:pPr>
        <w:pStyle w:val="FirstParagraph"/>
      </w:pPr>
      <w:r>
        <w:rPr>
          <w:b/>
        </w:rPr>
        <w:t xml:space="preserve">Valor de referencia del proyecto:</w:t>
      </w:r>
      <w:r>
        <w:t xml:space="preserve"> </w:t>
      </w:r>
      <w:r>
        <w:t xml:space="preserve">3–4 tareas por semana según el SLA. Con 10 días hábiles por sprint y 133 tareas totales en 8 sprints, el Throughput promedio por sprint es</w:t>
      </w:r>
      <w:r>
        <w:t xml:space="preserve"> </w:t>
      </w:r>
      <m:oMath>
        <m:r>
          <m:t>≈</m:t>
        </m:r>
        <m:r>
          <m:t>16.6</m:t>
        </m:r>
      </m:oMath>
      <w:r>
        <w:t xml:space="preserve"> </w:t>
      </w:r>
      <w:r>
        <w:t xml:space="preserve">tareas.</w:t>
      </w:r>
    </w:p>
    <w:p>
      <w:pPr>
        <w:pStyle w:val="BodyText"/>
      </w:pPr>
      <w:r>
        <w:rPr>
          <w:b/>
        </w:rPr>
        <w:t xml:space="preserve">Frecuencia de reporte:</w:t>
      </w:r>
      <w:r>
        <w:t xml:space="preserve"> </w:t>
      </w:r>
      <w:r>
        <w:t xml:space="preserve">semanalmente por el Facilitador; promedio del sprint en la Retrospectiva.</w:t>
      </w:r>
    </w:p>
    <w:p>
      <w:pPr>
        <w:pStyle w:val="BodyText"/>
      </w:pPr>
      <w:r>
        <w:rPr>
          <w:b/>
        </w:rPr>
        <w:t xml:space="preserve">Decisiones que habilita:</w:t>
      </w:r>
    </w:p>
    <w:p>
      <w:pPr>
        <w:numPr>
          <w:ilvl w:val="0"/>
          <w:numId w:val="1005"/>
        </w:numPr>
        <w:pStyle w:val="Compact"/>
      </w:pPr>
      <w:r>
        <w:t xml:space="preserve">Si el Throughput cae por debajo de 3 tareas/semana, el Facilitador revisa el tablero: ¿hay acumulación en Testing o Review?, ¿los límites WIP están siendo respetados?</w:t>
      </w:r>
    </w:p>
    <w:p>
      <w:pPr>
        <w:numPr>
          <w:ilvl w:val="0"/>
          <w:numId w:val="1005"/>
        </w:numPr>
        <w:pStyle w:val="Compact"/>
      </w:pPr>
      <w:r>
        <w:t xml:space="preserve">El Throughput real confirma si la partición de 133 tareas en 8 sprints es sostenible o si hay que ajustar el alcance.</w:t>
      </w:r>
    </w:p>
    <w:p>
      <w:pPr>
        <w:pStyle w:val="Heading3"/>
      </w:pPr>
      <w:bookmarkStart w:id="28" w:name="X8239302101b78cc7dd4a54b2682682b92dfe241"/>
      <w:r>
        <w:t xml:space="preserve">Métrica 6: Número de interrupciones ROM registradas</w:t>
      </w:r>
      <w:bookmarkEnd w:id="28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conteo de solicitudes de trabajo no planificado (ROM) que ingresaron al sprint durante la iteración, con detalle de origen, fecha y SP consumidos.</w:t>
      </w:r>
    </w:p>
    <w:p>
      <w:pPr>
        <w:pStyle w:val="BodyText"/>
      </w:pPr>
      <w:r>
        <w:rPr>
          <w:b/>
        </w:rPr>
        <w:t xml:space="preserve">Cálculo:</w:t>
      </w:r>
      <w:r>
        <w:t xml:space="preserve"> </w:t>
      </w:r>
      <w:r>
        <w:t xml:space="preserve">registro manual del Facilitador. Cada solicitud ROM aprobada por el PO se registra con: fecha de ingreso, descripción, SP estimados, SP reales al completar.</w:t>
      </w:r>
    </w:p>
    <w:p>
      <w:pPr>
        <w:pStyle w:val="BodyText"/>
      </w:pPr>
      <w:r>
        <w:rPr>
          <w:b/>
        </w:rPr>
        <w:t xml:space="preserve">Frecuencia de reporte:</w:t>
      </w:r>
      <w:r>
        <w:t xml:space="preserve"> </w:t>
      </w:r>
      <w:r>
        <w:t xml:space="preserve">en tiempo real (el Facilitador actualiza el registro cada vez que llega una solicitud ROM); resumen al cierre del sprint en la Sprint Review.</w:t>
      </w:r>
    </w:p>
    <w:p>
      <w:pPr>
        <w:pStyle w:val="BodyText"/>
      </w:pPr>
      <w:r>
        <w:rPr>
          <w:b/>
        </w:rPr>
        <w:t xml:space="preserve">Decisiones que habilita:</w:t>
      </w:r>
    </w:p>
    <w:p>
      <w:pPr>
        <w:numPr>
          <w:ilvl w:val="0"/>
          <w:numId w:val="1006"/>
        </w:numPr>
        <w:pStyle w:val="Compact"/>
      </w:pPr>
      <w:r>
        <w:t xml:space="preserve">Si el número de interrupciones ROM supera el umbral incluido en el SLA, el PO activa el proceso de cargo adicional.</w:t>
      </w:r>
    </w:p>
    <w:p>
      <w:pPr>
        <w:numPr>
          <w:ilvl w:val="0"/>
          <w:numId w:val="1006"/>
        </w:numPr>
        <w:pStyle w:val="Compact"/>
      </w:pPr>
      <w:r>
        <w:t xml:space="preserve">Si el número de interrupciones es consistentemente alto en sprints consecutivos, el equipo puede revisar si la proporción 80/20 debe ajustarse a 70/30 para los sprints restantes.</w:t>
      </w:r>
    </w:p>
    <w:p>
      <w:pPr>
        <w:numPr>
          <w:ilvl w:val="0"/>
          <w:numId w:val="1006"/>
        </w:numPr>
        <w:pStyle w:val="Compact"/>
      </w:pPr>
      <w:r>
        <w:t xml:space="preserve">El registro de interrupciones es la evidencia documental para el reporte de facturación y para discusiones de alcance con UVG.</w:t>
      </w:r>
    </w:p>
    <w:p>
      <w:pPr>
        <w:pStyle w:val="Heading2"/>
      </w:pPr>
      <w:bookmarkStart w:id="29" w:name="Xed040bc9047ed643f5151ceabe6626128552632"/>
      <w:r>
        <w:t xml:space="preserve">Resumen de métricas por responsable y frecuencia</w:t>
      </w:r>
      <w:bookmarkEnd w:id="29"/>
    </w:p>
    <w:tbl>
      <w:tblPr>
        <w:tblStyle w:val="Table"/>
        <w:tblW w:type="pct" w:w="0.0"/>
        <w:tblLook w:firstRow="1"/>
        <w:tblBorders>
          <w:top w:val="single" w:sz="4" w:space="0" w:color="0E6251"/>
          <w:left w:val="single" w:sz="4" w:space="0" w:color="0E6251"/>
          <w:bottom w:val="single" w:sz="4" w:space="0" w:color="0E6251"/>
          <w:right w:val="single" w:sz="4" w:space="0" w:color="0E6251"/>
          <w:insideH w:val="single" w:sz="4" w:space="0" w:color="0E6251"/>
          <w:insideV w:val="single" w:sz="4" w:space="0" w:color="0E6251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Métrica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Responsable de cálculo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Frecuencia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0E2841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Reporte en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Velocidad del sprint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Facilitador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Al cierre del sprint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Sprint Review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Burndown del sprint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Facilitador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Diaria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Daily Scrumban + Review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Ratio BID/ROM real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Facilitador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Al cierre del sprint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Sprint Review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Cycle Time de tareas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Facilitador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Por tarea (al llegar a Done)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Retrospectiva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Throughput del sprint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Facilitador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Semanal</w:t>
            </w:r>
          </w:p>
        </w:tc>
        <w:tc>
          <w:tcPr>
            <w:shd w:val="clear" w:color="auto" w:fill="FFFFFF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Retrospectiva</w:t>
            </w:r>
          </w:p>
        </w:tc>
      </w:tr>
      <w:tr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Interrupciones ROM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Facilitador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Tiempo real</w:t>
            </w:r>
          </w:p>
        </w:tc>
        <w:tc>
          <w:tcPr>
            <w:shd w:val="clear" w:color="auto" w:fill="E8E8E8"/>
          </w:tcPr>
          <w:p>
            <w:pPr>
              <w:pStyle w:val="Compact"/>
              <w:jc w:val="left"/>
            </w:pPr>
            <w:r>
              <w:rPr>
                <w:rFonts w:ascii="Calibri" w:hAnsi="Calibri"/>
                <w:sz w:val="18"/>
              </w:rPr>
              <w:t xml:space="preserve">Sprint Review</w:t>
            </w:r>
          </w:p>
        </w:tc>
      </w:tr>
    </w:tbl>
    <w:sectPr>
      <w:headerReference w:type="default" r:id="rId9"/>
      <w:footerReference w:type="default" r:id="rId10"/>
      <w:headerReference w:type="first" r:id="rId11"/>
      <w:footerReference w:type="first" r:id="rId12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 w:after="0"/>
      <w:pBdr>
        <w:top w:val="single" w:sz="8" w:space="1" w:color="E97132"/>
      </w:pBdr>
      <w:tabs>
        <w:tab w:val="right" w:pos="9360"/>
      </w:tabs>
    </w:pPr>
    <w:r>
      <w:rPr>
        <w:rFonts w:ascii="Calibri" w:hAnsi="Calibri"/>
        <w:b w:val="0"/>
        <w:color w:val="AAAAAA"/>
        <w:sz w:val="16"/>
      </w:rPr>
      <w:t>Métricas en Scrumban</w:t>
    </w:r>
    <w:r>
      <w:rPr>
        <w:rFonts w:ascii="Calibri" w:hAnsi="Calibri"/>
        <w:b w:val="0"/>
        <w:color w:val="AAAAAA"/>
        <w:sz w:val="16"/>
      </w:rPr>
      <w:tab/>
    </w:r>
    <w:r>
      <w:rPr>
        <w:rFonts w:ascii="Calibri" w:hAnsi="Calibri"/>
        <w:color w:val="AAAAAA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b w:val="0"/>
        <w:color w:val="AAAAAA"/>
        <w:sz w:val="16"/>
      </w:rPr>
      <w:t xml:space="preserve"> / </w:t>
    </w:r>
    <w:r>
      <w:rPr>
        <w:rFonts w:ascii="Calibri" w:hAnsi="Calibri"/>
        <w:color w:val="AAAAAA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pBdr>
        <w:top w:val="single" w:sz="8" w:space="1" w:color="E97132"/>
      </w:pBdr>
    </w:pPr>
    <w:r>
      <w:rPr>
        <w:rFonts w:ascii="Calibri" w:hAnsi="Calibri"/>
        <w:b w:val="0"/>
        <w:color w:val="AAAAAA"/>
        <w:sz w:val="16"/>
      </w:rPr>
      <w:t>Métricas en Scrumban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shd w:val="clear" w:color="auto" w:fill="0E2841"/>
      <w:tabs>
        <w:tab w:val="right" w:pos="9360"/>
      </w:tabs>
    </w:pPr>
    <w:r>
      <w:rPr>
        <w:rFonts w:ascii="Calibri" w:hAnsi="Calibri"/>
        <w:b/>
        <w:color w:val="FFFFFF"/>
        <w:sz w:val="16"/>
      </w:rPr>
      <w:t xml:space="preserve">  SITPS-SBN-2026-05</w:t>
    </w:r>
    <w:r>
      <w:rPr>
        <w:rFonts w:ascii="Calibri" w:hAnsi="Calibri"/>
        <w:b w:val="0"/>
        <w:color w:val="FFFFFF"/>
        <w:sz w:val="16"/>
      </w:rPr>
      <w:tab/>
      <w:t xml:space="preserve">Strategic IT Project Solutions 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b w:val="0"/>
      <w:color w:val="222233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2026-05-18T22:26:41Z</dcterms:created>
  <dcterms:modified xsi:type="dcterms:W3CDTF">2026-05-18T22:26:41Z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