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SITPS-SBN-2026-08</w:t>
      </w:r>
    </w:p>
    <w:p>
      <w:pPr>
        <w:spacing w:before="0" w:after="240"/>
        <w:pBdr>
          <w:bottom w:val="single" w:sz="16" w:space="1" w:color="E97132"/>
        </w:pBdr>
      </w:pPr>
    </w:p>
    <w:p>
      <w:pPr>
        <w:spacing w:before="0" w:after="200"/>
        <w:jc w:val="center"/>
      </w:pPr>
      <w:r>
        <w:rPr>
          <w:rFonts w:ascii="Calibri" w:hAnsi="Calibri"/>
          <w:b/>
          <w:color w:val="0E2841"/>
          <w:sz w:val="44"/>
        </w:rPr>
        <w:t>Sprint Backlog en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SITPS-SBN-2026-08 — v1.0</w:t>
      </w:r>
    </w:p>
    <w:p>
      <w:r>
        <w:br w:type="page"/>
      </w:r>
    </w:p>
    <w:p>
      <w:pPr>
        <w:pStyle w:val="Heading1"/>
      </w:pPr>
      <w:bookmarkStart w:id="20" w:name="sprint-backlog-en-scrumban"/>
      <w:r>
        <w:t xml:space="preserve">Sprint Backlog en Scrumban</w:t>
      </w:r>
      <w:bookmarkEnd w:id="20"/>
    </w:p>
    <w:p>
      <w:pPr>
        <w:pStyle w:val="Heading2"/>
      </w:pPr>
      <w:bookmarkStart w:id="21" w:name="estructura-del-sprint-en-scrumban"/>
      <w:r>
        <w:t xml:space="preserve">Estructura del sprint en Scrumban</w:t>
      </w:r>
      <w:bookmarkEnd w:id="21"/>
    </w:p>
    <w:p>
      <w:pPr>
        <w:pStyle w:val="FirstParagraph"/>
      </w:pPr>
      <w:r>
        <w:t xml:space="preserve">El sprint en Scrumban mantiene la misma estructura que en Scrum: una iteración de duración fija con un objetivo comprometido, un backlog planificado al inicio y una revisión al cierre. La diferencia estructural está en la gestión de la capacidad.</w:t>
      </w:r>
    </w:p>
    <w:p>
      <w:pPr>
        <w:pStyle w:val="BodyText"/>
      </w:pPr>
      <w:r>
        <w:t xml:space="preserve">En Scrum puro, el equipo compromete el 100% de su capacidad estimada en tareas BID durante el Planning. En Scrumban, el equipo compromete explícitamente solo el 80% de la capacidad en tareas BID planificadas, y reserva el 20% restante como capacidad ROM disponible para absorber trabajo no planificado durante el sprint.</w:t>
      </w:r>
    </w:p>
    <w:p>
      <w:pPr>
        <w:pStyle w:val="BodyText"/>
      </w:pPr>
      <w:r>
        <w:t xml:space="preserve">Esta reserva no es tiempo libre ni holgura: es capacidad intencionalmente no comprometida con BID, que el PO puede activar durante el sprint para trabajo no planificado sin necesidad de cancelar el sprint ni renegociar el Sprint Goal.</w:t>
      </w:r>
    </w:p>
    <w:p>
      <w:pPr>
        <w:pStyle w:val="Heading2"/>
      </w:pPr>
      <w:bookmarkStart w:id="22" w:name="tabla-de-sprints-del-proyecto"/>
      <w:r>
        <w:t xml:space="preserve">Tabla de sprints del proyecto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Épicas</w:t>
            </w:r>
          </w:p>
        </w:tc>
        <w:tc>
          <w:tcPr>
            <w:tcBorders>
              <w:bottom w:val="single"/>
            </w:tcBorders>
            <w:vAlign w:val="bottom"/>
            <w:shd w:val="clear" w:color="auto" w:fill="0E2841"/>
          </w:tcPr>
          <w:p>
            <w:pPr>
              <w:pStyle w:val="Compact"/>
              <w:jc w:val="left"/>
            </w:pPr>
            <w:r>
              <w:rPr>
                <w:rFonts w:ascii="Calibri" w:hAnsi="Calibri"/>
                <w:b/>
                <w:color w:val="FFFFFF"/>
                <w:sz w:val="18"/>
              </w:rPr>
              <w:t xml:space="preserve">Fecha inicio</w:t>
            </w:r>
          </w:p>
        </w:tc>
        <w:tc>
          <w:tcPr>
            <w:tcBorders>
              <w:bottom w:val="single"/>
            </w:tcBorders>
            <w:vAlign w:val="bottom"/>
            <w:shd w:val="clear" w:color="auto" w:fill="0E2841"/>
          </w:tcPr>
          <w:p>
            <w:pPr>
              <w:pStyle w:val="Compact"/>
              <w:jc w:val="left"/>
            </w:pPr>
            <w:r>
              <w:rPr>
                <w:rFonts w:ascii="Calibri" w:hAnsi="Calibri"/>
                <w:b/>
                <w:color w:val="FFFFFF"/>
                <w:sz w:val="18"/>
              </w:rPr>
              <w:t xml:space="preserve">Fecha cierre</w:t>
            </w:r>
          </w:p>
        </w:tc>
        <w:tc>
          <w:tcPr>
            <w:tcBorders>
              <w:bottom w:val="single"/>
            </w:tcBorders>
            <w:vAlign w:val="bottom"/>
            <w:shd w:val="clear" w:color="auto" w:fill="0E2841"/>
          </w:tcPr>
          <w:p>
            <w:pPr>
              <w:pStyle w:val="Compact"/>
              <w:jc w:val="left"/>
            </w:pPr>
            <w:r>
              <w:rPr>
                <w:rFonts w:ascii="Calibri" w:hAnsi="Calibri"/>
                <w:b/>
                <w:color w:val="FFFFFF"/>
                <w:sz w:val="18"/>
              </w:rPr>
              <w:t xml:space="preserve">SP comprometidos</w:t>
            </w:r>
          </w:p>
        </w:tc>
        <w:tc>
          <w:tcPr>
            <w:tcBorders>
              <w:bottom w:val="single"/>
            </w:tcBorders>
            <w:vAlign w:val="bottom"/>
            <w:shd w:val="clear" w:color="auto" w:fill="0E2841"/>
          </w:tcPr>
          <w:p>
            <w:pPr>
              <w:pStyle w:val="Compact"/>
              <w:jc w:val="left"/>
            </w:pPr>
            <w:r>
              <w:rPr>
                <w:rFonts w:ascii="Calibri" w:hAnsi="Calibri"/>
                <w:b/>
                <w:color w:val="FFFFFF"/>
                <w:sz w:val="18"/>
              </w:rPr>
              <w:t xml:space="preserve">Tipo</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1 ene 2027</w:t>
            </w:r>
          </w:p>
        </w:tc>
        <w:tc>
          <w:tcPr>
            <w:shd w:val="clear" w:color="auto" w:fill="FFFFFF"/>
          </w:tcPr>
          <w:p>
            <w:pPr>
              <w:pStyle w:val="Compact"/>
              <w:jc w:val="left"/>
            </w:pPr>
            <w:r>
              <w:rPr>
                <w:rFonts w:ascii="Calibri" w:hAnsi="Calibri"/>
                <w:sz w:val="18"/>
              </w:rPr>
              <w:t xml:space="preserve">14 ene 2027</w:t>
            </w:r>
          </w:p>
        </w:tc>
        <w:tc>
          <w:tcPr>
            <w:shd w:val="clear" w:color="auto" w:fill="FFFFFF"/>
          </w:tcPr>
          <w:p>
            <w:pPr>
              <w:pStyle w:val="Compact"/>
              <w:jc w:val="left"/>
            </w:pPr>
            <w:r>
              <w:rPr>
                <w:rFonts w:ascii="Calibri" w:hAnsi="Calibri"/>
                <w:sz w:val="18"/>
              </w:rPr>
              <w:t xml:space="preserve">13 SP</w:t>
            </w:r>
          </w:p>
        </w:tc>
        <w:tc>
          <w:tcPr>
            <w:shd w:val="clear" w:color="auto" w:fill="FFFFFF"/>
          </w:tcPr>
          <w:p>
            <w:pPr>
              <w:pStyle w:val="Compact"/>
              <w:jc w:val="left"/>
            </w:pPr>
            <w:r>
              <w:rPr>
                <w:rFonts w:ascii="Calibri" w:hAnsi="Calibri"/>
                <w:sz w:val="18"/>
              </w:rPr>
              <w:t xml:space="preserve">Operativo</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EP01, EP02</w:t>
            </w:r>
          </w:p>
        </w:tc>
        <w:tc>
          <w:tcPr>
            <w:shd w:val="clear" w:color="auto" w:fill="E8E8E8"/>
          </w:tcPr>
          <w:p>
            <w:pPr>
              <w:pStyle w:val="Compact"/>
              <w:jc w:val="left"/>
            </w:pPr>
            <w:r>
              <w:rPr>
                <w:rFonts w:ascii="Calibri" w:hAnsi="Calibri"/>
                <w:sz w:val="18"/>
              </w:rPr>
              <w:t xml:space="preserve">15 ene 2027</w:t>
            </w:r>
          </w:p>
        </w:tc>
        <w:tc>
          <w:tcPr>
            <w:shd w:val="clear" w:color="auto" w:fill="E8E8E8"/>
          </w:tcPr>
          <w:p>
            <w:pPr>
              <w:pStyle w:val="Compact"/>
              <w:jc w:val="left"/>
            </w:pPr>
            <w:r>
              <w:rPr>
                <w:rFonts w:ascii="Calibri" w:hAnsi="Calibri"/>
                <w:sz w:val="18"/>
              </w:rPr>
              <w:t xml:space="preserve">28 ene 2027</w:t>
            </w:r>
          </w:p>
        </w:tc>
        <w:tc>
          <w:tcPr>
            <w:shd w:val="clear" w:color="auto" w:fill="E8E8E8"/>
          </w:tcPr>
          <w:p>
            <w:pPr>
              <w:pStyle w:val="Compact"/>
              <w:jc w:val="left"/>
            </w:pPr>
            <w:r>
              <w:rPr>
                <w:rFonts w:ascii="Calibri" w:hAnsi="Calibri"/>
                <w:sz w:val="18"/>
              </w:rPr>
              <w:t xml:space="preserve">15 SP</w:t>
            </w:r>
          </w:p>
        </w:tc>
        <w:tc>
          <w:tcPr>
            <w:shd w:val="clear" w:color="auto" w:fill="E8E8E8"/>
          </w:tcPr>
          <w:p>
            <w:pPr>
              <w:pStyle w:val="Compact"/>
              <w:jc w:val="left"/>
            </w:pPr>
            <w:r>
              <w:rPr>
                <w:rFonts w:ascii="Calibri" w:hAnsi="Calibri"/>
                <w:sz w:val="18"/>
              </w:rPr>
              <w:t xml:space="preserve">Operativo</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EP02, EP03</w:t>
            </w:r>
          </w:p>
        </w:tc>
        <w:tc>
          <w:tcPr>
            <w:shd w:val="clear" w:color="auto" w:fill="FFFFFF"/>
          </w:tcPr>
          <w:p>
            <w:pPr>
              <w:pStyle w:val="Compact"/>
              <w:jc w:val="left"/>
            </w:pPr>
            <w:r>
              <w:rPr>
                <w:rFonts w:ascii="Calibri" w:hAnsi="Calibri"/>
                <w:sz w:val="18"/>
              </w:rPr>
              <w:t xml:space="preserve">29 ene 2027</w:t>
            </w:r>
          </w:p>
        </w:tc>
        <w:tc>
          <w:tcPr>
            <w:shd w:val="clear" w:color="auto" w:fill="FFFFFF"/>
          </w:tcPr>
          <w:p>
            <w:pPr>
              <w:pStyle w:val="Compact"/>
              <w:jc w:val="left"/>
            </w:pPr>
            <w:r>
              <w:rPr>
                <w:rFonts w:ascii="Calibri" w:hAnsi="Calibri"/>
                <w:sz w:val="18"/>
              </w:rPr>
              <w:t xml:space="preserve">11 feb 2027</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Operativo</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EP03</w:t>
            </w:r>
          </w:p>
        </w:tc>
        <w:tc>
          <w:tcPr>
            <w:shd w:val="clear" w:color="auto" w:fill="E8E8E8"/>
          </w:tcPr>
          <w:p>
            <w:pPr>
              <w:pStyle w:val="Compact"/>
              <w:jc w:val="left"/>
            </w:pPr>
            <w:r>
              <w:rPr>
                <w:rFonts w:ascii="Calibri" w:hAnsi="Calibri"/>
                <w:sz w:val="18"/>
              </w:rPr>
              <w:t xml:space="preserve">12 feb 2027</w:t>
            </w:r>
          </w:p>
        </w:tc>
        <w:tc>
          <w:tcPr>
            <w:shd w:val="clear" w:color="auto" w:fill="E8E8E8"/>
          </w:tcPr>
          <w:p>
            <w:pPr>
              <w:pStyle w:val="Compact"/>
              <w:jc w:val="left"/>
            </w:pPr>
            <w:r>
              <w:rPr>
                <w:rFonts w:ascii="Calibri" w:hAnsi="Calibri"/>
                <w:sz w:val="18"/>
              </w:rPr>
              <w:t xml:space="preserve">25 feb 2027</w:t>
            </w:r>
          </w:p>
        </w:tc>
        <w:tc>
          <w:tcPr>
            <w:shd w:val="clear" w:color="auto" w:fill="E8E8E8"/>
          </w:tcPr>
          <w:p>
            <w:pPr>
              <w:pStyle w:val="Compact"/>
              <w:jc w:val="left"/>
            </w:pPr>
            <w:r>
              <w:rPr>
                <w:rFonts w:ascii="Calibri" w:hAnsi="Calibri"/>
                <w:sz w:val="18"/>
              </w:rPr>
              <w:t xml:space="preserve">13 SP</w:t>
            </w:r>
          </w:p>
        </w:tc>
        <w:tc>
          <w:tcPr>
            <w:shd w:val="clear" w:color="auto" w:fill="E8E8E8"/>
          </w:tcPr>
          <w:p>
            <w:pPr>
              <w:pStyle w:val="Compact"/>
              <w:jc w:val="left"/>
            </w:pPr>
            <w:r>
              <w:rPr>
                <w:rFonts w:ascii="Calibri" w:hAnsi="Calibri"/>
                <w:sz w:val="18"/>
              </w:rPr>
              <w:t xml:space="preserve">Operativo</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EP04</w:t>
            </w:r>
          </w:p>
        </w:tc>
        <w:tc>
          <w:tcPr>
            <w:shd w:val="clear" w:color="auto" w:fill="FFFFFF"/>
          </w:tcPr>
          <w:p>
            <w:pPr>
              <w:pStyle w:val="Compact"/>
              <w:jc w:val="left"/>
            </w:pPr>
            <w:r>
              <w:rPr>
                <w:rFonts w:ascii="Calibri" w:hAnsi="Calibri"/>
                <w:sz w:val="18"/>
              </w:rPr>
              <w:t xml:space="preserve">26 feb 2027</w:t>
            </w:r>
          </w:p>
        </w:tc>
        <w:tc>
          <w:tcPr>
            <w:shd w:val="clear" w:color="auto" w:fill="FFFFFF"/>
          </w:tcPr>
          <w:p>
            <w:pPr>
              <w:pStyle w:val="Compact"/>
              <w:jc w:val="left"/>
            </w:pPr>
            <w:r>
              <w:rPr>
                <w:rFonts w:ascii="Calibri" w:hAnsi="Calibri"/>
                <w:sz w:val="18"/>
              </w:rPr>
              <w:t xml:space="preserve">11 mar 2027</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Operativo</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EP05</w:t>
            </w:r>
          </w:p>
        </w:tc>
        <w:tc>
          <w:tcPr>
            <w:shd w:val="clear" w:color="auto" w:fill="E8E8E8"/>
          </w:tcPr>
          <w:p>
            <w:pPr>
              <w:pStyle w:val="Compact"/>
              <w:jc w:val="left"/>
            </w:pPr>
            <w:r>
              <w:rPr>
                <w:rFonts w:ascii="Calibri" w:hAnsi="Calibri"/>
                <w:sz w:val="18"/>
              </w:rPr>
              <w:t xml:space="preserve">12 mar 2027</w:t>
            </w:r>
          </w:p>
        </w:tc>
        <w:tc>
          <w:tcPr>
            <w:shd w:val="clear" w:color="auto" w:fill="E8E8E8"/>
          </w:tcPr>
          <w:p>
            <w:pPr>
              <w:pStyle w:val="Compact"/>
              <w:jc w:val="left"/>
            </w:pPr>
            <w:r>
              <w:rPr>
                <w:rFonts w:ascii="Calibri" w:hAnsi="Calibri"/>
                <w:sz w:val="18"/>
              </w:rPr>
              <w:t xml:space="preserve">25 mar 2027</w:t>
            </w:r>
          </w:p>
        </w:tc>
        <w:tc>
          <w:tcPr>
            <w:shd w:val="clear" w:color="auto" w:fill="E8E8E8"/>
          </w:tcPr>
          <w:p>
            <w:pPr>
              <w:pStyle w:val="Compact"/>
              <w:jc w:val="left"/>
            </w:pPr>
            <w:r>
              <w:rPr>
                <w:rFonts w:ascii="Calibri" w:hAnsi="Calibri"/>
                <w:sz w:val="18"/>
              </w:rPr>
              <w:t xml:space="preserve">13 SP</w:t>
            </w:r>
          </w:p>
        </w:tc>
        <w:tc>
          <w:tcPr>
            <w:shd w:val="clear" w:color="auto" w:fill="E8E8E8"/>
          </w:tcPr>
          <w:p>
            <w:pPr>
              <w:pStyle w:val="Compact"/>
              <w:jc w:val="left"/>
            </w:pPr>
            <w:r>
              <w:rPr>
                <w:rFonts w:ascii="Calibri" w:hAnsi="Calibri"/>
                <w:sz w:val="18"/>
              </w:rPr>
              <w:t xml:space="preserve">Operativo</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left"/>
            </w:pPr>
            <w:r>
              <w:rPr>
                <w:rFonts w:ascii="Calibri" w:hAnsi="Calibri"/>
                <w:sz w:val="18"/>
              </w:rPr>
              <w:t xml:space="preserve">EP05, EP06</w:t>
            </w:r>
          </w:p>
        </w:tc>
        <w:tc>
          <w:tcPr>
            <w:shd w:val="clear" w:color="auto" w:fill="FFFFFF"/>
          </w:tcPr>
          <w:p>
            <w:pPr>
              <w:pStyle w:val="Compact"/>
              <w:jc w:val="left"/>
            </w:pPr>
            <w:r>
              <w:rPr>
                <w:rFonts w:ascii="Calibri" w:hAnsi="Calibri"/>
                <w:sz w:val="18"/>
              </w:rPr>
              <w:t xml:space="preserve">26 mar 2027</w:t>
            </w:r>
          </w:p>
        </w:tc>
        <w:tc>
          <w:tcPr>
            <w:shd w:val="clear" w:color="auto" w:fill="FFFFFF"/>
          </w:tcPr>
          <w:p>
            <w:pPr>
              <w:pStyle w:val="Compact"/>
              <w:jc w:val="left"/>
            </w:pPr>
            <w:r>
              <w:rPr>
                <w:rFonts w:ascii="Calibri" w:hAnsi="Calibri"/>
                <w:sz w:val="18"/>
              </w:rPr>
              <w:t xml:space="preserve">8 abr 2027</w:t>
            </w:r>
          </w:p>
        </w:tc>
        <w:tc>
          <w:tcPr>
            <w:shd w:val="clear" w:color="auto" w:fill="FFFFFF"/>
          </w:tcPr>
          <w:p>
            <w:pPr>
              <w:pStyle w:val="Compact"/>
              <w:jc w:val="left"/>
            </w:pPr>
            <w:r>
              <w:rPr>
                <w:rFonts w:ascii="Calibri" w:hAnsi="Calibri"/>
                <w:sz w:val="18"/>
              </w:rPr>
              <w:t xml:space="preserve">16 SP</w:t>
            </w:r>
          </w:p>
        </w:tc>
        <w:tc>
          <w:tcPr>
            <w:shd w:val="clear" w:color="auto" w:fill="FFFFFF"/>
          </w:tcPr>
          <w:p>
            <w:pPr>
              <w:pStyle w:val="Compact"/>
              <w:jc w:val="left"/>
            </w:pPr>
            <w:r>
              <w:rPr>
                <w:rFonts w:ascii="Calibri" w:hAnsi="Calibri"/>
                <w:sz w:val="18"/>
              </w:rPr>
              <w:t xml:space="preserve">Operativo</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left"/>
            </w:pPr>
            <w:r>
              <w:rPr>
                <w:rFonts w:ascii="Calibri" w:hAnsi="Calibri"/>
                <w:sz w:val="18"/>
              </w:rPr>
              <w:t xml:space="preserve">EP06 (holgura + MVP)</w:t>
            </w:r>
          </w:p>
        </w:tc>
        <w:tc>
          <w:tcPr>
            <w:shd w:val="clear" w:color="auto" w:fill="E8E8E8"/>
          </w:tcPr>
          <w:p>
            <w:pPr>
              <w:pStyle w:val="Compact"/>
              <w:jc w:val="left"/>
            </w:pPr>
            <w:r>
              <w:rPr>
                <w:rFonts w:ascii="Calibri" w:hAnsi="Calibri"/>
                <w:sz w:val="18"/>
              </w:rPr>
              <w:t xml:space="preserve">9 abr 2027</w:t>
            </w:r>
          </w:p>
        </w:tc>
        <w:tc>
          <w:tcPr>
            <w:shd w:val="clear" w:color="auto" w:fill="E8E8E8"/>
          </w:tcPr>
          <w:p>
            <w:pPr>
              <w:pStyle w:val="Compact"/>
              <w:jc w:val="left"/>
            </w:pPr>
            <w:r>
              <w:rPr>
                <w:rFonts w:ascii="Calibri" w:hAnsi="Calibri"/>
                <w:sz w:val="18"/>
              </w:rPr>
              <w:t xml:space="preserve">22 abr 2027</w:t>
            </w:r>
          </w:p>
        </w:tc>
        <w:tc>
          <w:tcPr>
            <w:shd w:val="clear" w:color="auto" w:fill="E8E8E8"/>
          </w:tcPr>
          <w:p>
            <w:pPr>
              <w:pStyle w:val="Compact"/>
              <w:jc w:val="left"/>
            </w:pPr>
            <w:r>
              <w:rPr>
                <w:rFonts w:ascii="Calibri" w:hAnsi="Calibri"/>
                <w:sz w:val="18"/>
              </w:rPr>
              <w:t xml:space="preserve">19 SP</w:t>
            </w:r>
          </w:p>
        </w:tc>
        <w:tc>
          <w:tcPr>
            <w:shd w:val="clear" w:color="auto" w:fill="E8E8E8"/>
          </w:tcPr>
          <w:p>
            <w:pPr>
              <w:pStyle w:val="Compact"/>
              <w:jc w:val="left"/>
            </w:pPr>
            <w:r>
              <w:rPr>
                <w:rFonts w:ascii="Calibri" w:hAnsi="Calibri"/>
                <w:sz w:val="18"/>
              </w:rPr>
              <w:t xml:space="preserve">Holgura</w:t>
            </w:r>
          </w:p>
        </w:tc>
      </w:tr>
    </w:tbl>
    <w:p>
      <w:pPr>
        <w:numPr>
          <w:ilvl w:val="0"/>
          <w:numId w:val="1001"/>
        </w:numPr>
        <w:pStyle w:val="Compact"/>
      </w:pPr>
      <w:r>
        <w:t xml:space="preserve">Velocidad comprometida por sprint: 20 SP</w:t>
      </w:r>
    </w:p>
    <w:p>
      <w:pPr>
        <w:numPr>
          <w:ilvl w:val="0"/>
          <w:numId w:val="1001"/>
        </w:numPr>
        <w:pStyle w:val="Compact"/>
      </w:pPr>
      <w:r>
        <w:t xml:space="preserve">Duración de cada sprint: 10 días hábiles</w:t>
      </w:r>
    </w:p>
    <w:p>
      <w:pPr>
        <w:numPr>
          <w:ilvl w:val="0"/>
          <w:numId w:val="1001"/>
        </w:numPr>
        <w:pStyle w:val="Compact"/>
      </w:pPr>
      <w:r>
        <w:t xml:space="preserve">Total de sprints: 8 (7 operativos + 1 de holgura)</w:t>
      </w:r>
    </w:p>
    <w:p>
      <w:pPr>
        <w:numPr>
          <w:ilvl w:val="0"/>
          <w:numId w:val="1001"/>
        </w:numPr>
        <w:pStyle w:val="Compact"/>
      </w:pPr>
      <w:r>
        <w:t xml:space="preserve">Período total del proyecto: 1 enero 2027 — 22 abril 2027</w:t>
      </w:r>
    </w:p>
    <w:p>
      <w:pPr>
        <w:numPr>
          <w:ilvl w:val="0"/>
          <w:numId w:val="1001"/>
        </w:numPr>
        <w:pStyle w:val="Compact"/>
      </w:pPr>
      <w:r>
        <w:t xml:space="preserve">Total de tareas técnicas (dimensión Kanban): 133 tareas</w:t>
      </w:r>
    </w:p>
    <w:p>
      <w:pPr>
        <w:pStyle w:val="FirstParagraph"/>
      </w:pPr>
      <w:r>
        <w:t xml:space="preserve">Nota: los SP comprometidos por sprint son los SP BID planificados al inicio. La capacidad ROM (hasta 4 SP por sprint) no se registra en esta tabla como SP comprometidos, porque no está planificada; se registra retrospectivamente al cierre del sprint.</w:t>
      </w:r>
    </w:p>
    <w:p>
      <w:pPr>
        <w:pStyle w:val="Heading2"/>
      </w:pPr>
      <w:bookmarkStart w:id="23" w:name="X782416961b353fadab21dc882eca2bff3b14076"/>
      <w:r>
        <w:t xml:space="preserve">Cómo se reserva la capacidad ROM en el Planning</w:t>
      </w:r>
      <w:bookmarkEnd w:id="23"/>
    </w:p>
    <w:p>
      <w:pPr>
        <w:pStyle w:val="FirstParagraph"/>
      </w:pPr>
      <w:r>
        <w:t xml:space="preserve">Durante el Sprint Planning, el equipo ejecuta los siguientes pasos en orden:</w:t>
      </w:r>
    </w:p>
    <w:p>
      <w:pPr>
        <w:numPr>
          <w:ilvl w:val="0"/>
          <w:numId w:val="1002"/>
        </w:numPr>
        <w:pStyle w:val="Compact"/>
      </w:pPr>
      <w:r>
        <w:t xml:space="preserve">Se estima la velocidad del sprint: 20 SP para este proyecto.</w:t>
      </w:r>
    </w:p>
    <w:p>
      <w:pPr>
        <w:numPr>
          <w:ilvl w:val="0"/>
          <w:numId w:val="1002"/>
        </w:numPr>
        <w:pStyle w:val="Compact"/>
      </w:pPr>
      <w:r>
        <w:t xml:space="preserve">Se calcula la capacidad BID:</w:t>
      </w:r>
      <w:r>
        <w:t xml:space="preserve"> </w:t>
      </w:r>
      <m:oMath>
        <m:r>
          <m:t>20</m:t>
        </m:r>
        <m:r>
          <m:t>×</m:t>
        </m:r>
        <m:r>
          <m:t>0.8</m:t>
        </m:r>
        <m:r>
          <m:t>=</m:t>
        </m:r>
        <m:r>
          <m:t>16</m:t>
        </m:r>
      </m:oMath>
      <w:r>
        <w:t xml:space="preserve"> </w:t>
      </w:r>
      <w:r>
        <w:t xml:space="preserve">SP disponibles para trabajo planificado.</w:t>
      </w:r>
    </w:p>
    <w:p>
      <w:pPr>
        <w:numPr>
          <w:ilvl w:val="0"/>
          <w:numId w:val="1002"/>
        </w:numPr>
        <w:pStyle w:val="Compact"/>
      </w:pPr>
      <w:r>
        <w:t xml:space="preserve">Se calcula la capacidad ROM reservada:</w:t>
      </w:r>
      <w:r>
        <w:t xml:space="preserve"> </w:t>
      </w:r>
      <m:oMath>
        <m:r>
          <m:t>20</m:t>
        </m:r>
        <m:r>
          <m:t>×</m:t>
        </m:r>
        <m:r>
          <m:t>0.2</m:t>
        </m:r>
        <m:r>
          <m:t>=</m:t>
        </m:r>
        <m:r>
          <m:t>4</m:t>
        </m:r>
      </m:oMath>
      <w:r>
        <w:t xml:space="preserve"> </w:t>
      </w:r>
      <w:r>
        <w:t xml:space="preserve">SP como umbral de trabajo no planificado.</w:t>
      </w:r>
    </w:p>
    <w:p>
      <w:pPr>
        <w:numPr>
          <w:ilvl w:val="0"/>
          <w:numId w:val="1002"/>
        </w:numPr>
        <w:pStyle w:val="Compact"/>
      </w:pPr>
      <w:r>
        <w:t xml:space="preserve">El equipo selecciona tareas del Product Backlog hasta completar los SP BID disponibles. Estas tareas entran al Backlog del tablero Kanban.</w:t>
      </w:r>
    </w:p>
    <w:p>
      <w:pPr>
        <w:numPr>
          <w:ilvl w:val="0"/>
          <w:numId w:val="1002"/>
        </w:numPr>
        <w:pStyle w:val="Compact"/>
      </w:pPr>
      <w:r>
        <w:t xml:space="preserve">Se documenta explícitamente en el tablero que hay 4 SP de capacidad ROM reservada. Esta reserva no aparece como tareas en el tablero; es un espacio disponible que el PO puede activar durante el sprint.</w:t>
      </w:r>
    </w:p>
    <w:p>
      <w:pPr>
        <w:pStyle w:val="FirstParagraph"/>
      </w:pPr>
      <w:r>
        <w:t xml:space="preserve">La reserva ROM se hace pública en el Planning para que todos los stakeholders sepan que el equipo tiene un mecanismo de absorción de trabajo no planificado ya incorporado en la planificación del sprint.</w:t>
      </w:r>
    </w:p>
    <w:p>
      <w:pPr>
        <w:pStyle w:val="Heading2"/>
      </w:pPr>
      <w:bookmarkStart w:id="24" w:name="X16e8008c8bdb1a9fcf0dfb1c7e18a362f6a7f3a"/>
      <w:r>
        <w:t xml:space="preserve">Diferencia respecto al Sprint Backlog de Scrum puro</w:t>
      </w:r>
      <w:bookmarkEnd w:id="24"/>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Aspecto</w:t>
            </w:r>
          </w:p>
        </w:tc>
        <w:tc>
          <w:tcPr>
            <w:tcBorders>
              <w:bottom w:val="single"/>
            </w:tcBorders>
            <w:vAlign w:val="bottom"/>
            <w:shd w:val="clear" w:color="auto" w:fill="0E2841"/>
          </w:tcPr>
          <w:p>
            <w:pPr>
              <w:pStyle w:val="Compact"/>
              <w:jc w:val="left"/>
            </w:pPr>
            <w:r>
              <w:rPr>
                <w:rFonts w:ascii="Calibri" w:hAnsi="Calibri"/>
                <w:b/>
                <w:color w:val="FFFFFF"/>
                <w:sz w:val="18"/>
              </w:rPr>
              <w:t xml:space="preserve">Scrum puro</w:t>
            </w:r>
          </w:p>
        </w:tc>
        <w:tc>
          <w:tcPr>
            <w:tcBorders>
              <w:bottom w:val="single"/>
            </w:tcBorders>
            <w:vAlign w:val="bottom"/>
            <w:shd w:val="clear" w:color="auto" w:fill="0E2841"/>
          </w:tcPr>
          <w:p>
            <w:pPr>
              <w:pStyle w:val="Compact"/>
              <w:jc w:val="left"/>
            </w:pPr>
            <w:r>
              <w:rPr>
                <w:rFonts w:ascii="Calibri" w:hAnsi="Calibri"/>
                <w:b/>
                <w:color w:val="FFFFFF"/>
                <w:sz w:val="18"/>
              </w:rPr>
              <w:t xml:space="preserve">Scrumban</w:t>
            </w:r>
          </w:p>
        </w:tc>
      </w:tr>
      <w:tr>
        <w:tc>
          <w:tcPr>
            <w:shd w:val="clear" w:color="auto" w:fill="FFFFFF"/>
          </w:tcPr>
          <w:p>
            <w:pPr>
              <w:pStyle w:val="Compact"/>
              <w:jc w:val="left"/>
            </w:pPr>
            <w:r>
              <w:rPr>
                <w:rFonts w:ascii="Calibri" w:hAnsi="Calibri"/>
                <w:sz w:val="18"/>
              </w:rPr>
              <w:t xml:space="preserve">Porcentaje comprometido en el Planning</w:t>
            </w:r>
          </w:p>
        </w:tc>
        <w:tc>
          <w:tcPr>
            <w:shd w:val="clear" w:color="auto" w:fill="FFFFFF"/>
          </w:tcPr>
          <w:p>
            <w:pPr>
              <w:pStyle w:val="Compact"/>
              <w:jc w:val="left"/>
            </w:pPr>
            <w:r>
              <w:rPr>
                <w:rFonts w:ascii="Calibri" w:hAnsi="Calibri"/>
                <w:sz w:val="18"/>
              </w:rPr>
              <w:t xml:space="preserve">100% de la capacidad estimada</w:t>
            </w:r>
          </w:p>
        </w:tc>
        <w:tc>
          <w:tcPr>
            <w:shd w:val="clear" w:color="auto" w:fill="FFFFFF"/>
          </w:tcPr>
          <w:p>
            <w:pPr>
              <w:pStyle w:val="Compact"/>
              <w:jc w:val="left"/>
            </w:pPr>
            <w:r>
              <w:rPr>
                <w:rFonts w:ascii="Calibri" w:hAnsi="Calibri"/>
                <w:sz w:val="18"/>
              </w:rPr>
              <w:t xml:space="preserve">80% en BID; 20% reservado como ROM</w:t>
            </w:r>
          </w:p>
        </w:tc>
      </w:tr>
      <w:tr>
        <w:tc>
          <w:tcPr>
            <w:shd w:val="clear" w:color="auto" w:fill="E8E8E8"/>
          </w:tcPr>
          <w:p>
            <w:pPr>
              <w:pStyle w:val="Compact"/>
              <w:jc w:val="left"/>
            </w:pPr>
            <w:r>
              <w:rPr>
                <w:rFonts w:ascii="Calibri" w:hAnsi="Calibri"/>
                <w:sz w:val="18"/>
              </w:rPr>
              <w:t xml:space="preserve">Modificación del backlog durante el sprint</w:t>
            </w:r>
          </w:p>
        </w:tc>
        <w:tc>
          <w:tcPr>
            <w:shd w:val="clear" w:color="auto" w:fill="E8E8E8"/>
          </w:tcPr>
          <w:p>
            <w:pPr>
              <w:pStyle w:val="Compact"/>
              <w:jc w:val="left"/>
            </w:pPr>
            <w:r>
              <w:rPr>
                <w:rFonts w:ascii="Calibri" w:hAnsi="Calibri"/>
                <w:sz w:val="18"/>
              </w:rPr>
              <w:t xml:space="preserve">No permitida</w:t>
            </w:r>
          </w:p>
        </w:tc>
        <w:tc>
          <w:tcPr>
            <w:shd w:val="clear" w:color="auto" w:fill="E8E8E8"/>
          </w:tcPr>
          <w:p>
            <w:pPr>
              <w:pStyle w:val="Compact"/>
              <w:jc w:val="left"/>
            </w:pPr>
            <w:r>
              <w:rPr>
                <w:rFonts w:ascii="Calibri" w:hAnsi="Calibri"/>
                <w:sz w:val="18"/>
              </w:rPr>
              <w:t xml:space="preserve">Permitida para ROM con aprobación del PO y dentro del umbral</w:t>
            </w:r>
          </w:p>
        </w:tc>
      </w:tr>
      <w:tr>
        <w:tc>
          <w:tcPr>
            <w:shd w:val="clear" w:color="auto" w:fill="FFFFFF"/>
          </w:tcPr>
          <w:p>
            <w:pPr>
              <w:pStyle w:val="Compact"/>
              <w:jc w:val="left"/>
            </w:pPr>
            <w:r>
              <w:rPr>
                <w:rFonts w:ascii="Calibri" w:hAnsi="Calibri"/>
                <w:sz w:val="18"/>
              </w:rPr>
              <w:t xml:space="preserve">Visibilidad de la capacidad no planificada</w:t>
            </w:r>
          </w:p>
        </w:tc>
        <w:tc>
          <w:tcPr>
            <w:shd w:val="clear" w:color="auto" w:fill="FFFFFF"/>
          </w:tcPr>
          <w:p>
            <w:pPr>
              <w:pStyle w:val="Compact"/>
              <w:jc w:val="left"/>
            </w:pPr>
            <w:r>
              <w:rPr>
                <w:rFonts w:ascii="Calibri" w:hAnsi="Calibri"/>
                <w:sz w:val="18"/>
              </w:rPr>
              <w:t xml:space="preserve">No existe</w:t>
            </w:r>
          </w:p>
        </w:tc>
        <w:tc>
          <w:tcPr>
            <w:shd w:val="clear" w:color="auto" w:fill="FFFFFF"/>
          </w:tcPr>
          <w:p>
            <w:pPr>
              <w:pStyle w:val="Compact"/>
              <w:jc w:val="left"/>
            </w:pPr>
            <w:r>
              <w:rPr>
                <w:rFonts w:ascii="Calibri" w:hAnsi="Calibri"/>
                <w:sz w:val="18"/>
              </w:rPr>
              <w:t xml:space="preserve">Explícita en el Planning y visible en el tablero</w:t>
            </w:r>
          </w:p>
        </w:tc>
      </w:tr>
      <w:tr>
        <w:tc>
          <w:tcPr>
            <w:shd w:val="clear" w:color="auto" w:fill="E8E8E8"/>
          </w:tcPr>
          <w:p>
            <w:pPr>
              <w:pStyle w:val="Compact"/>
              <w:jc w:val="left"/>
            </w:pPr>
            <w:r>
              <w:rPr>
                <w:rFonts w:ascii="Calibri" w:hAnsi="Calibri"/>
                <w:sz w:val="18"/>
              </w:rPr>
              <w:t xml:space="preserve">Registro de trabajo ROM</w:t>
            </w:r>
          </w:p>
        </w:tc>
        <w:tc>
          <w:tcPr>
            <w:shd w:val="clear" w:color="auto" w:fill="E8E8E8"/>
          </w:tcPr>
          <w:p>
            <w:pPr>
              <w:pStyle w:val="Compact"/>
              <w:jc w:val="left"/>
            </w:pPr>
            <w:r>
              <w:rPr>
                <w:rFonts w:ascii="Calibri" w:hAnsi="Calibri"/>
                <w:sz w:val="18"/>
              </w:rPr>
              <w:t xml:space="preserve">No aplica</w:t>
            </w:r>
          </w:p>
        </w:tc>
        <w:tc>
          <w:tcPr>
            <w:shd w:val="clear" w:color="auto" w:fill="E8E8E8"/>
          </w:tcPr>
          <w:p>
            <w:pPr>
              <w:pStyle w:val="Compact"/>
              <w:jc w:val="left"/>
            </w:pPr>
            <w:r>
              <w:rPr>
                <w:rFonts w:ascii="Calibri" w:hAnsi="Calibri"/>
                <w:sz w:val="18"/>
              </w:rPr>
              <w:t xml:space="preserve">Se registra como ROM en el tablero con etiqueta diferenciada</w:t>
            </w:r>
          </w:p>
        </w:tc>
      </w:tr>
      <w:tr>
        <w:tc>
          <w:tcPr>
            <w:shd w:val="clear" w:color="auto" w:fill="FFFFFF"/>
          </w:tcPr>
          <w:p>
            <w:pPr>
              <w:pStyle w:val="Compact"/>
              <w:jc w:val="left"/>
            </w:pPr>
            <w:r>
              <w:rPr>
                <w:rFonts w:ascii="Calibri" w:hAnsi="Calibri"/>
                <w:sz w:val="18"/>
              </w:rPr>
              <w:t xml:space="preserve">Cierre del sprint</w:t>
            </w:r>
          </w:p>
        </w:tc>
        <w:tc>
          <w:tcPr>
            <w:shd w:val="clear" w:color="auto" w:fill="FFFFFF"/>
          </w:tcPr>
          <w:p>
            <w:pPr>
              <w:pStyle w:val="Compact"/>
              <w:jc w:val="left"/>
            </w:pPr>
            <w:r>
              <w:rPr>
                <w:rFonts w:ascii="Calibri" w:hAnsi="Calibri"/>
                <w:sz w:val="18"/>
              </w:rPr>
              <w:t xml:space="preserve">Sprint Backlog cerrado; lo no terminado va al siguiente sprint</w:t>
            </w:r>
          </w:p>
        </w:tc>
        <w:tc>
          <w:tcPr>
            <w:shd w:val="clear" w:color="auto" w:fill="FFFFFF"/>
          </w:tcPr>
          <w:p>
            <w:pPr>
              <w:pStyle w:val="Compact"/>
              <w:jc w:val="left"/>
            </w:pPr>
            <w:r>
              <w:rPr>
                <w:rFonts w:ascii="Calibri" w:hAnsi="Calibri"/>
                <w:sz w:val="18"/>
              </w:rPr>
              <w:t xml:space="preserve">Sprint Backlog BID cerrado; ROM puede entrar durante el sprint</w:t>
            </w:r>
          </w:p>
        </w:tc>
      </w:tr>
      <w:tr>
        <w:tc>
          <w:tcPr>
            <w:shd w:val="clear" w:color="auto" w:fill="E8E8E8"/>
          </w:tcPr>
          <w:p>
            <w:pPr>
              <w:pStyle w:val="Compact"/>
              <w:jc w:val="left"/>
            </w:pPr>
            <w:r>
              <w:rPr>
                <w:rFonts w:ascii="Calibri" w:hAnsi="Calibri"/>
                <w:sz w:val="18"/>
              </w:rPr>
              <w:t xml:space="preserve">Reporte al cierre</w:t>
            </w:r>
          </w:p>
        </w:tc>
        <w:tc>
          <w:tcPr>
            <w:shd w:val="clear" w:color="auto" w:fill="E8E8E8"/>
          </w:tcPr>
          <w:p>
            <w:pPr>
              <w:pStyle w:val="Compact"/>
              <w:jc w:val="left"/>
            </w:pPr>
            <w:r>
              <w:rPr>
                <w:rFonts w:ascii="Calibri" w:hAnsi="Calibri"/>
                <w:sz w:val="18"/>
              </w:rPr>
              <w:t xml:space="preserve">Velocidad y burndown</w:t>
            </w:r>
          </w:p>
        </w:tc>
        <w:tc>
          <w:tcPr>
            <w:shd w:val="clear" w:color="auto" w:fill="E8E8E8"/>
          </w:tcPr>
          <w:p>
            <w:pPr>
              <w:pStyle w:val="Compact"/>
              <w:jc w:val="left"/>
            </w:pPr>
            <w:r>
              <w:rPr>
                <w:rFonts w:ascii="Calibri" w:hAnsi="Calibri"/>
                <w:sz w:val="18"/>
              </w:rPr>
              <w:t xml:space="preserve">Velocidad, burndown, ratio BID/ROM real vs planificado</w:t>
            </w:r>
          </w:p>
        </w:tc>
      </w:tr>
    </w:tbl>
    <w:p>
      <w:pPr>
        <w:pStyle w:val="Heading2"/>
      </w:pPr>
      <w:bookmarkStart w:id="25" w:name="sprint-de-holgura-s8"/>
      <w:r>
        <w:t xml:space="preserve">Sprint de holgura (S8)</w:t>
      </w:r>
      <w:bookmarkEnd w:id="25"/>
    </w:p>
    <w:p>
      <w:pPr>
        <w:pStyle w:val="FirstParagraph"/>
      </w:pPr>
      <w:r>
        <w:t xml:space="preserve">El sprint S8 es el sprint de holgura planificado. Su función es absorber el trabajo acumulado de épicas anteriores que no se completó en los sprints operativos, y consolidar el producto antes de la entrega final del 22 de abril de 2027.</w:t>
      </w:r>
    </w:p>
    <w:p>
      <w:pPr>
        <w:pStyle w:val="BodyText"/>
      </w:pPr>
      <w:r>
        <w:t xml:space="preserve">En sprints de holgura, la proporción BID/ROM puede ajustarse: si no hay deuda técnica acumulada significativa, el PO puede reducir la reserva ROM por debajo del 20% y dedicar más capacidad a la integración y ajuste fino del sistema. Esta decisión es del PO y debe declararse explícitamente en el Planning de esos sprints.</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Sprint Backlog en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Sprint Backlog en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SITPS-SBN-2026-08</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