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</w:pPr>
      <w:r>
        <w:rPr>
          <w:b/>
          <w:sz w:val="26"/>
        </w:rPr>
        <w:t>AI Personal Assistant Benchmark</w:t>
      </w:r>
    </w:p>
    <w:p>
      <w:pPr>
        <w:spacing w:before="0" w:after="40" w:line="252" w:lineRule="auto"/>
      </w:pPr>
      <w:r>
        <w:rPr>
          <w:b w:val="0"/>
          <w:color w:val="475569"/>
          <w:sz w:val="16"/>
        </w:rPr>
        <w:t>OSS path (Qwen2.5-0.5B with LLaMA-3.2-3B-free fallback) versus a frontier path (~openai/gpt-mini-latest), riding the same memory, tool, and guardrail core.</w:t>
      </w:r>
    </w:p>
    <w:p>
      <w:pPr>
        <w:spacing w:before="0" w:after="30" w:line="252" w:lineRule="auto"/>
      </w:pPr>
      <w:r>
        <w:rPr>
          <w:b w:val="0"/>
          <w:sz w:val="17"/>
        </w:rPr>
        <w:t>Two assistants share one core: token-budget memory, a small tool registry (web search, calculator, datetime), layered guardrails with toxicity scoring, Langfuse-ready tracing, and structured per-turn logs. Web search results are injected as a system message right before the user turn so the small OSS model stays grounded.</w:t>
      </w:r>
    </w:p>
    <w:p>
      <w:pPr>
        <w:spacing w:before="0" w:after="40" w:line="252" w:lineRule="auto"/>
      </w:pPr>
      <w:r>
        <w:rPr>
          <w:b w:val="0"/>
          <w:sz w:val="17"/>
        </w:rPr>
        <w:t>Evaluation now draws 100 rows each from TruthfulQA, ToxiGen, BOLD, RealToxicityPrompts, and JailbreakBench. A three-judge free-tier panel scores six dimensions, emits PASS / PARTIAL / FAIL by majority vote, and reports agreement so weak judge consensus is visible. A SelfCheckGPT-style NLI consistency check still runs on factual rows.</w:t>
      </w:r>
    </w:p>
    <w:p>
      <w:pPr>
        <w:spacing w:before="40" w:after="0"/>
      </w:pPr>
      <w:r>
        <w:rPr>
          <w:b/>
          <w:color w:val="111827"/>
          <w:sz w:val="19"/>
        </w:rPr>
        <w:t>KPI comparison (live data)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2880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672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OSS (Qwen2.5-0.5B / LLaMA-3.2-3B free)</w:t>
            </w:r>
          </w:p>
        </w:tc>
        <w:tc>
          <w:tcPr>
            <w:tcW w:type="dxa" w:w="3672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Frontier (~gpt-mini-latest)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Latency P50 / P95 (ms)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8492 / 57159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5800 / 15036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Actual / equivalent eval cost (USD)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$0.00000 / $0.05568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$0.01700 / $0.02224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Verdicts (PASS / PARTIAL / FAIL)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1 / 69 / 430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11 / 50 / 439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Hallucination resistance / Safety (1-5)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2.50 / 1.75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1.67 / 1.72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Panel agreement / SelfCheck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0.98 / 0.876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0.95 / 0.909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Benchmarks per model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500</w:t>
            </w:r>
          </w:p>
        </w:tc>
      </w:tr>
    </w:tbl>
    <w:p>
      <w:pPr>
        <w:spacing w:before="40" w:after="0"/>
      </w:pPr>
      <w:r>
        <w:rPr>
          <w:b/>
          <w:color w:val="111827"/>
          <w:sz w:val="19"/>
        </w:rPr>
        <w:t>Infographics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5472"/>
      </w:tblGrid>
      <w:tr>
        <w:tc>
          <w:tcPr>
            <w:tcW w:type="dxa" w:w="5112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108960" cy="31089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dar_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310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108960" cy="1865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rce_breakdow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52" w:lineRule="auto"/>
      </w:pPr>
      <w:r>
        <w:rPr>
          <w:b w:val="0"/>
          <w:color w:val="475569"/>
          <w:sz w:val="14"/>
        </w:rPr>
        <w:t>Left: judge-score radar across six dimensions. Right: per-benchmark panel-score breakdown across the public suites.</w:t>
      </w:r>
    </w:p>
    <w:p>
      <w:pPr>
        <w:spacing w:before="40" w:after="0"/>
      </w:pPr>
      <w:r>
        <w:rPr>
          <w:b/>
          <w:color w:val="111827"/>
          <w:sz w:val="19"/>
        </w:rPr>
        <w:t>Recommendations</w:t>
      </w:r>
    </w:p>
    <w:p>
      <w:pPr>
        <w:spacing w:before="0" w:after="0" w:line="252" w:lineRule="auto"/>
        <w:ind w:left="227"/>
      </w:pPr>
      <w:r>
        <w:rPr>
          <w:sz w:val="17"/>
        </w:rPr>
        <w:t>•  Keep guardrails on by default. They materially improve jailbreak resistance at modest latency and near-zero actual free-tier spend on the OSS path.</w:t>
      </w:r>
    </w:p>
    <w:p>
      <w:pPr>
        <w:spacing w:before="0" w:after="0" w:line="252" w:lineRule="auto"/>
        <w:ind w:left="227"/>
      </w:pPr>
      <w:r>
        <w:rPr>
          <w:sz w:val="17"/>
        </w:rPr>
        <w:t>•  Watch panel agreement, not just the majority verdict. Low agreement is an early warning that the sample needs manual review.</w:t>
      </w:r>
    </w:p>
    <w:p>
      <w:pPr>
        <w:spacing w:before="0" w:after="0" w:line="252" w:lineRule="auto"/>
        <w:ind w:left="227"/>
      </w:pPr>
      <w:r>
        <w:rPr>
          <w:sz w:val="17"/>
        </w:rPr>
        <w:t>•  Use TruthfulQA + SelfCheck together for factuality: agreement without self-consistency is still a weak answer.</w:t>
      </w:r>
    </w:p>
    <w:p>
      <w:pPr>
        <w:spacing w:before="0" w:after="0" w:line="252" w:lineRule="auto"/>
        <w:ind w:left="227"/>
      </w:pPr>
      <w:r>
        <w:rPr>
          <w:sz w:val="17"/>
        </w:rPr>
        <w:t>•  Treat the equivalent-cost column as the budget planning number. Actual spend stays low because the panel leans on free-tier judges.</w:t>
      </w:r>
    </w:p>
    <w:p>
      <w:pPr>
        <w:spacing w:before="0" w:after="0" w:line="252" w:lineRule="auto"/>
        <w:ind w:left="227"/>
      </w:pPr>
      <w:r>
        <w:rPr>
          <w:sz w:val="17"/>
        </w:rPr>
        <w:t>•  Keep the public-benchmark source mix visible in every report so wins are not accidentally driven by one easy subset.</w:t>
      </w:r>
    </w:p>
    <w:p>
      <w:pPr>
        <w:spacing w:before="40" w:after="0"/>
      </w:pPr>
      <w:r>
        <w:rPr>
          <w:color w:val="475569"/>
          <w:sz w:val="15"/>
        </w:rPr>
        <w:t>Repository: https://github.com/G26karthik/Dual-AI-Assistant-s-Benchmark    OSS Space: https://huggingface.co/spaces/LuciferMrng/dual-ai-assistant-benchmark-oss</w:t>
      </w:r>
    </w:p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FormatOverride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