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324F"/>
          <w:sz w:val="68"/>
        </w:rPr>
        <w:t>ContextForge</w:t>
      </w:r>
    </w:p>
    <w:p>
      <w:pPr>
        <w:jc w:val="center"/>
      </w:pPr>
      <w:r>
        <w:rPr>
          <w:b/>
          <w:color w:val="2E5EAA"/>
          <w:sz w:val="30"/>
        </w:rPr>
        <w:t>A Budget-Aware, Durable Multi-Agent Runtime and Context Compiler</w:t>
      </w:r>
    </w:p>
    <w:p>
      <w:pPr>
        <w:jc w:val="center"/>
      </w:pPr>
      <w:r>
        <w:rPr>
          <w:sz w:val="24"/>
        </w:rPr>
        <w:t>Flagship AI Engineering / AI Infrastructure Portfolio Project</w:t>
      </w:r>
    </w:p>
    <w:p/>
    <w:tbl>
      <w:tblPr>
        <w:tblW w:type="auto" w:w="0"/>
        <w:jc w:val="center"/>
        <w:tblLook w:firstColumn="1" w:firstRow="1" w:lastColumn="0" w:lastRow="0" w:noHBand="0" w:noVBand="1" w:val="04A0"/>
      </w:tblPr>
      <w:tblGrid>
        <w:gridCol w:w="10166"/>
      </w:tblGrid>
      <w:tr>
        <w:trPr>
          <w:cantSplit/>
        </w:trPr>
        <w:tc>
          <w:tcPr>
            <w:tcW w:type="dxa" w:w="10166"/>
            <w:shd w:fill="E8F5ED"/>
            <w:tcMar>
              <w:top w:w="90" w:type="dxa"/>
              <w:start w:w="120" w:type="dxa"/>
              <w:bottom w:w="90" w:type="dxa"/>
              <w:end w:w="120" w:type="dxa"/>
            </w:tcMar>
          </w:tcPr>
          <w:p>
            <w:r>
              <w:rPr>
                <w:b/>
              </w:rPr>
              <w:t xml:space="preserve">Purpose  </w:t>
            </w:r>
            <w:r>
              <w:t>This is a state-transfer document for a temporary chat. A future AI should be able to read it and continue from the same architectural position without asking the user to repeat the objectives, hardware limits, cloud credits, or prior project discussion.</w:t>
            </w:r>
          </w:p>
        </w:tc>
      </w:tr>
    </w:tbl>
    <w:p>
      <w:pPr>
        <w:spacing w:after="0"/>
      </w:pPr>
    </w:p>
    <w:p>
      <w:pPr>
        <w:spacing w:before="360"/>
        <w:jc w:val="center"/>
      </w:pPr>
      <w:r>
        <w:rPr>
          <w:b/>
          <w:sz w:val="22"/>
        </w:rPr>
        <w:t>Current resource envelope</w:t>
      </w:r>
    </w:p>
    <w:tbl>
      <w:tblPr>
        <w:tblStyle w:val="TableGrid"/>
        <w:tblW w:type="auto" w:w="0"/>
        <w:jc w:val="center"/>
        <w:tblLook w:firstColumn="1" w:firstRow="1" w:lastColumn="0" w:lastRow="0" w:noHBand="0" w:noVBand="1" w:val="04A0"/>
      </w:tblPr>
      <w:tblGrid>
        <w:gridCol w:w="5083"/>
        <w:gridCol w:w="5083"/>
      </w:tblGrid>
      <w:tr>
        <w:trPr>
          <w:cantSplit/>
        </w:trPr>
        <w:tc>
          <w:tcPr>
            <w:tcW w:type="dxa" w:w="1800"/>
            <w:shd w:fill="16324F"/>
            <w:vAlign w:val="center"/>
            <w:tcMar>
              <w:top w:w="70" w:type="dxa"/>
              <w:start w:w="70" w:type="dxa"/>
              <w:bottom w:w="70" w:type="dxa"/>
              <w:end w:w="70" w:type="dxa"/>
            </w:tcMar>
          </w:tcPr>
          <w:p>
            <w:pPr>
              <w:jc w:val="center"/>
            </w:pPr>
            <w:r>
              <w:rPr>
                <w:b/>
                <w:color w:val="FFFFFF"/>
                <w:sz w:val="16"/>
              </w:rPr>
              <w:t>Resource</w:t>
            </w:r>
          </w:p>
        </w:tc>
        <w:tc>
          <w:tcPr>
            <w:tcW w:type="dxa" w:w="8208"/>
            <w:shd w:fill="16324F"/>
            <w:vAlign w:val="center"/>
            <w:tcMar>
              <w:top w:w="70" w:type="dxa"/>
              <w:start w:w="70" w:type="dxa"/>
              <w:bottom w:w="70" w:type="dxa"/>
              <w:end w:w="70" w:type="dxa"/>
            </w:tcMar>
          </w:tcPr>
          <w:p>
            <w:pPr>
              <w:jc w:val="center"/>
            </w:pPr>
            <w:r>
              <w:rPr>
                <w:b/>
                <w:color w:val="FFFFFF"/>
                <w:sz w:val="16"/>
              </w:rPr>
              <w:t>Available / assumed use</w:t>
            </w:r>
          </w:p>
        </w:tc>
      </w:tr>
      <w:tr>
        <w:trPr>
          <w:cantSplit/>
        </w:trPr>
        <w:tc>
          <w:tcPr>
            <w:tcW w:type="dxa" w:w="1800"/>
            <w:tcMar>
              <w:top w:w="55" w:type="dxa"/>
              <w:start w:w="65" w:type="dxa"/>
              <w:bottom w:w="55" w:type="dxa"/>
              <w:end w:w="65" w:type="dxa"/>
            </w:tcMar>
            <w:vAlign w:val="top"/>
          </w:tcPr>
          <w:p>
            <w:pPr>
              <w:spacing w:after="0"/>
            </w:pPr>
            <w:r>
              <w:rPr>
                <w:sz w:val="16"/>
              </w:rPr>
              <w:t>CPU</w:t>
            </w:r>
          </w:p>
        </w:tc>
        <w:tc>
          <w:tcPr>
            <w:tcW w:type="dxa" w:w="8208"/>
            <w:tcMar>
              <w:top w:w="55" w:type="dxa"/>
              <w:start w:w="65" w:type="dxa"/>
              <w:bottom w:w="55" w:type="dxa"/>
              <w:end w:w="65" w:type="dxa"/>
            </w:tcMar>
            <w:vAlign w:val="top"/>
          </w:tcPr>
          <w:p>
            <w:pPr>
              <w:spacing w:after="0"/>
            </w:pPr>
            <w:r>
              <w:rPr>
                <w:sz w:val="16"/>
              </w:rPr>
              <w:t>AMD Ryzen 9 (exact SKU not specified). Use for orchestration, embedding batches, CPU baselines, SIMD experiments.</w:t>
            </w:r>
          </w:p>
        </w:tc>
      </w:tr>
      <w:tr>
        <w:trPr>
          <w:cantSplit/>
        </w:trPr>
        <w:tc>
          <w:tcPr>
            <w:tcW w:type="dxa" w:w="1800"/>
            <w:tcMar>
              <w:top w:w="55" w:type="dxa"/>
              <w:start w:w="65" w:type="dxa"/>
              <w:bottom w:w="55" w:type="dxa"/>
              <w:end w:w="65" w:type="dxa"/>
            </w:tcMar>
            <w:vAlign w:val="top"/>
          </w:tcPr>
          <w:p>
            <w:pPr>
              <w:spacing w:after="0"/>
            </w:pPr>
            <w:r>
              <w:rPr>
                <w:sz w:val="16"/>
              </w:rPr>
              <w:t>GPU</w:t>
            </w:r>
          </w:p>
        </w:tc>
        <w:tc>
          <w:tcPr>
            <w:tcW w:type="dxa" w:w="8208"/>
            <w:tcMar>
              <w:top w:w="55" w:type="dxa"/>
              <w:start w:w="65" w:type="dxa"/>
              <w:bottom w:w="55" w:type="dxa"/>
              <w:end w:w="65" w:type="dxa"/>
            </w:tcMar>
            <w:vAlign w:val="top"/>
          </w:tcPr>
          <w:p>
            <w:pPr>
              <w:spacing w:after="0"/>
            </w:pPr>
            <w:r>
              <w:rPr>
                <w:sz w:val="16"/>
              </w:rPr>
              <w:t>NVIDIA GeForce RTX 4060. Treat VRAM conservatively (assume 8 GB unless verified otherwise).</w:t>
            </w:r>
          </w:p>
        </w:tc>
      </w:tr>
      <w:tr>
        <w:trPr>
          <w:cantSplit/>
        </w:trPr>
        <w:tc>
          <w:tcPr>
            <w:tcW w:type="dxa" w:w="1800"/>
            <w:tcMar>
              <w:top w:w="55" w:type="dxa"/>
              <w:start w:w="65" w:type="dxa"/>
              <w:bottom w:w="55" w:type="dxa"/>
              <w:end w:w="65" w:type="dxa"/>
            </w:tcMar>
            <w:vAlign w:val="top"/>
          </w:tcPr>
          <w:p>
            <w:pPr>
              <w:spacing w:after="0"/>
            </w:pPr>
            <w:r>
              <w:rPr>
                <w:sz w:val="16"/>
              </w:rPr>
              <w:t>System RAM</w:t>
            </w:r>
          </w:p>
        </w:tc>
        <w:tc>
          <w:tcPr>
            <w:tcW w:type="dxa" w:w="8208"/>
            <w:tcMar>
              <w:top w:w="55" w:type="dxa"/>
              <w:start w:w="65" w:type="dxa"/>
              <w:bottom w:w="55" w:type="dxa"/>
              <w:end w:w="65" w:type="dxa"/>
            </w:tcMar>
            <w:vAlign w:val="top"/>
          </w:tcPr>
          <w:p>
            <w:pPr>
              <w:spacing w:after="0"/>
            </w:pPr>
            <w:r>
              <w:rPr>
                <w:sz w:val="16"/>
              </w:rPr>
              <w:t>16 GB. This is the main local-infrastructure constraint.</w:t>
            </w:r>
          </w:p>
        </w:tc>
      </w:tr>
      <w:tr>
        <w:trPr>
          <w:cantSplit/>
        </w:trPr>
        <w:tc>
          <w:tcPr>
            <w:tcW w:type="dxa" w:w="1800"/>
            <w:tcMar>
              <w:top w:w="55" w:type="dxa"/>
              <w:start w:w="65" w:type="dxa"/>
              <w:bottom w:w="55" w:type="dxa"/>
              <w:end w:w="65" w:type="dxa"/>
            </w:tcMar>
            <w:vAlign w:val="top"/>
          </w:tcPr>
          <w:p>
            <w:pPr>
              <w:spacing w:after="0"/>
            </w:pPr>
            <w:r>
              <w:rPr>
                <w:sz w:val="16"/>
              </w:rPr>
              <w:t>Kaggle</w:t>
            </w:r>
          </w:p>
        </w:tc>
        <w:tc>
          <w:tcPr>
            <w:tcW w:type="dxa" w:w="8208"/>
            <w:tcMar>
              <w:top w:w="55" w:type="dxa"/>
              <w:start w:w="65" w:type="dxa"/>
              <w:bottom w:w="55" w:type="dxa"/>
              <w:end w:w="65" w:type="dxa"/>
            </w:tcMar>
            <w:vAlign w:val="top"/>
          </w:tcPr>
          <w:p>
            <w:pPr>
              <w:spacing w:after="0"/>
            </w:pPr>
            <w:r>
              <w:rPr>
                <w:sz w:val="16"/>
              </w:rPr>
              <w:t>Free compute allowance as available; use for offline experiments, dataset preprocessing, or reproducibility runs—not as production infrastructure.</w:t>
            </w:r>
          </w:p>
        </w:tc>
      </w:tr>
      <w:tr>
        <w:trPr>
          <w:cantSplit/>
        </w:trPr>
        <w:tc>
          <w:tcPr>
            <w:tcW w:type="dxa" w:w="1800"/>
            <w:tcMar>
              <w:top w:w="55" w:type="dxa"/>
              <w:start w:w="65" w:type="dxa"/>
              <w:bottom w:w="55" w:type="dxa"/>
              <w:end w:w="65" w:type="dxa"/>
            </w:tcMar>
            <w:vAlign w:val="top"/>
          </w:tcPr>
          <w:p>
            <w:pPr>
              <w:spacing w:after="0"/>
            </w:pPr>
            <w:r>
              <w:rPr>
                <w:sz w:val="16"/>
              </w:rPr>
              <w:t>Lightning AI</w:t>
            </w:r>
          </w:p>
        </w:tc>
        <w:tc>
          <w:tcPr>
            <w:tcW w:type="dxa" w:w="8208"/>
            <w:tcMar>
              <w:top w:w="55" w:type="dxa"/>
              <w:start w:w="65" w:type="dxa"/>
              <w:bottom w:w="55" w:type="dxa"/>
              <w:end w:w="65" w:type="dxa"/>
            </w:tcMar>
            <w:vAlign w:val="top"/>
          </w:tcPr>
          <w:p>
            <w:pPr>
              <w:spacing w:after="0"/>
            </w:pPr>
            <w:r>
              <w:rPr>
                <w:sz w:val="16"/>
              </w:rPr>
              <w:t>About $30 credit/free allowance reported by user; reserve for short high-memory GPU experiments.</w:t>
            </w:r>
          </w:p>
        </w:tc>
      </w:tr>
      <w:tr>
        <w:trPr>
          <w:cantSplit/>
        </w:trPr>
        <w:tc>
          <w:tcPr>
            <w:tcW w:type="dxa" w:w="1800"/>
            <w:tcMar>
              <w:top w:w="55" w:type="dxa"/>
              <w:start w:w="65" w:type="dxa"/>
              <w:bottom w:w="55" w:type="dxa"/>
              <w:end w:w="65" w:type="dxa"/>
            </w:tcMar>
            <w:vAlign w:val="top"/>
          </w:tcPr>
          <w:p>
            <w:pPr>
              <w:spacing w:after="0"/>
            </w:pPr>
            <w:r>
              <w:rPr>
                <w:sz w:val="16"/>
              </w:rPr>
              <w:t>Azure</w:t>
            </w:r>
          </w:p>
        </w:tc>
        <w:tc>
          <w:tcPr>
            <w:tcW w:type="dxa" w:w="8208"/>
            <w:tcMar>
              <w:top w:w="55" w:type="dxa"/>
              <w:start w:w="65" w:type="dxa"/>
              <w:bottom w:w="55" w:type="dxa"/>
              <w:end w:w="65" w:type="dxa"/>
            </w:tcMar>
            <w:vAlign w:val="top"/>
          </w:tcPr>
          <w:p>
            <w:pPr>
              <w:spacing w:after="0"/>
            </w:pPr>
            <w:r>
              <w:rPr>
                <w:sz w:val="16"/>
              </w:rPr>
              <w:t>About $200 credit + education/free-service benefits reported by user. Design must remain useful even if credit terms differ or expire.</w:t>
            </w:r>
          </w:p>
        </w:tc>
      </w:tr>
      <w:tr>
        <w:trPr>
          <w:cantSplit/>
        </w:trPr>
        <w:tc>
          <w:tcPr>
            <w:tcW w:type="dxa" w:w="1800"/>
            <w:tcMar>
              <w:top w:w="55" w:type="dxa"/>
              <w:start w:w="65" w:type="dxa"/>
              <w:bottom w:w="55" w:type="dxa"/>
              <w:end w:w="65" w:type="dxa"/>
            </w:tcMar>
            <w:vAlign w:val="top"/>
          </w:tcPr>
          <w:p>
            <w:pPr>
              <w:spacing w:after="0"/>
            </w:pPr>
            <w:r>
              <w:rPr>
                <w:sz w:val="16"/>
              </w:rPr>
              <w:t>AWS</w:t>
            </w:r>
          </w:p>
        </w:tc>
        <w:tc>
          <w:tcPr>
            <w:tcW w:type="dxa" w:w="8208"/>
            <w:tcMar>
              <w:top w:w="55" w:type="dxa"/>
              <w:start w:w="65" w:type="dxa"/>
              <w:bottom w:w="55" w:type="dxa"/>
              <w:end w:w="65" w:type="dxa"/>
            </w:tcMar>
            <w:vAlign w:val="top"/>
          </w:tcPr>
          <w:p>
            <w:pPr>
              <w:spacing w:after="0"/>
            </w:pPr>
            <w:r>
              <w:rPr>
                <w:sz w:val="16"/>
              </w:rPr>
              <w:t>Currently suspended; exclude from the baseline architecture.</w:t>
            </w:r>
          </w:p>
        </w:tc>
      </w:tr>
    </w:tbl>
    <w:p>
      <w:pPr>
        <w:spacing w:after="0"/>
      </w:pPr>
    </w:p>
    <w:p>
      <w:pPr>
        <w:spacing w:before="160"/>
        <w:jc w:val="center"/>
      </w:pPr>
      <w:r>
        <w:rPr>
          <w:b/>
          <w:sz w:val="21"/>
        </w:rPr>
        <w:t>Working recommendation: build one coherent flagship, not three disconnected demos.</w:t>
      </w:r>
    </w:p>
    <w:p>
      <w:r>
        <w:br w:type="page"/>
      </w:r>
    </w:p>
    <w:p>
      <w:pPr>
        <w:pStyle w:val="Heading1"/>
      </w:pPr>
      <w:r>
        <w:t>1. Executive decision</w:t>
      </w:r>
    </w:p>
    <w:p>
      <w:r>
        <w:t>The recommended project is ContextForge: a production-oriented agent runtime that treats context, tools, skills, model calls, workflow steps, and compute budgets as resources that must be compiled and scheduled—not as strings concatenated into a prompt.</w:t>
      </w:r>
    </w:p>
    <w:p>
      <w:r>
        <w:t>The earlier three ideas remain useful, but they should be folded into one system: ContextForge is the core; a narrow Chronos-style scheduler provides resource-aware execution; and a narrow Sentinel-style reliability/chaos subsystem validates failures, recovery, and production behavior.</w:t>
      </w:r>
    </w:p>
    <w:tbl>
      <w:tblPr>
        <w:tblW w:type="auto" w:w="0"/>
        <w:jc w:val="center"/>
        <w:tblLook w:firstColumn="1" w:firstRow="1" w:lastColumn="0" w:lastRow="0" w:noHBand="0" w:noVBand="1" w:val="04A0"/>
      </w:tblPr>
      <w:tblGrid>
        <w:gridCol w:w="10166"/>
      </w:tblGrid>
      <w:tr>
        <w:trPr>
          <w:cantSplit/>
        </w:trPr>
        <w:tc>
          <w:tcPr>
            <w:tcW w:type="dxa" w:w="10166"/>
            <w:shd w:fill="FFF4D6"/>
            <w:tcMar>
              <w:top w:w="90" w:type="dxa"/>
              <w:start w:w="120" w:type="dxa"/>
              <w:bottom w:w="90" w:type="dxa"/>
              <w:end w:w="120" w:type="dxa"/>
            </w:tcMar>
          </w:tcPr>
          <w:p>
            <w:r>
              <w:rPr>
                <w:b/>
              </w:rPr>
              <w:t xml:space="preserve">Portfolio thesis  </w:t>
            </w:r>
            <w:r>
              <w:t>Do not present this as “a multi-agent app.” Present it as an AI systems runtime with a non-coding multi-agent workload used to stress and evaluate the runtime. The agents are workload; the runtime is the project.</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6324F"/>
            <w:vAlign w:val="center"/>
            <w:tcMar>
              <w:top w:w="70" w:type="dxa"/>
              <w:start w:w="70" w:type="dxa"/>
              <w:bottom w:w="70" w:type="dxa"/>
              <w:end w:w="70" w:type="dxa"/>
            </w:tcMar>
          </w:tcPr>
          <w:p>
            <w:pPr>
              <w:jc w:val="center"/>
            </w:pPr>
            <w:r>
              <w:rPr>
                <w:b/>
                <w:color w:val="FFFFFF"/>
                <w:sz w:val="15"/>
              </w:rPr>
              <w:t>Earlier idea</w:t>
            </w:r>
          </w:p>
        </w:tc>
        <w:tc>
          <w:tcPr>
            <w:tcW w:type="dxa" w:w="1584"/>
            <w:shd w:fill="16324F"/>
            <w:vAlign w:val="center"/>
            <w:tcMar>
              <w:top w:w="70" w:type="dxa"/>
              <w:start w:w="70" w:type="dxa"/>
              <w:bottom w:w="70" w:type="dxa"/>
              <w:end w:w="70" w:type="dxa"/>
            </w:tcMar>
          </w:tcPr>
          <w:p>
            <w:pPr>
              <w:jc w:val="center"/>
            </w:pPr>
            <w:r>
              <w:rPr>
                <w:b/>
                <w:color w:val="FFFFFF"/>
                <w:sz w:val="15"/>
              </w:rPr>
              <w:t>Keep?</w:t>
            </w:r>
          </w:p>
        </w:tc>
        <w:tc>
          <w:tcPr>
            <w:tcW w:type="dxa" w:w="5616"/>
            <w:shd w:fill="16324F"/>
            <w:vAlign w:val="center"/>
            <w:tcMar>
              <w:top w:w="70" w:type="dxa"/>
              <w:start w:w="70" w:type="dxa"/>
              <w:bottom w:w="70" w:type="dxa"/>
              <w:end w:w="70" w:type="dxa"/>
            </w:tcMar>
          </w:tcPr>
          <w:p>
            <w:pPr>
              <w:jc w:val="center"/>
            </w:pPr>
            <w:r>
              <w:rPr>
                <w:b/>
                <w:color w:val="FFFFFF"/>
                <w:sz w:val="15"/>
              </w:rPr>
              <w:t>Role inside flagship</w:t>
            </w:r>
          </w:p>
        </w:tc>
      </w:tr>
      <w:tr>
        <w:trPr>
          <w:cantSplit/>
        </w:trPr>
        <w:tc>
          <w:tcPr>
            <w:tcW w:type="dxa" w:w="2880"/>
            <w:tcMar>
              <w:top w:w="55" w:type="dxa"/>
              <w:start w:w="65" w:type="dxa"/>
              <w:bottom w:w="55" w:type="dxa"/>
              <w:end w:w="65" w:type="dxa"/>
            </w:tcMar>
            <w:vAlign w:val="top"/>
          </w:tcPr>
          <w:p>
            <w:pPr>
              <w:spacing w:after="0"/>
            </w:pPr>
            <w:r>
              <w:rPr>
                <w:sz w:val="15"/>
              </w:rPr>
              <w:t>ContextForge — context compiler</w:t>
            </w:r>
          </w:p>
        </w:tc>
        <w:tc>
          <w:tcPr>
            <w:tcW w:type="dxa" w:w="1584"/>
            <w:tcMar>
              <w:top w:w="55" w:type="dxa"/>
              <w:start w:w="65" w:type="dxa"/>
              <w:bottom w:w="55" w:type="dxa"/>
              <w:end w:w="65" w:type="dxa"/>
            </w:tcMar>
            <w:vAlign w:val="top"/>
          </w:tcPr>
          <w:p>
            <w:pPr>
              <w:spacing w:after="0"/>
            </w:pPr>
            <w:r>
              <w:rPr>
                <w:sz w:val="15"/>
              </w:rPr>
              <w:t>YES / CORE</w:t>
            </w:r>
          </w:p>
        </w:tc>
        <w:tc>
          <w:tcPr>
            <w:tcW w:type="dxa" w:w="5616"/>
            <w:tcMar>
              <w:top w:w="55" w:type="dxa"/>
              <w:start w:w="65" w:type="dxa"/>
              <w:bottom w:w="55" w:type="dxa"/>
              <w:end w:w="65" w:type="dxa"/>
            </w:tcMar>
            <w:vAlign w:val="top"/>
          </w:tcPr>
          <w:p>
            <w:pPr>
              <w:spacing w:after="0"/>
            </w:pPr>
            <w:r>
              <w:rPr>
                <w:sz w:val="15"/>
              </w:rPr>
              <w:t>Context IR, retrieval, budget allocation, memory/tool/skill selection, prompt compilation, evaluation.</w:t>
            </w:r>
          </w:p>
        </w:tc>
      </w:tr>
      <w:tr>
        <w:trPr>
          <w:cantSplit/>
        </w:trPr>
        <w:tc>
          <w:tcPr>
            <w:tcW w:type="dxa" w:w="2880"/>
            <w:tcMar>
              <w:top w:w="55" w:type="dxa"/>
              <w:start w:w="65" w:type="dxa"/>
              <w:bottom w:w="55" w:type="dxa"/>
              <w:end w:w="65" w:type="dxa"/>
            </w:tcMar>
            <w:vAlign w:val="top"/>
          </w:tcPr>
          <w:p>
            <w:pPr>
              <w:spacing w:after="0"/>
            </w:pPr>
            <w:r>
              <w:rPr>
                <w:sz w:val="15"/>
              </w:rPr>
              <w:t>Chronos — workflow-aware scheduler</w:t>
            </w:r>
          </w:p>
        </w:tc>
        <w:tc>
          <w:tcPr>
            <w:tcW w:type="dxa" w:w="1584"/>
            <w:tcMar>
              <w:top w:w="55" w:type="dxa"/>
              <w:start w:w="65" w:type="dxa"/>
              <w:bottom w:w="55" w:type="dxa"/>
              <w:end w:w="65" w:type="dxa"/>
            </w:tcMar>
            <w:vAlign w:val="top"/>
          </w:tcPr>
          <w:p>
            <w:pPr>
              <w:spacing w:after="0"/>
            </w:pPr>
            <w:r>
              <w:rPr>
                <w:sz w:val="15"/>
              </w:rPr>
              <w:t>YES / NARROW</w:t>
            </w:r>
          </w:p>
        </w:tc>
        <w:tc>
          <w:tcPr>
            <w:tcW w:type="dxa" w:w="5616"/>
            <w:tcMar>
              <w:top w:w="55" w:type="dxa"/>
              <w:start w:w="65" w:type="dxa"/>
              <w:bottom w:w="55" w:type="dxa"/>
              <w:end w:w="65" w:type="dxa"/>
            </w:tcMar>
            <w:vAlign w:val="top"/>
          </w:tcPr>
          <w:p>
            <w:pPr>
              <w:spacing w:after="0"/>
            </w:pPr>
            <w:r>
              <w:rPr>
                <w:sz w:val="15"/>
              </w:rPr>
              <w:t>Critical-path/deadline scheduling, model routing, cancellation, backpressure, cache-aware decisions.</w:t>
            </w:r>
          </w:p>
        </w:tc>
      </w:tr>
      <w:tr>
        <w:trPr>
          <w:cantSplit/>
        </w:trPr>
        <w:tc>
          <w:tcPr>
            <w:tcW w:type="dxa" w:w="2880"/>
            <w:tcMar>
              <w:top w:w="55" w:type="dxa"/>
              <w:start w:w="65" w:type="dxa"/>
              <w:bottom w:w="55" w:type="dxa"/>
              <w:end w:w="65" w:type="dxa"/>
            </w:tcMar>
            <w:vAlign w:val="top"/>
          </w:tcPr>
          <w:p>
            <w:pPr>
              <w:spacing w:after="0"/>
            </w:pPr>
            <w:r>
              <w:rPr>
                <w:sz w:val="15"/>
              </w:rPr>
              <w:t>Sentinel — autonomous reliability plane</w:t>
            </w:r>
          </w:p>
        </w:tc>
        <w:tc>
          <w:tcPr>
            <w:tcW w:type="dxa" w:w="1584"/>
            <w:tcMar>
              <w:top w:w="55" w:type="dxa"/>
              <w:start w:w="65" w:type="dxa"/>
              <w:bottom w:w="55" w:type="dxa"/>
              <w:end w:w="65" w:type="dxa"/>
            </w:tcMar>
            <w:vAlign w:val="top"/>
          </w:tcPr>
          <w:p>
            <w:pPr>
              <w:spacing w:after="0"/>
            </w:pPr>
            <w:r>
              <w:rPr>
                <w:sz w:val="15"/>
              </w:rPr>
              <w:t>YES / NARROW</w:t>
            </w:r>
          </w:p>
        </w:tc>
        <w:tc>
          <w:tcPr>
            <w:tcW w:type="dxa" w:w="5616"/>
            <w:tcMar>
              <w:top w:w="55" w:type="dxa"/>
              <w:start w:w="65" w:type="dxa"/>
              <w:bottom w:w="55" w:type="dxa"/>
              <w:end w:w="65" w:type="dxa"/>
            </w:tcMar>
            <w:vAlign w:val="top"/>
          </w:tcPr>
          <w:p>
            <w:pPr>
              <w:spacing w:after="0"/>
            </w:pPr>
            <w:r>
              <w:rPr>
                <w:sz w:val="15"/>
              </w:rPr>
              <w:t>Failure injection, trace-based diagnosis, retry/rollback verification, SLO and recovery tests.</w:t>
            </w:r>
          </w:p>
        </w:tc>
      </w:tr>
    </w:tbl>
    <w:p>
      <w:pPr>
        <w:spacing w:after="0"/>
      </w:pPr>
    </w:p>
    <w:p>
      <w:pPr>
        <w:pStyle w:val="Heading2"/>
      </w:pPr>
      <w:r>
        <w:t>What this project must prove about the builder</w:t>
      </w:r>
    </w:p>
    <w:p>
      <w:pPr>
        <w:pStyle w:val="ListBullet"/>
        <w:spacing w:after="50"/>
      </w:pPr>
      <w:r>
        <w:t>Algorithmic ability: formulate and implement nontrivial optimization/search/scheduling algorithms; establish baselines; analyze complexity and trade-offs.</w:t>
      </w:r>
    </w:p>
    <w:p>
      <w:pPr>
        <w:pStyle w:val="ListBullet"/>
        <w:spacing w:after="50"/>
      </w:pPr>
      <w:r>
        <w:t>AI engineering: retrieval, context engineering, tool use, skills, agent loops, memory, evaluation, prompt/model routing, failure-aware orchestration.</w:t>
      </w:r>
    </w:p>
    <w:p>
      <w:pPr>
        <w:pStyle w:val="ListBullet"/>
        <w:spacing w:after="50"/>
      </w:pPr>
      <w:r>
        <w:t>Systems ability: concurrency, queues, state machines, distributed workers, backpressure, caching, gRPC/HTTP boundaries, persistence, consistency, idempotency.</w:t>
      </w:r>
    </w:p>
    <w:p>
      <w:pPr>
        <w:pStyle w:val="ListBullet"/>
        <w:spacing w:after="50"/>
      </w:pPr>
      <w:r>
        <w:t>Performance ability: C++ hot path, CUDA kernel work, profiling, microbenchmarks, throughput/latency analysis, CPU/GPU utilization.</w:t>
      </w:r>
    </w:p>
    <w:p>
      <w:pPr>
        <w:pStyle w:val="ListBullet"/>
        <w:spacing w:after="50"/>
      </w:pPr>
      <w:r>
        <w:t>Production thinking: durability, retries, timeouts, security, observability, schema migration, CI/CD, load tests, chaos tests, cost controls, rollback.</w:t>
      </w:r>
    </w:p>
    <w:p>
      <w:pPr>
        <w:pStyle w:val="ListBullet"/>
        <w:spacing w:after="50"/>
      </w:pPr>
      <w:r>
        <w:t>Architecture judgment: every important dependency is accompanied by an ADR explaining alternatives, evidence, consequences, and a reversal condition.</w:t>
      </w:r>
    </w:p>
    <w:p>
      <w:pPr>
        <w:pStyle w:val="Heading2"/>
      </w:pPr>
      <w:r>
        <w:t>What this project must not become</w:t>
      </w:r>
    </w:p>
    <w:p>
      <w:pPr>
        <w:pStyle w:val="ListBullet"/>
        <w:spacing w:after="50"/>
      </w:pPr>
      <w:r>
        <w:t>A RAG chatbot with extra boxes in the architecture diagram.</w:t>
      </w:r>
    </w:p>
    <w:p>
      <w:pPr>
        <w:pStyle w:val="ListBullet"/>
        <w:spacing w:after="50"/>
      </w:pPr>
      <w:r>
        <w:t>Five agents that only call the same LLM and pass text to each other.</w:t>
      </w:r>
    </w:p>
    <w:p>
      <w:pPr>
        <w:pStyle w:val="ListBullet"/>
        <w:spacing w:after="50"/>
      </w:pPr>
      <w:r>
        <w:t>A framework showcase where LangGraph/CrewAI/AutoGen performs the interesting work.</w:t>
      </w:r>
    </w:p>
    <w:p>
      <w:pPr>
        <w:pStyle w:val="ListBullet"/>
        <w:spacing w:after="50"/>
      </w:pPr>
      <w:r>
        <w:t>A fake distributed system that needs an H100 cluster to demonstrate its central claim.</w:t>
      </w:r>
    </w:p>
    <w:p>
      <w:pPr>
        <w:pStyle w:val="ListBullet"/>
        <w:spacing w:after="50"/>
      </w:pPr>
      <w:r>
        <w:t>A résumé-driven pile of Kafka + Redis + Kubernetes + MCP + A2A + vector DB + graph DB without a workload that requires them.</w:t>
      </w:r>
    </w:p>
    <w:p>
      <w:pPr>
        <w:pStyle w:val="Heading1"/>
      </w:pPr>
      <w:r>
        <w:t>2. Handoff context and non-negotiables</w:t>
      </w:r>
    </w:p>
    <w:p>
      <w:r>
        <w:t>A future assistant or collaborator should treat the following as already-established project requirements:</w:t>
      </w:r>
    </w:p>
    <w:p>
      <w:pPr>
        <w:pStyle w:val="ListBullet"/>
        <w:spacing w:after="50"/>
      </w:pPr>
      <w:r>
        <w:t>The user wants a serious, defensible end-to-end production-grade project suitable for AI Engineer / ML Systems / AI Infrastructure interviews.</w:t>
      </w:r>
    </w:p>
    <w:p>
      <w:pPr>
        <w:pStyle w:val="ListBullet"/>
        <w:spacing w:after="50"/>
      </w:pPr>
      <w:r>
        <w:t>The project should show Python, C++, CUDA, distributed-systems thinking, system design, production engineering, agentic AI, context engineering, harness/loop engineering, tool calls, and Skills where they are justified.</w:t>
      </w:r>
    </w:p>
    <w:p>
      <w:pPr>
        <w:pStyle w:val="ListBullet"/>
        <w:spacing w:after="50"/>
      </w:pPr>
      <w:r>
        <w:t>This is explicitly not a coding-agent project.</w:t>
      </w:r>
    </w:p>
    <w:p>
      <w:pPr>
        <w:pStyle w:val="ListBullet"/>
        <w:spacing w:after="50"/>
      </w:pPr>
      <w:r>
        <w:t>MCP, Agent Skills, A2A, Langfuse, vector databases, orchestration frameworks, and cloud services are optional architectural tools—not badges. Each must earn its place.</w:t>
      </w:r>
    </w:p>
    <w:p>
      <w:pPr>
        <w:pStyle w:val="ListBullet"/>
        <w:spacing w:after="50"/>
      </w:pPr>
      <w:r>
        <w:t>Every choice must answer: Why this? Why not the nearest competitors? What evidence would make us reverse the decision?</w:t>
      </w:r>
    </w:p>
    <w:p>
      <w:pPr>
        <w:pStyle w:val="ListBullet"/>
        <w:spacing w:after="50"/>
      </w:pPr>
      <w:r>
        <w:t>The local machine is resource-constrained for infrastructure: 16 GB RAM means services must be staged or profiled, not all run indefinitely at once.</w:t>
      </w:r>
    </w:p>
    <w:p>
      <w:pPr>
        <w:pStyle w:val="ListBullet"/>
        <w:spacing w:after="50"/>
      </w:pPr>
      <w:r>
        <w:t>Cloud credits are for burst tests, distributed demonstrations, and CI/deployment proof—not for making the design dependent on expensive managed infrastructure.</w:t>
      </w:r>
    </w:p>
    <w:p>
      <w:pPr>
        <w:pStyle w:val="Heading2"/>
      </w:pPr>
      <w:r>
        <w:t>Design principle: benchmark-gated architecture</w:t>
      </w:r>
    </w:p>
    <w:p>
      <w:r>
        <w:t>The project should not claim that Qdrant, Temporal, vLLM, Langfuse, or any other tool is universally best. The repository should encode decisions as benchmark-gated ADRs. A default candidate is selected before implementation, then retained only if it satisfies the project’s measured requirements.</w:t>
      </w:r>
    </w:p>
    <w:p>
      <w:pPr>
        <w:pStyle w:val="CodeBlock"/>
      </w:pPr>
      <w:r>
        <w:t>ADR template</w:t>
      </w:r>
    </w:p>
    <w:p>
      <w:pPr>
        <w:pStyle w:val="CodeBlock"/>
      </w:pPr>
      <w:r>
        <w:t>-----------</w:t>
      </w:r>
    </w:p>
    <w:p>
      <w:pPr>
        <w:pStyle w:val="CodeBlock"/>
      </w:pPr>
      <w:r>
        <w:t>Context:</w:t>
      </w:r>
    </w:p>
    <w:p>
      <w:pPr>
        <w:pStyle w:val="CodeBlock"/>
      </w:pPr>
      <w:r>
        <w:t>Decision to make:</w:t>
      </w:r>
    </w:p>
    <w:p>
      <w:pPr>
        <w:pStyle w:val="CodeBlock"/>
      </w:pPr>
      <w:r>
        <w:t>Workload / SLO:</w:t>
      </w:r>
    </w:p>
    <w:p>
      <w:pPr>
        <w:pStyle w:val="CodeBlock"/>
      </w:pPr>
      <w:r>
        <w:t>Candidates:</w:t>
      </w:r>
    </w:p>
    <w:p>
      <w:pPr>
        <w:pStyle w:val="CodeBlock"/>
      </w:pPr>
      <w:r>
        <w:t>Evaluation criteria + weights:</w:t>
      </w:r>
    </w:p>
    <w:p>
      <w:pPr>
        <w:pStyle w:val="CodeBlock"/>
      </w:pPr>
      <w:r>
        <w:t>Prototype / benchmark:</w:t>
      </w:r>
    </w:p>
    <w:p>
      <w:pPr>
        <w:pStyle w:val="CodeBlock"/>
      </w:pPr>
      <w:r>
        <w:t>Decision:</w:t>
      </w:r>
    </w:p>
    <w:p>
      <w:pPr>
        <w:pStyle w:val="CodeBlock"/>
      </w:pPr>
      <w:r>
        <w:t>Consequences:</w:t>
      </w:r>
    </w:p>
    <w:p>
      <w:pPr>
        <w:pStyle w:val="CodeBlock"/>
      </w:pPr>
      <w:r>
        <w:t>What we are giving up:</w:t>
      </w:r>
    </w:p>
    <w:p>
      <w:pPr>
        <w:pStyle w:val="CodeBlock"/>
      </w:pPr>
      <w:r>
        <w:t>Reversal trigger:</w:t>
      </w:r>
    </w:p>
    <w:p>
      <w:pPr>
        <w:pStyle w:val="CodeBlock"/>
      </w:pPr>
      <w:r>
        <w:t>Date / commit / versions:</w:t>
      </w:r>
    </w:p>
    <w:p>
      <w:pPr>
        <w:pStyle w:val="Heading1"/>
      </w:pPr>
      <w:r>
        <w:t>3. The flagship: ContextForge</w:t>
      </w:r>
    </w:p>
    <w:p>
      <w:pPr>
        <w:pStyle w:val="Heading2"/>
      </w:pPr>
      <w:r>
        <w:t>3.1 One-sentence problem statement</w:t>
      </w:r>
    </w:p>
    <w:p>
      <w:r>
        <w:t>Production agents waste quality, latency, tokens, and compute because retrieval, memory, skills, tool exposure, model selection, and workflow scheduling are usually optimized independently. ContextForge compiles them into an evidence-carrying context package and executes the resulting workflow under explicit token, latency, cost, permission, and reliability budgets.</w:t>
      </w:r>
    </w:p>
    <w:p>
      <w:pPr>
        <w:pStyle w:val="Heading2"/>
      </w:pPr>
      <w:r>
        <w:t>3.2 Reference workload — non-coding ResearchOps</w:t>
      </w:r>
    </w:p>
    <w:p>
      <w:r>
        <w:t>Use a technical research / due-diligence workload as the demonstration domain. A user asks a complex question that requires multi-source retrieval, document analysis, calculations, tool calls, contradiction handling, verification, and a sourced final synthesis. This creates real pressure on context selection and orchestration without turning the project into a coding agent.</w:t>
      </w:r>
    </w:p>
    <w:p>
      <w:pPr>
        <w:pStyle w:val="ListBullet"/>
        <w:spacing w:after="50"/>
      </w:pPr>
      <w:r>
        <w:t>Planner: converts the user goal into a typed workflow DAG and declares evidence requirements.</w:t>
      </w:r>
    </w:p>
    <w:p>
      <w:pPr>
        <w:pStyle w:val="ListBullet"/>
        <w:spacing w:after="50"/>
      </w:pPr>
      <w:r>
        <w:t>Retriever: searches local corpus / vector index / metadata store and emits candidate evidence with provenance.</w:t>
      </w:r>
    </w:p>
    <w:p>
      <w:pPr>
        <w:pStyle w:val="ListBullet"/>
        <w:spacing w:after="50"/>
      </w:pPr>
      <w:r>
        <w:t>Evidence analyst: extracts claims, confidence, freshness, and conflicts.</w:t>
      </w:r>
    </w:p>
    <w:p>
      <w:pPr>
        <w:pStyle w:val="ListBullet"/>
        <w:spacing w:after="50"/>
      </w:pPr>
      <w:r>
        <w:t>Verifier: attempts to falsify unsupported claims and requests additional evidence when needed.</w:t>
      </w:r>
    </w:p>
    <w:p>
      <w:pPr>
        <w:pStyle w:val="ListBullet"/>
        <w:spacing w:after="50"/>
      </w:pPr>
      <w:r>
        <w:t>Synthesizer: generates the final output only from accepted evidence.</w:t>
      </w:r>
    </w:p>
    <w:p>
      <w:r>
        <w:t>Important: these roles do not need to be separate LLM processes at first. A role is a logical execution policy. Split them into independently deployable agents only when isolation, scaling, ownership, or model specialization creates a real systems boundary.</w:t>
      </w:r>
    </w:p>
    <w:p>
      <w:pPr>
        <w:pStyle w:val="Heading2"/>
      </w:pPr>
      <w:r>
        <w:t>3.3 Context IR — the central systems abstraction</w:t>
      </w:r>
    </w:p>
    <w:p>
      <w:pPr>
        <w:pStyle w:val="CodeBlock"/>
      </w:pPr>
      <w:r>
        <w:t>ContextPackage</w:t>
      </w:r>
    </w:p>
    <w:p>
      <w:pPr>
        <w:pStyle w:val="CodeBlock"/>
      </w:pPr>
      <w:r>
        <w:t>├── task_spec</w:t>
      </w:r>
    </w:p>
    <w:p>
      <w:pPr>
        <w:pStyle w:val="CodeBlock"/>
      </w:pPr>
      <w:r>
        <w:t>├── workflow_state</w:t>
      </w:r>
    </w:p>
    <w:p>
      <w:pPr>
        <w:pStyle w:val="CodeBlock"/>
      </w:pPr>
      <w:r>
        <w:t>├── evidence[]</w:t>
      </w:r>
    </w:p>
    <w:p>
      <w:pPr>
        <w:pStyle w:val="CodeBlock"/>
      </w:pPr>
      <w:r>
        <w:t>│   ├── source_id / provenance</w:t>
      </w:r>
    </w:p>
    <w:p>
      <w:pPr>
        <w:pStyle w:val="CodeBlock"/>
      </w:pPr>
      <w:r>
        <w:t>│   ├── retrieval scores</w:t>
      </w:r>
    </w:p>
    <w:p>
      <w:pPr>
        <w:pStyle w:val="CodeBlock"/>
      </w:pPr>
      <w:r>
        <w:t>│   ├── freshness</w:t>
      </w:r>
    </w:p>
    <w:p>
      <w:pPr>
        <w:pStyle w:val="CodeBlock"/>
      </w:pPr>
      <w:r>
        <w:t>│   ├── permissions</w:t>
      </w:r>
    </w:p>
    <w:p>
      <w:pPr>
        <w:pStyle w:val="CodeBlock"/>
      </w:pPr>
      <w:r>
        <w:t>│   ├── contradiction links</w:t>
      </w:r>
    </w:p>
    <w:p>
      <w:pPr>
        <w:pStyle w:val="CodeBlock"/>
      </w:pPr>
      <w:r>
        <w:t>│   └── token_cost</w:t>
      </w:r>
    </w:p>
    <w:p>
      <w:pPr>
        <w:pStyle w:val="CodeBlock"/>
      </w:pPr>
      <w:r>
        <w:t>├── selected_skills[]</w:t>
      </w:r>
    </w:p>
    <w:p>
      <w:pPr>
        <w:pStyle w:val="CodeBlock"/>
      </w:pPr>
      <w:r>
        <w:t>├── exposed_tools[]</w:t>
      </w:r>
    </w:p>
    <w:p>
      <w:pPr>
        <w:pStyle w:val="CodeBlock"/>
      </w:pPr>
      <w:r>
        <w:t>├── memory_items[]</w:t>
      </w:r>
    </w:p>
    <w:p>
      <w:pPr>
        <w:pStyle w:val="CodeBlock"/>
      </w:pPr>
      <w:r>
        <w:t>├── policy_constraints</w:t>
      </w:r>
    </w:p>
    <w:p>
      <w:pPr>
        <w:pStyle w:val="CodeBlock"/>
      </w:pPr>
      <w:r>
        <w:t>├── budget</w:t>
      </w:r>
    </w:p>
    <w:p>
      <w:pPr>
        <w:pStyle w:val="CodeBlock"/>
      </w:pPr>
      <w:r>
        <w:t>│   ├── tokens</w:t>
      </w:r>
    </w:p>
    <w:p>
      <w:pPr>
        <w:pStyle w:val="CodeBlock"/>
      </w:pPr>
      <w:r>
        <w:t>│   ├── latency</w:t>
      </w:r>
    </w:p>
    <w:p>
      <w:pPr>
        <w:pStyle w:val="CodeBlock"/>
      </w:pPr>
      <w:r>
        <w:t>│   ├── monetary_cost</w:t>
      </w:r>
    </w:p>
    <w:p>
      <w:pPr>
        <w:pStyle w:val="CodeBlock"/>
      </w:pPr>
      <w:r>
        <w:t>│   └── risk</w:t>
      </w:r>
    </w:p>
    <w:p>
      <w:pPr>
        <w:pStyle w:val="CodeBlock"/>
      </w:pPr>
      <w:r>
        <w:t>├── cacheable_prefix</w:t>
      </w:r>
    </w:p>
    <w:p>
      <w:pPr>
        <w:pStyle w:val="CodeBlock"/>
      </w:pPr>
      <w:r>
        <w:t>└── compilation_trace</w:t>
      </w:r>
    </w:p>
    <w:p>
      <w:r>
        <w:t>This IR makes context engineering observable and testable. Each compiler pass can be benchmarked independently, replayed from traces, replaced, or ablated.</w:t>
      </w:r>
    </w:p>
    <w:p>
      <w:pPr>
        <w:pStyle w:val="Heading2"/>
      </w:pPr>
      <w:r>
        <w:t>3.4 Compiler pipeline</w:t>
      </w:r>
    </w:p>
    <w:p>
      <w:pPr>
        <w:pStyle w:val="CodeBlock"/>
      </w:pPr>
      <w:r>
        <w:t>Ingest / retrieve candidates</w:t>
      </w:r>
    </w:p>
    <w:p>
      <w:pPr>
        <w:pStyle w:val="CodeBlock"/>
      </w:pPr>
      <w:r>
        <w:t xml:space="preserve">        ↓</w:t>
      </w:r>
    </w:p>
    <w:p>
      <w:pPr>
        <w:pStyle w:val="CodeBlock"/>
      </w:pPr>
      <w:r>
        <w:t>Normalize + provenance</w:t>
      </w:r>
    </w:p>
    <w:p>
      <w:pPr>
        <w:pStyle w:val="CodeBlock"/>
      </w:pPr>
      <w:r>
        <w:t xml:space="preserve">        ↓</w:t>
      </w:r>
    </w:p>
    <w:p>
      <w:pPr>
        <w:pStyle w:val="CodeBlock"/>
      </w:pPr>
      <w:r>
        <w:t>Permission / tenant filter</w:t>
      </w:r>
    </w:p>
    <w:p>
      <w:pPr>
        <w:pStyle w:val="CodeBlock"/>
      </w:pPr>
      <w:r>
        <w:t xml:space="preserve">        ↓</w:t>
      </w:r>
    </w:p>
    <w:p>
      <w:pPr>
        <w:pStyle w:val="CodeBlock"/>
      </w:pPr>
      <w:r>
        <w:t>Deduplicate / cluster</w:t>
      </w:r>
    </w:p>
    <w:p>
      <w:pPr>
        <w:pStyle w:val="CodeBlock"/>
      </w:pPr>
      <w:r>
        <w:t xml:space="preserve">        ↓</w:t>
      </w:r>
    </w:p>
    <w:p>
      <w:pPr>
        <w:pStyle w:val="CodeBlock"/>
      </w:pPr>
      <w:r>
        <w:t>Freshness + contradiction analysis</w:t>
      </w:r>
    </w:p>
    <w:p>
      <w:pPr>
        <w:pStyle w:val="CodeBlock"/>
      </w:pPr>
      <w:r>
        <w:t xml:space="preserve">        ↓</w:t>
      </w:r>
    </w:p>
    <w:p>
      <w:pPr>
        <w:pStyle w:val="CodeBlock"/>
      </w:pPr>
      <w:r>
        <w:t>Utility estimation</w:t>
      </w:r>
    </w:p>
    <w:p>
      <w:pPr>
        <w:pStyle w:val="CodeBlock"/>
      </w:pPr>
      <w:r>
        <w:t xml:space="preserve">        ↓</w:t>
      </w:r>
    </w:p>
    <w:p>
      <w:pPr>
        <w:pStyle w:val="CodeBlock"/>
      </w:pPr>
      <w:r>
        <w:t>Budgeted context selection</w:t>
      </w:r>
    </w:p>
    <w:p>
      <w:pPr>
        <w:pStyle w:val="CodeBlock"/>
      </w:pPr>
      <w:r>
        <w:t xml:space="preserve">        ↓</w:t>
      </w:r>
    </w:p>
    <w:p>
      <w:pPr>
        <w:pStyle w:val="CodeBlock"/>
      </w:pPr>
      <w:r>
        <w:t>Skill selection</w:t>
      </w:r>
    </w:p>
    <w:p>
      <w:pPr>
        <w:pStyle w:val="CodeBlock"/>
      </w:pPr>
      <w:r>
        <w:t xml:space="preserve">        ↓</w:t>
      </w:r>
    </w:p>
    <w:p>
      <w:pPr>
        <w:pStyle w:val="CodeBlock"/>
      </w:pPr>
      <w:r>
        <w:t>Tool-surface selection</w:t>
      </w:r>
    </w:p>
    <w:p>
      <w:pPr>
        <w:pStyle w:val="CodeBlock"/>
      </w:pPr>
      <w:r>
        <w:t xml:space="preserve">        ↓</w:t>
      </w:r>
    </w:p>
    <w:p>
      <w:pPr>
        <w:pStyle w:val="CodeBlock"/>
      </w:pPr>
      <w:r>
        <w:t>Ordering / prompt packing</w:t>
      </w:r>
    </w:p>
    <w:p>
      <w:pPr>
        <w:pStyle w:val="CodeBlock"/>
      </w:pPr>
      <w:r>
        <w:t xml:space="preserve">        ↓</w:t>
      </w:r>
    </w:p>
    <w:p>
      <w:pPr>
        <w:pStyle w:val="CodeBlock"/>
      </w:pPr>
      <w:r>
        <w:t>ContextPackage</w:t>
      </w:r>
    </w:p>
    <w:p>
      <w:pPr>
        <w:pStyle w:val="CodeBlock"/>
      </w:pPr>
      <w:r>
        <w:t xml:space="preserve">        ↓</w:t>
      </w:r>
    </w:p>
    <w:p>
      <w:pPr>
        <w:pStyle w:val="CodeBlock"/>
      </w:pPr>
      <w:r>
        <w:t>Model / agent execution</w:t>
      </w:r>
    </w:p>
    <w:p>
      <w:pPr>
        <w:pStyle w:val="Heading1"/>
      </w:pPr>
      <w:r>
        <w:t>4. Algorithmic depth: what you should actually implement</w:t>
      </w:r>
    </w:p>
    <w:p>
      <w:pPr>
        <w:pStyle w:val="Heading2"/>
      </w:pPr>
      <w:r>
        <w:t>4.1 Budgeted context selection</w:t>
      </w:r>
    </w:p>
    <w:p>
      <w:r>
        <w:t>Treat context construction as constrained optimization rather than top-k retrieval. Each candidate has utility, token cost, latency cost, freshness, risk, provenance quality, redundancy, and coverage features.</w:t>
      </w:r>
    </w:p>
    <w:p>
      <w:pPr>
        <w:pStyle w:val="CodeBlock"/>
      </w:pPr>
      <w:r>
        <w:t>One useful objective family:</w:t>
      </w:r>
    </w:p>
    <w:p>
      <w:pPr>
        <w:pStyle w:val="CodeBlock"/>
      </w:pPr>
      <w:r>
        <w:t xml:space="preserve"> </w:t>
      </w:r>
    </w:p>
    <w:p>
      <w:pPr>
        <w:pStyle w:val="CodeBlock"/>
      </w:pPr>
      <w:r>
        <w:t>maximize    Σ utility(i)·x_i</w:t>
      </w:r>
    </w:p>
    <w:p>
      <w:pPr>
        <w:pStyle w:val="CodeBlock"/>
      </w:pPr>
      <w:r>
        <w:t xml:space="preserve">          + λ₁·coverage(S)</w:t>
      </w:r>
    </w:p>
    <w:p>
      <w:pPr>
        <w:pStyle w:val="CodeBlock"/>
      </w:pPr>
      <w:r>
        <w:t xml:space="preserve">          - λ₂·redundancy(S)</w:t>
      </w:r>
    </w:p>
    <w:p>
      <w:pPr>
        <w:pStyle w:val="CodeBlock"/>
      </w:pPr>
      <w:r>
        <w:t xml:space="preserve">          - λ₃·staleness(S)</w:t>
      </w:r>
    </w:p>
    <w:p>
      <w:pPr>
        <w:pStyle w:val="CodeBlock"/>
      </w:pPr>
      <w:r>
        <w:t xml:space="preserve">          - λ₄·risk(S)</w:t>
      </w:r>
    </w:p>
    <w:p>
      <w:pPr>
        <w:pStyle w:val="CodeBlock"/>
      </w:pPr>
      <w:r>
        <w:t xml:space="preserve"> </w:t>
      </w:r>
    </w:p>
    <w:p>
      <w:pPr>
        <w:pStyle w:val="CodeBlock"/>
      </w:pPr>
      <w:r>
        <w:t>subject to  Σ tokens(i)·x_i  ≤ B_tokens</w:t>
      </w:r>
    </w:p>
    <w:p>
      <w:pPr>
        <w:pStyle w:val="CodeBlock"/>
      </w:pPr>
      <w:r>
        <w:t xml:space="preserve">            predicted_latency(S) ≤ B_latency</w:t>
      </w:r>
    </w:p>
    <w:p>
      <w:pPr>
        <w:pStyle w:val="CodeBlock"/>
      </w:pPr>
      <w:r>
        <w:t xml:space="preserve">            predicted_cost(S)    ≤ B_cost</w:t>
      </w:r>
    </w:p>
    <w:p>
      <w:pPr>
        <w:pStyle w:val="CodeBlock"/>
      </w:pPr>
      <w:r>
        <w:t xml:space="preserve">            permissions(i)       = allowed</w:t>
      </w:r>
    </w:p>
    <w:p>
      <w:pPr>
        <w:pStyle w:val="CodeBlock"/>
      </w:pPr>
      <w:r>
        <w:t xml:space="preserve">            required_evidence categories are covered</w:t>
      </w:r>
    </w:p>
    <w:p>
      <w:r>
        <w:t>Build several solvers: naive top-k, greedy utility/token ratio, submodular greedy, dynamic-programming/ILP oracle for small instances, and optionally a learned utility model. The point is not just to get a good answer; it is to quantify the approximation/quality/latency trade-off.</w:t>
      </w:r>
    </w:p>
    <w:p>
      <w:pPr>
        <w:pStyle w:val="Heading2"/>
      </w:pPr>
      <w:r>
        <w:t>4.2 Retrieval and ranking</w:t>
      </w:r>
    </w:p>
    <w:p>
      <w:pPr>
        <w:pStyle w:val="ListBullet"/>
        <w:spacing w:after="50"/>
      </w:pPr>
      <w:r>
        <w:t>Candidate generation: dense + sparse/BM25 hybrid retrieval.</w:t>
      </w:r>
    </w:p>
    <w:p>
      <w:pPr>
        <w:pStyle w:val="ListBullet"/>
        <w:spacing w:after="50"/>
      </w:pPr>
      <w:r>
        <w:t>Fusion: RRF and weighted-score baselines.</w:t>
      </w:r>
    </w:p>
    <w:p>
      <w:pPr>
        <w:pStyle w:val="ListBullet"/>
        <w:spacing w:after="50"/>
      </w:pPr>
      <w:r>
        <w:t>Second stage: cross-encoder or late-interaction reranking on only the candidate set.</w:t>
      </w:r>
    </w:p>
    <w:p>
      <w:pPr>
        <w:pStyle w:val="ListBullet"/>
        <w:spacing w:after="50"/>
      </w:pPr>
      <w:r>
        <w:t>Diversity: MMR or cluster-aware selection so redundant chunks do not consume the context budget.</w:t>
      </w:r>
    </w:p>
    <w:p>
      <w:pPr>
        <w:pStyle w:val="ListBullet"/>
        <w:spacing w:after="50"/>
      </w:pPr>
      <w:r>
        <w:t>Provenance: every accepted unit retains source, chunk, version, timestamp/freshness, and retrieval path.</w:t>
      </w:r>
    </w:p>
    <w:p>
      <w:pPr>
        <w:pStyle w:val="Heading2"/>
      </w:pPr>
      <w:r>
        <w:t>4.3 Tool and Skill surface minimization</w:t>
      </w:r>
    </w:p>
    <w:p>
      <w:r>
        <w:t>Do not expose every tool schema and every procedure to every model call. Build a selector that chooses the smallest capability set that plausibly covers the task. This is both a context-cost problem and a security problem.</w:t>
      </w:r>
    </w:p>
    <w:p>
      <w:pPr>
        <w:pStyle w:val="ListBullet"/>
        <w:spacing w:after="50"/>
      </w:pPr>
      <w:r>
        <w:t>Baseline: keyword/metadata rules.</w:t>
      </w:r>
    </w:p>
    <w:p>
      <w:pPr>
        <w:pStyle w:val="ListBullet"/>
        <w:spacing w:after="50"/>
      </w:pPr>
      <w:r>
        <w:t>Embedding classifier: retrieve relevant tools/skills by description.</w:t>
      </w:r>
    </w:p>
    <w:p>
      <w:pPr>
        <w:pStyle w:val="ListBullet"/>
        <w:spacing w:after="50"/>
      </w:pPr>
      <w:r>
        <w:t>Budgeted set-cover formulation: cover required capabilities with minimal schema-token cost.</w:t>
      </w:r>
    </w:p>
    <w:p>
      <w:pPr>
        <w:pStyle w:val="ListBullet"/>
        <w:spacing w:after="50"/>
      </w:pPr>
      <w:r>
        <w:t>Stretch: contextual bandit that learns successful tool/skill exposure from traces while respecting policy constraints.</w:t>
      </w:r>
    </w:p>
    <w:p>
      <w:pPr>
        <w:pStyle w:val="Heading2"/>
      </w:pPr>
      <w:r>
        <w:t>4.4 Workflow scheduling — the Chronos component</w:t>
      </w:r>
    </w:p>
    <w:p>
      <w:r>
        <w:t>The runtime executes a DAG containing LLM steps, retrieval, tools, validation, and fan-out/fan-in. Add a scheduler that considers critical path, deadlines, expected service time, model cost, cancellation, and shared-prefix/cache affinity.</w:t>
      </w:r>
    </w:p>
    <w:p>
      <w:pPr>
        <w:pStyle w:val="ListBullet"/>
        <w:spacing w:after="50"/>
      </w:pPr>
      <w:r>
        <w:t>Baselines: FIFO, round-robin, shortest predicted processing time, earliest deadline first.</w:t>
      </w:r>
    </w:p>
    <w:p>
      <w:pPr>
        <w:pStyle w:val="ListBullet"/>
        <w:spacing w:after="50"/>
      </w:pPr>
      <w:r>
        <w:t>Project policy: critical-path-aware priority + tenant fairness + cancellation of losing speculative branches.</w:t>
      </w:r>
    </w:p>
    <w:p>
      <w:pPr>
        <w:pStyle w:val="ListBullet"/>
        <w:spacing w:after="50"/>
      </w:pPr>
      <w:r>
        <w:t>Optional prefix-aware term: prefer an inference worker/model endpoint likely to reuse a prompt prefix when doing so does not violate load or deadline constraints.</w:t>
      </w:r>
    </w:p>
    <w:p>
      <w:pPr>
        <w:pStyle w:val="ListBullet"/>
        <w:spacing w:after="50"/>
      </w:pPr>
      <w:r>
        <w:t>Use a stubbed model server for large scheduling experiments so results are not dominated by LLM API cost.</w:t>
      </w:r>
    </w:p>
    <w:p>
      <w:pPr>
        <w:pStyle w:val="Heading2"/>
      </w:pPr>
      <w:r>
        <w:t>4.5 Cache policy as an algorithmic subproblem</w:t>
      </w:r>
    </w:p>
    <w:p>
      <w:r>
        <w:t>If time permits, implement an agent-context cache whose value is expected recomputation cost rather than recency alone. Compare LRU, LFU/TinyLFU-style policies, and a cost-aware policy using real trace replays. This gives a clean systems-algorithms benchmark.</w:t>
      </w:r>
    </w:p>
    <w:p>
      <w:pPr>
        <w:pStyle w:val="Heading2"/>
      </w:pPr>
      <w:r>
        <w:t>4.6 C++ / CUDA contribution</w:t>
      </w:r>
    </w:p>
    <w:p>
      <w:r>
        <w:t>The low-level component should be workload-driven. Recommended: implement a batched late-interaction MaxSim reranker for the top N retrieval candidates as a PyTorch C++/CUDA extension. Compare against a straightforward PyTorch baseline and, optionally, a Triton implementation.</w:t>
      </w:r>
    </w:p>
    <w:p>
      <w:pPr>
        <w:pStyle w:val="ListBullet"/>
        <w:spacing w:after="50"/>
      </w:pPr>
      <w:r>
        <w:t>Measure latency and throughput versus candidate count, query-token count, document-token count, vector dimension, dtype, and batch size.</w:t>
      </w:r>
    </w:p>
    <w:p>
      <w:pPr>
        <w:pStyle w:val="ListBullet"/>
        <w:spacing w:after="50"/>
      </w:pPr>
      <w:r>
        <w:t>Profile memory bandwidth, occupancy, launch overhead, and achieved compute using Nsight Systems/Compute.</w:t>
      </w:r>
    </w:p>
    <w:p>
      <w:pPr>
        <w:pStyle w:val="ListBullet"/>
        <w:spacing w:after="50"/>
      </w:pPr>
      <w:r>
        <w:t>Add a CPU C++ baseline with vectorized operations where supported, then compare CPU vs GPU crossover points.</w:t>
      </w:r>
    </w:p>
    <w:p>
      <w:pPr>
        <w:pStyle w:val="ListBullet"/>
        <w:spacing w:after="50"/>
      </w:pPr>
      <w:r>
        <w:t>Stretch research branch: implement/benchmark a TurboQuant-style compressed vector scoring experiment, but do not make an experimental quantizer a production dependency merely to claim novelty.</w:t>
      </w:r>
    </w:p>
    <w:tbl>
      <w:tblPr>
        <w:tblW w:type="auto" w:w="0"/>
        <w:jc w:val="center"/>
        <w:tblLook w:firstColumn="1" w:firstRow="1" w:lastColumn="0" w:lastRow="0" w:noHBand="0" w:noVBand="1" w:val="04A0"/>
      </w:tblPr>
      <w:tblGrid>
        <w:gridCol w:w="10166"/>
      </w:tblGrid>
      <w:tr>
        <w:trPr>
          <w:cantSplit/>
        </w:trPr>
        <w:tc>
          <w:tcPr>
            <w:tcW w:type="dxa" w:w="10166"/>
            <w:shd w:fill="E8F5ED"/>
            <w:tcMar>
              <w:top w:w="90" w:type="dxa"/>
              <w:start w:w="120" w:type="dxa"/>
              <w:bottom w:w="90" w:type="dxa"/>
              <w:end w:w="120" w:type="dxa"/>
            </w:tcMar>
          </w:tcPr>
          <w:p>
            <w:r>
              <w:rPr>
                <w:b/>
              </w:rPr>
              <w:t xml:space="preserve">Why this is defensible  </w:t>
            </w:r>
            <w:r>
              <w:t>The C++/CUDA work accelerates an operation the system actually performs. If the custom kernel loses to an existing implementation, publish the negative result and explain why. That is stronger engineering evidence than forcing a custom kernel into production.</w:t>
            </w:r>
          </w:p>
        </w:tc>
      </w:tr>
    </w:tbl>
    <w:p>
      <w:pPr>
        <w:spacing w:after="0"/>
      </w:pPr>
    </w:p>
    <w:p>
      <w:pPr>
        <w:pStyle w:val="Heading1"/>
      </w:pPr>
      <w:r>
        <w:t>5. Agent protocols and harness engineering</w:t>
      </w:r>
    </w:p>
    <w:p>
      <w:pPr>
        <w:pStyle w:val="Heading2"/>
      </w:pPr>
      <w:r>
        <w:t>5.1 MCP — use for tools/resources, not for internal orchestration</w:t>
      </w:r>
    </w:p>
    <w:p>
      <w:r>
        <w:t>Use MCP at capability boundaries: search, document store, SQL/analytics, calculator, experiment service, or other external tools. The 2026-07-28 MCP specification moved the core toward stateless request/response HTTP and formalized trace-context conventions, which fits horizontally scalable tool services. [R12]</w:t>
      </w:r>
    </w:p>
    <w:p>
      <w:pPr>
        <w:pStyle w:val="ListBullet"/>
        <w:spacing w:after="50"/>
      </w:pPr>
      <w:r>
        <w:t>MCP tool servers expose actions and retrieval capabilities.</w:t>
      </w:r>
    </w:p>
    <w:p>
      <w:pPr>
        <w:pStyle w:val="ListBullet"/>
        <w:spacing w:after="50"/>
      </w:pPr>
      <w:r>
        <w:t>ContextForge decides which tool schemas become visible for a given step.</w:t>
      </w:r>
    </w:p>
    <w:p>
      <w:pPr>
        <w:pStyle w:val="ListBullet"/>
        <w:spacing w:after="50"/>
      </w:pPr>
      <w:r>
        <w:t>Tool calls carry deadlines, idempotency keys where applicable, authorization context, and trace context.</w:t>
      </w:r>
    </w:p>
    <w:p>
      <w:pPr>
        <w:pStyle w:val="ListBullet"/>
        <w:spacing w:after="50"/>
      </w:pPr>
      <w:r>
        <w:t>Destructive or high-risk tools require explicit policy gates or human approval.</w:t>
      </w:r>
    </w:p>
    <w:p>
      <w:pPr>
        <w:pStyle w:val="Heading2"/>
      </w:pPr>
      <w:r>
        <w:t>5.2 Agent Skills — use for procedural knowledge</w:t>
      </w:r>
    </w:p>
    <w:p>
      <w:r>
        <w:t>A Skill is a portable folder centered on SKILL.md, optionally containing scripts, references, and assets. Skills are progressively disclosed: descriptions can be discovered cheaply, while full instructions load only when relevant. [R13]</w:t>
      </w:r>
    </w:p>
    <w:p>
      <w:pPr>
        <w:pStyle w:val="ListBullet"/>
        <w:spacing w:after="50"/>
      </w:pPr>
      <w:r>
        <w:t>Examples for ResearchOps: source-triangulation, claim-verification, document-table-extraction, statistical-sanity-check, long-report-synthesis.</w:t>
      </w:r>
    </w:p>
    <w:p>
      <w:pPr>
        <w:pStyle w:val="ListBullet"/>
        <w:spacing w:after="50"/>
      </w:pPr>
      <w:r>
        <w:t>Skills belong in version control and are evaluated like code: version, tests, activation precision/recall, and regression cases.</w:t>
      </w:r>
    </w:p>
    <w:p>
      <w:pPr>
        <w:pStyle w:val="ListBullet"/>
        <w:spacing w:after="50"/>
      </w:pPr>
      <w:r>
        <w:t>Do not duplicate executable tool APIs inside Skills; Skills explain procedure, while tools perform external actions.</w:t>
      </w:r>
    </w:p>
    <w:p>
      <w:pPr>
        <w:pStyle w:val="Heading2"/>
      </w:pPr>
      <w:r>
        <w:t>5.3 A2A — deliberately deferred</w:t>
      </w:r>
    </w:p>
    <w:p>
      <w:r>
        <w:t>A2A is designed for interoperability among independently deployed agent systems. [R14] Do not use it merely because multiple logical roles exist. Introduce A2A only when at least two agents become true service boundaries with independent lifecycle, ownership, model stack, or scaling requirements.</w:t>
      </w:r>
    </w:p>
    <w:p>
      <w:pPr>
        <w:pStyle w:val="Heading2"/>
      </w:pPr>
      <w:r>
        <w:t>5.4 Loop engineering</w:t>
      </w:r>
    </w:p>
    <w:p>
      <w:pPr>
        <w:pStyle w:val="CodeBlock"/>
      </w:pPr>
      <w:r>
        <w:t>Observe state</w:t>
      </w:r>
    </w:p>
    <w:p>
      <w:pPr>
        <w:pStyle w:val="CodeBlock"/>
      </w:pPr>
      <w:r>
        <w:t xml:space="preserve">   ↓</w:t>
      </w:r>
    </w:p>
    <w:p>
      <w:pPr>
        <w:pStyle w:val="CodeBlock"/>
      </w:pPr>
      <w:r>
        <w:t>Compile context + capability surface</w:t>
      </w:r>
    </w:p>
    <w:p>
      <w:pPr>
        <w:pStyle w:val="CodeBlock"/>
      </w:pPr>
      <w:r>
        <w:t xml:space="preserve">   ↓</w:t>
      </w:r>
    </w:p>
    <w:p>
      <w:pPr>
        <w:pStyle w:val="CodeBlock"/>
      </w:pPr>
      <w:r>
        <w:t>Act</w:t>
      </w:r>
    </w:p>
    <w:p>
      <w:pPr>
        <w:pStyle w:val="CodeBlock"/>
      </w:pPr>
      <w:r>
        <w:t xml:space="preserve">   ↓</w:t>
      </w:r>
    </w:p>
    <w:p>
      <w:pPr>
        <w:pStyle w:val="CodeBlock"/>
      </w:pPr>
      <w:r>
        <w:t>Validate output / evidence</w:t>
      </w:r>
    </w:p>
    <w:p>
      <w:pPr>
        <w:pStyle w:val="CodeBlock"/>
      </w:pPr>
      <w:r>
        <w:t xml:space="preserve">   ↓</w:t>
      </w:r>
    </w:p>
    <w:p>
      <w:pPr>
        <w:pStyle w:val="CodeBlock"/>
      </w:pPr>
      <w:r>
        <w:t>Update typed state</w:t>
      </w:r>
    </w:p>
    <w:p>
      <w:pPr>
        <w:pStyle w:val="CodeBlock"/>
      </w:pPr>
      <w:r>
        <w:t xml:space="preserve">   ↓</w:t>
      </w:r>
    </w:p>
    <w:p>
      <w:pPr>
        <w:pStyle w:val="CodeBlock"/>
      </w:pPr>
      <w:r>
        <w:t>Check budgets / stop criteria</w:t>
      </w:r>
    </w:p>
    <w:p>
      <w:pPr>
        <w:pStyle w:val="CodeBlock"/>
      </w:pPr>
      <w:r>
        <w:t xml:space="preserve">   ↓</w:t>
      </w:r>
    </w:p>
    <w:p>
      <w:pPr>
        <w:pStyle w:val="CodeBlock"/>
      </w:pPr>
      <w:r>
        <w:t>Continue, re-plan, ask for approval, or terminate</w:t>
      </w:r>
    </w:p>
    <w:p>
      <w:r>
        <w:t>Every loop iteration should have explicit stop conditions, retry budgets, confidence/evidence requirements, and traceable state transitions. The harness should make ‘why did the agent continue?’ answerable from data.</w:t>
      </w:r>
    </w:p>
    <w:p>
      <w:pPr>
        <w:pStyle w:val="Heading1"/>
      </w:pPr>
      <w:r>
        <w:t>6. System architecture</w:t>
      </w:r>
    </w:p>
    <w:p>
      <w:pPr>
        <w:pStyle w:val="CodeBlock"/>
      </w:pPr>
      <w:r>
        <w:t xml:space="preserve">                           ┌─────────────────────────┐</w:t>
      </w:r>
    </w:p>
    <w:p>
      <w:pPr>
        <w:pStyle w:val="CodeBlock"/>
      </w:pPr>
      <w:r>
        <w:t xml:space="preserve">                           │ HTTP API / UI Gateway   │</w:t>
      </w:r>
    </w:p>
    <w:p>
      <w:pPr>
        <w:pStyle w:val="CodeBlock"/>
      </w:pPr>
      <w:r>
        <w:t xml:space="preserve">                           │ auth, quotas, request ID│</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 Durable Workflow Layer  │</w:t>
      </w:r>
    </w:p>
    <w:p>
      <w:pPr>
        <w:pStyle w:val="CodeBlock"/>
      </w:pPr>
      <w:r>
        <w:t xml:space="preserve">                           │ Temporal                │</w:t>
      </w:r>
    </w:p>
    <w:p>
      <w:pPr>
        <w:pStyle w:val="CodeBlock"/>
      </w:pPr>
      <w:r>
        <w:t xml:space="preserve">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Context Compiler     │                │ Execution Scheduler │</w:t>
      </w:r>
    </w:p>
    <w:p>
      <w:pPr>
        <w:pStyle w:val="CodeBlock"/>
      </w:pPr>
      <w:r>
        <w:t xml:space="preserve">        │ Python               │                │ Python → C++ hotpath│</w:t>
      </w:r>
    </w:p>
    <w:p>
      <w:pPr>
        <w:pStyle w:val="CodeBlock"/>
      </w:pPr>
      <w:r>
        <w:t xml:space="preserve">        └───────┬──────────────┘                └──────────┬──────────┘</w:t>
      </w:r>
    </w:p>
    <w:p>
      <w:pPr>
        <w:pStyle w:val="CodeBlock"/>
      </w:pPr>
      <w:r>
        <w:t xml:space="preserve">                │                                          │</w:t>
      </w:r>
    </w:p>
    <w:p>
      <w:pPr>
        <w:pStyle w:val="CodeBlock"/>
      </w:pPr>
      <w:r>
        <w:t xml:space="preserve">      ┌─────────┼─────────────┐                  ┌─────────┼──────────┐</w:t>
      </w:r>
    </w:p>
    <w:p>
      <w:pPr>
        <w:pStyle w:val="CodeBlock"/>
      </w:pPr>
      <w:r>
        <w:t xml:space="preserve">      ▼         ▼             ▼                  ▼         ▼          ▼</w:t>
      </w:r>
    </w:p>
    <w:p>
      <w:pPr>
        <w:pStyle w:val="CodeBlock"/>
      </w:pPr>
      <w:r>
        <w:t xml:space="preserve"> PostgreSQL   Qdrant      Skill registry     Local LLM   Remote    Tool calls</w:t>
      </w:r>
    </w:p>
    <w:p>
      <w:pPr>
        <w:pStyle w:val="CodeBlock"/>
      </w:pPr>
      <w:r>
        <w:t xml:space="preserve"> state/meta   retrieval   + policy store     backend     backend    via MCP</w:t>
      </w:r>
    </w:p>
    <w:p>
      <w:pPr>
        <w:pStyle w:val="CodeBlock"/>
      </w:pPr>
      <w:r>
        <w:t xml:space="preserve">      │         │             │                  │</w:t>
      </w:r>
    </w:p>
    <w:p>
      <w:pPr>
        <w:pStyle w:val="CodeBlock"/>
      </w:pPr>
      <w:r>
        <w:t xml:space="preserve">      └─────────┴──────┬──────┘                  ▼</w:t>
      </w:r>
    </w:p>
    <w:p>
      <w:pPr>
        <w:pStyle w:val="CodeBlock"/>
      </w:pPr>
      <w:r>
        <w:t xml:space="preserve">                       │                  ┌──────────────────┐</w:t>
      </w:r>
    </w:p>
    <w:p>
      <w:pPr>
        <w:pStyle w:val="CodeBlock"/>
      </w:pPr>
      <w:r>
        <w:t xml:space="preserve">                       │                  │ C++/CUDA reranker│</w:t>
      </w:r>
    </w:p>
    <w:p>
      <w:pPr>
        <w:pStyle w:val="CodeBlock"/>
      </w:pPr>
      <w:r>
        <w:t xml:space="preserve">                       │                  │ / perf service   │</w:t>
      </w:r>
    </w:p>
    <w:p>
      <w:pPr>
        <w:pStyle w:val="CodeBlock"/>
      </w:pPr>
      <w:r>
        <w:t xml:space="preserve">                       │                  └──────────────────┘</w:t>
      </w:r>
    </w:p>
    <w:p>
      <w:pPr>
        <w:pStyle w:val="CodeBlock"/>
      </w:pPr>
      <w:r>
        <w:t xml:space="preserve">                       ▼</w:t>
      </w:r>
    </w:p>
    <w:p>
      <w:pPr>
        <w:pStyle w:val="CodeBlock"/>
      </w:pPr>
      <w:r>
        <w:t xml:space="preserve">                 ContextPackage</w:t>
      </w:r>
    </w:p>
    <w:p>
      <w:pPr>
        <w:pStyle w:val="CodeBlock"/>
      </w:pPr>
      <w:r>
        <w:t xml:space="preserve"> </w:t>
      </w:r>
    </w:p>
    <w:p>
      <w:pPr>
        <w:pStyle w:val="CodeBlock"/>
      </w:pPr>
      <w:r>
        <w:t>All components emit OpenTelemetry spans → Langfuse (AI view) + Prometheus/Grafana (systems view)</w:t>
      </w:r>
    </w:p>
    <w:p>
      <w:pPr>
        <w:pStyle w:val="Heading2"/>
      </w:pPr>
      <w:r>
        <w:t>6.1 Control plane versus data plane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shd w:fill="16324F"/>
            <w:vAlign w:val="center"/>
            <w:tcMar>
              <w:top w:w="70" w:type="dxa"/>
              <w:start w:w="70" w:type="dxa"/>
              <w:bottom w:w="70" w:type="dxa"/>
              <w:end w:w="70" w:type="dxa"/>
            </w:tcMar>
          </w:tcPr>
          <w:p>
            <w:pPr>
              <w:jc w:val="center"/>
            </w:pPr>
            <w:r>
              <w:rPr>
                <w:b/>
                <w:color w:val="FFFFFF"/>
                <w:sz w:val="15"/>
              </w:rPr>
              <w:t>Plane</w:t>
            </w:r>
          </w:p>
        </w:tc>
        <w:tc>
          <w:tcPr>
            <w:tcW w:type="dxa" w:w="4464"/>
            <w:shd w:fill="16324F"/>
            <w:vAlign w:val="center"/>
            <w:tcMar>
              <w:top w:w="70" w:type="dxa"/>
              <w:start w:w="70" w:type="dxa"/>
              <w:bottom w:w="70" w:type="dxa"/>
              <w:end w:w="70" w:type="dxa"/>
            </w:tcMar>
          </w:tcPr>
          <w:p>
            <w:pPr>
              <w:jc w:val="center"/>
            </w:pPr>
            <w:r>
              <w:rPr>
                <w:b/>
                <w:color w:val="FFFFFF"/>
                <w:sz w:val="15"/>
              </w:rPr>
              <w:t>Responsibilities</w:t>
            </w:r>
          </w:p>
        </w:tc>
        <w:tc>
          <w:tcPr>
            <w:tcW w:type="dxa" w:w="3888"/>
            <w:shd w:fill="16324F"/>
            <w:vAlign w:val="center"/>
            <w:tcMar>
              <w:top w:w="70" w:type="dxa"/>
              <w:start w:w="70" w:type="dxa"/>
              <w:bottom w:w="70" w:type="dxa"/>
              <w:end w:w="70" w:type="dxa"/>
            </w:tcMar>
          </w:tcPr>
          <w:p>
            <w:pPr>
              <w:jc w:val="center"/>
            </w:pPr>
            <w:r>
              <w:rPr>
                <w:b/>
                <w:color w:val="FFFFFF"/>
                <w:sz w:val="15"/>
              </w:rPr>
              <w:t>Why separate</w:t>
            </w:r>
          </w:p>
        </w:tc>
      </w:tr>
      <w:tr>
        <w:trPr>
          <w:cantSplit/>
        </w:trPr>
        <w:tc>
          <w:tcPr>
            <w:tcW w:type="dxa" w:w="1728"/>
            <w:tcMar>
              <w:top w:w="55" w:type="dxa"/>
              <w:start w:w="65" w:type="dxa"/>
              <w:bottom w:w="55" w:type="dxa"/>
              <w:end w:w="65" w:type="dxa"/>
            </w:tcMar>
            <w:vAlign w:val="top"/>
          </w:tcPr>
          <w:p>
            <w:pPr>
              <w:spacing w:after="0"/>
            </w:pPr>
            <w:r>
              <w:rPr>
                <w:sz w:val="15"/>
              </w:rPr>
              <w:t>Control plane</w:t>
            </w:r>
          </w:p>
        </w:tc>
        <w:tc>
          <w:tcPr>
            <w:tcW w:type="dxa" w:w="4464"/>
            <w:tcMar>
              <w:top w:w="55" w:type="dxa"/>
              <w:start w:w="65" w:type="dxa"/>
              <w:bottom w:w="55" w:type="dxa"/>
              <w:end w:w="65" w:type="dxa"/>
            </w:tcMar>
            <w:vAlign w:val="top"/>
          </w:tcPr>
          <w:p>
            <w:pPr>
              <w:spacing w:after="0"/>
            </w:pPr>
            <w:r>
              <w:rPr>
                <w:sz w:val="15"/>
              </w:rPr>
              <w:t>Workflow state, policies, budgets, model/tool registry, scheduling decisions, retries.</w:t>
            </w:r>
          </w:p>
        </w:tc>
        <w:tc>
          <w:tcPr>
            <w:tcW w:type="dxa" w:w="3888"/>
            <w:tcMar>
              <w:top w:w="55" w:type="dxa"/>
              <w:start w:w="65" w:type="dxa"/>
              <w:bottom w:w="55" w:type="dxa"/>
              <w:end w:w="65" w:type="dxa"/>
            </w:tcMar>
            <w:vAlign w:val="top"/>
          </w:tcPr>
          <w:p>
            <w:pPr>
              <w:spacing w:after="0"/>
            </w:pPr>
            <w:r>
              <w:rPr>
                <w:sz w:val="15"/>
              </w:rPr>
              <w:t>Needs correctness, auditability, relatively low QPS.</w:t>
            </w:r>
          </w:p>
        </w:tc>
      </w:tr>
      <w:tr>
        <w:trPr>
          <w:cantSplit/>
        </w:trPr>
        <w:tc>
          <w:tcPr>
            <w:tcW w:type="dxa" w:w="1728"/>
            <w:tcMar>
              <w:top w:w="55" w:type="dxa"/>
              <w:start w:w="65" w:type="dxa"/>
              <w:bottom w:w="55" w:type="dxa"/>
              <w:end w:w="65" w:type="dxa"/>
            </w:tcMar>
            <w:vAlign w:val="top"/>
          </w:tcPr>
          <w:p>
            <w:pPr>
              <w:spacing w:after="0"/>
            </w:pPr>
            <w:r>
              <w:rPr>
                <w:sz w:val="15"/>
              </w:rPr>
              <w:t>Data plane</w:t>
            </w:r>
          </w:p>
        </w:tc>
        <w:tc>
          <w:tcPr>
            <w:tcW w:type="dxa" w:w="4464"/>
            <w:tcMar>
              <w:top w:w="55" w:type="dxa"/>
              <w:start w:w="65" w:type="dxa"/>
              <w:bottom w:w="55" w:type="dxa"/>
              <w:end w:w="65" w:type="dxa"/>
            </w:tcMar>
            <w:vAlign w:val="top"/>
          </w:tcPr>
          <w:p>
            <w:pPr>
              <w:spacing w:after="0"/>
            </w:pPr>
            <w:r>
              <w:rPr>
                <w:sz w:val="15"/>
              </w:rPr>
              <w:t>Retrieval, embeddings, reranking, model inference, tool execution.</w:t>
            </w:r>
          </w:p>
        </w:tc>
        <w:tc>
          <w:tcPr>
            <w:tcW w:type="dxa" w:w="3888"/>
            <w:tcMar>
              <w:top w:w="55" w:type="dxa"/>
              <w:start w:w="65" w:type="dxa"/>
              <w:bottom w:w="55" w:type="dxa"/>
              <w:end w:w="65" w:type="dxa"/>
            </w:tcMar>
            <w:vAlign w:val="top"/>
          </w:tcPr>
          <w:p>
            <w:pPr>
              <w:spacing w:after="0"/>
            </w:pPr>
            <w:r>
              <w:rPr>
                <w:sz w:val="15"/>
              </w:rPr>
              <w:t>Needs throughput, batching, acceleration, independent scaling.</w:t>
            </w:r>
          </w:p>
        </w:tc>
      </w:tr>
      <w:tr>
        <w:trPr>
          <w:cantSplit/>
        </w:trPr>
        <w:tc>
          <w:tcPr>
            <w:tcW w:type="dxa" w:w="1728"/>
            <w:tcMar>
              <w:top w:w="55" w:type="dxa"/>
              <w:start w:w="65" w:type="dxa"/>
              <w:bottom w:w="55" w:type="dxa"/>
              <w:end w:w="65" w:type="dxa"/>
            </w:tcMar>
            <w:vAlign w:val="top"/>
          </w:tcPr>
          <w:p>
            <w:pPr>
              <w:spacing w:after="0"/>
            </w:pPr>
            <w:r>
              <w:rPr>
                <w:sz w:val="15"/>
              </w:rPr>
              <w:t>Observability plane</w:t>
            </w:r>
          </w:p>
        </w:tc>
        <w:tc>
          <w:tcPr>
            <w:tcW w:type="dxa" w:w="4464"/>
            <w:tcMar>
              <w:top w:w="55" w:type="dxa"/>
              <w:start w:w="65" w:type="dxa"/>
              <w:bottom w:w="55" w:type="dxa"/>
              <w:end w:w="65" w:type="dxa"/>
            </w:tcMar>
            <w:vAlign w:val="top"/>
          </w:tcPr>
          <w:p>
            <w:pPr>
              <w:spacing w:after="0"/>
            </w:pPr>
            <w:r>
              <w:rPr>
                <w:sz w:val="15"/>
              </w:rPr>
              <w:t>OTel traces, metrics, evaluations, benchmark artifacts.</w:t>
            </w:r>
          </w:p>
        </w:tc>
        <w:tc>
          <w:tcPr>
            <w:tcW w:type="dxa" w:w="3888"/>
            <w:tcMar>
              <w:top w:w="55" w:type="dxa"/>
              <w:start w:w="65" w:type="dxa"/>
              <w:bottom w:w="55" w:type="dxa"/>
              <w:end w:w="65" w:type="dxa"/>
            </w:tcMar>
            <w:vAlign w:val="top"/>
          </w:tcPr>
          <w:p>
            <w:pPr>
              <w:spacing w:after="0"/>
            </w:pPr>
            <w:r>
              <w:rPr>
                <w:sz w:val="15"/>
              </w:rPr>
              <w:t>Must not be the source of workflow correctness; can fail without corrupting execution.</w:t>
            </w:r>
          </w:p>
        </w:tc>
      </w:tr>
    </w:tbl>
    <w:p>
      <w:pPr>
        <w:spacing w:after="0"/>
      </w:pPr>
    </w:p>
    <w:p>
      <w:pPr>
        <w:pStyle w:val="Heading2"/>
      </w:pPr>
      <w:r>
        <w:t>6.2 Durable execution</w:t>
      </w:r>
    </w:p>
    <w:p>
      <w:r>
        <w:t>Use Temporal for production workflow durability because its event-history/replay model is specifically built to resume workflows after crashes and external failures; non-deterministic I/O belongs in Activities. [R10] This avoids spending the whole project reimplementing a production workflow engine.</w:t>
      </w:r>
    </w:p>
    <w:p>
      <w:r>
        <w:t>To prove understanding rather than framework dependence, document a small reference state machine and failure model in the repository, but keep the production path on Temporal. LangGraph remains a useful comparison: it provides graph-state checkpointing and cross-thread stores, but the flagship’s durability requirement is broader than agent-thread persistence alone. [R11]</w:t>
      </w:r>
    </w:p>
    <w:p>
      <w:pPr>
        <w:pStyle w:val="Heading2"/>
      </w:pPr>
      <w:r>
        <w:t>6.3 State ownership</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160"/>
            <w:shd w:fill="16324F"/>
            <w:vAlign w:val="center"/>
            <w:tcMar>
              <w:top w:w="70" w:type="dxa"/>
              <w:start w:w="70" w:type="dxa"/>
              <w:bottom w:w="70" w:type="dxa"/>
              <w:end w:w="70" w:type="dxa"/>
            </w:tcMar>
          </w:tcPr>
          <w:p>
            <w:pPr>
              <w:jc w:val="center"/>
            </w:pPr>
            <w:r>
              <w:rPr>
                <w:b/>
                <w:color w:val="FFFFFF"/>
                <w:sz w:val="15"/>
              </w:rPr>
              <w:t>State</w:t>
            </w:r>
          </w:p>
        </w:tc>
        <w:tc>
          <w:tcPr>
            <w:tcW w:type="dxa" w:w="2880"/>
            <w:shd w:fill="16324F"/>
            <w:vAlign w:val="center"/>
            <w:tcMar>
              <w:top w:w="70" w:type="dxa"/>
              <w:start w:w="70" w:type="dxa"/>
              <w:bottom w:w="70" w:type="dxa"/>
              <w:end w:w="70" w:type="dxa"/>
            </w:tcMar>
          </w:tcPr>
          <w:p>
            <w:pPr>
              <w:jc w:val="center"/>
            </w:pPr>
            <w:r>
              <w:rPr>
                <w:b/>
                <w:color w:val="FFFFFF"/>
                <w:sz w:val="15"/>
              </w:rPr>
              <w:t>Source of truth</w:t>
            </w:r>
          </w:p>
        </w:tc>
        <w:tc>
          <w:tcPr>
            <w:tcW w:type="dxa" w:w="5040"/>
            <w:shd w:fill="16324F"/>
            <w:vAlign w:val="center"/>
            <w:tcMar>
              <w:top w:w="70" w:type="dxa"/>
              <w:start w:w="70" w:type="dxa"/>
              <w:bottom w:w="70" w:type="dxa"/>
              <w:end w:w="70" w:type="dxa"/>
            </w:tcMar>
          </w:tcPr>
          <w:p>
            <w:pPr>
              <w:jc w:val="center"/>
            </w:pPr>
            <w:r>
              <w:rPr>
                <w:b/>
                <w:color w:val="FFFFFF"/>
                <w:sz w:val="15"/>
              </w:rPr>
              <w:t>Notes</w:t>
            </w:r>
          </w:p>
        </w:tc>
      </w:tr>
      <w:tr>
        <w:trPr>
          <w:cantSplit/>
        </w:trPr>
        <w:tc>
          <w:tcPr>
            <w:tcW w:type="dxa" w:w="2160"/>
            <w:tcMar>
              <w:top w:w="55" w:type="dxa"/>
              <w:start w:w="65" w:type="dxa"/>
              <w:bottom w:w="55" w:type="dxa"/>
              <w:end w:w="65" w:type="dxa"/>
            </w:tcMar>
            <w:vAlign w:val="top"/>
          </w:tcPr>
          <w:p>
            <w:pPr>
              <w:spacing w:after="0"/>
            </w:pPr>
            <w:r>
              <w:rPr>
                <w:sz w:val="15"/>
              </w:rPr>
              <w:t>Workflow progress</w:t>
            </w:r>
          </w:p>
        </w:tc>
        <w:tc>
          <w:tcPr>
            <w:tcW w:type="dxa" w:w="2880"/>
            <w:tcMar>
              <w:top w:w="55" w:type="dxa"/>
              <w:start w:w="65" w:type="dxa"/>
              <w:bottom w:w="55" w:type="dxa"/>
              <w:end w:w="65" w:type="dxa"/>
            </w:tcMar>
            <w:vAlign w:val="top"/>
          </w:tcPr>
          <w:p>
            <w:pPr>
              <w:spacing w:after="0"/>
            </w:pPr>
            <w:r>
              <w:rPr>
                <w:sz w:val="15"/>
              </w:rPr>
              <w:t>Temporal</w:t>
            </w:r>
          </w:p>
        </w:tc>
        <w:tc>
          <w:tcPr>
            <w:tcW w:type="dxa" w:w="5040"/>
            <w:tcMar>
              <w:top w:w="55" w:type="dxa"/>
              <w:start w:w="65" w:type="dxa"/>
              <w:bottom w:w="55" w:type="dxa"/>
              <w:end w:w="65" w:type="dxa"/>
            </w:tcMar>
            <w:vAlign w:val="top"/>
          </w:tcPr>
          <w:p>
            <w:pPr>
              <w:spacing w:after="0"/>
            </w:pPr>
            <w:r>
              <w:rPr>
                <w:sz w:val="15"/>
              </w:rPr>
              <w:t>Do not duplicate correctness state in Redis or Langfuse.</w:t>
            </w:r>
          </w:p>
        </w:tc>
      </w:tr>
      <w:tr>
        <w:trPr>
          <w:cantSplit/>
        </w:trPr>
        <w:tc>
          <w:tcPr>
            <w:tcW w:type="dxa" w:w="2160"/>
            <w:tcMar>
              <w:top w:w="55" w:type="dxa"/>
              <w:start w:w="65" w:type="dxa"/>
              <w:bottom w:w="55" w:type="dxa"/>
              <w:end w:w="65" w:type="dxa"/>
            </w:tcMar>
            <w:vAlign w:val="top"/>
          </w:tcPr>
          <w:p>
            <w:pPr>
              <w:spacing w:after="0"/>
            </w:pPr>
            <w:r>
              <w:rPr>
                <w:sz w:val="15"/>
              </w:rPr>
              <w:t>Application metadata / configs / audit records</w:t>
            </w:r>
          </w:p>
        </w:tc>
        <w:tc>
          <w:tcPr>
            <w:tcW w:type="dxa" w:w="2880"/>
            <w:tcMar>
              <w:top w:w="55" w:type="dxa"/>
              <w:start w:w="65" w:type="dxa"/>
              <w:bottom w:w="55" w:type="dxa"/>
              <w:end w:w="65" w:type="dxa"/>
            </w:tcMar>
            <w:vAlign w:val="top"/>
          </w:tcPr>
          <w:p>
            <w:pPr>
              <w:spacing w:after="0"/>
            </w:pPr>
            <w:r>
              <w:rPr>
                <w:sz w:val="15"/>
              </w:rPr>
              <w:t>PostgreSQL</w:t>
            </w:r>
          </w:p>
        </w:tc>
        <w:tc>
          <w:tcPr>
            <w:tcW w:type="dxa" w:w="5040"/>
            <w:tcMar>
              <w:top w:w="55" w:type="dxa"/>
              <w:start w:w="65" w:type="dxa"/>
              <w:bottom w:w="55" w:type="dxa"/>
              <w:end w:w="65" w:type="dxa"/>
            </w:tcMar>
            <w:vAlign w:val="top"/>
          </w:tcPr>
          <w:p>
            <w:pPr>
              <w:spacing w:after="0"/>
            </w:pPr>
            <w:r>
              <w:rPr>
                <w:sz w:val="15"/>
              </w:rPr>
              <w:t>Migrations, constraints, transactional updates.</w:t>
            </w:r>
          </w:p>
        </w:tc>
      </w:tr>
      <w:tr>
        <w:trPr>
          <w:cantSplit/>
        </w:trPr>
        <w:tc>
          <w:tcPr>
            <w:tcW w:type="dxa" w:w="2160"/>
            <w:tcMar>
              <w:top w:w="55" w:type="dxa"/>
              <w:start w:w="65" w:type="dxa"/>
              <w:bottom w:w="55" w:type="dxa"/>
              <w:end w:w="65" w:type="dxa"/>
            </w:tcMar>
            <w:vAlign w:val="top"/>
          </w:tcPr>
          <w:p>
            <w:pPr>
              <w:spacing w:after="0"/>
            </w:pPr>
            <w:r>
              <w:rPr>
                <w:sz w:val="15"/>
              </w:rPr>
              <w:t>Retrieval index</w:t>
            </w:r>
          </w:p>
        </w:tc>
        <w:tc>
          <w:tcPr>
            <w:tcW w:type="dxa" w:w="2880"/>
            <w:tcMar>
              <w:top w:w="55" w:type="dxa"/>
              <w:start w:w="65" w:type="dxa"/>
              <w:bottom w:w="55" w:type="dxa"/>
              <w:end w:w="65" w:type="dxa"/>
            </w:tcMar>
            <w:vAlign w:val="top"/>
          </w:tcPr>
          <w:p>
            <w:pPr>
              <w:spacing w:after="0"/>
            </w:pPr>
            <w:r>
              <w:rPr>
                <w:sz w:val="15"/>
              </w:rPr>
              <w:t>Qdrant (default candidate)</w:t>
            </w:r>
          </w:p>
        </w:tc>
        <w:tc>
          <w:tcPr>
            <w:tcW w:type="dxa" w:w="5040"/>
            <w:tcMar>
              <w:top w:w="55" w:type="dxa"/>
              <w:start w:w="65" w:type="dxa"/>
              <w:bottom w:w="55" w:type="dxa"/>
              <w:end w:w="65" w:type="dxa"/>
            </w:tcMar>
            <w:vAlign w:val="top"/>
          </w:tcPr>
          <w:p>
            <w:pPr>
              <w:spacing w:after="0"/>
            </w:pPr>
            <w:r>
              <w:rPr>
                <w:sz w:val="15"/>
              </w:rPr>
              <w:t>Rebuildable from canonical documents + embedding/version metadata.</w:t>
            </w:r>
          </w:p>
        </w:tc>
      </w:tr>
      <w:tr>
        <w:trPr>
          <w:cantSplit/>
        </w:trPr>
        <w:tc>
          <w:tcPr>
            <w:tcW w:type="dxa" w:w="2160"/>
            <w:tcMar>
              <w:top w:w="55" w:type="dxa"/>
              <w:start w:w="65" w:type="dxa"/>
              <w:bottom w:w="55" w:type="dxa"/>
              <w:end w:w="65" w:type="dxa"/>
            </w:tcMar>
            <w:vAlign w:val="top"/>
          </w:tcPr>
          <w:p>
            <w:pPr>
              <w:spacing w:after="0"/>
            </w:pPr>
            <w:r>
              <w:rPr>
                <w:sz w:val="15"/>
              </w:rPr>
              <w:t>Raw documents/artifacts</w:t>
            </w:r>
          </w:p>
        </w:tc>
        <w:tc>
          <w:tcPr>
            <w:tcW w:type="dxa" w:w="2880"/>
            <w:tcMar>
              <w:top w:w="55" w:type="dxa"/>
              <w:start w:w="65" w:type="dxa"/>
              <w:bottom w:w="55" w:type="dxa"/>
              <w:end w:w="65" w:type="dxa"/>
            </w:tcMar>
            <w:vAlign w:val="top"/>
          </w:tcPr>
          <w:p>
            <w:pPr>
              <w:spacing w:after="0"/>
            </w:pPr>
            <w:r>
              <w:rPr>
                <w:sz w:val="15"/>
              </w:rPr>
              <w:t>Filesystem locally; Azure Blob in cloud profile</w:t>
            </w:r>
          </w:p>
        </w:tc>
        <w:tc>
          <w:tcPr>
            <w:tcW w:type="dxa" w:w="5040"/>
            <w:tcMar>
              <w:top w:w="55" w:type="dxa"/>
              <w:start w:w="65" w:type="dxa"/>
              <w:bottom w:w="55" w:type="dxa"/>
              <w:end w:w="65" w:type="dxa"/>
            </w:tcMar>
            <w:vAlign w:val="top"/>
          </w:tcPr>
          <w:p>
            <w:pPr>
              <w:spacing w:after="0"/>
            </w:pPr>
            <w:r>
              <w:rPr>
                <w:sz w:val="15"/>
              </w:rPr>
              <w:t>Content-addressed object IDs preferred.</w:t>
            </w:r>
          </w:p>
        </w:tc>
      </w:tr>
      <w:tr>
        <w:trPr>
          <w:cantSplit/>
        </w:trPr>
        <w:tc>
          <w:tcPr>
            <w:tcW w:type="dxa" w:w="2160"/>
            <w:tcMar>
              <w:top w:w="55" w:type="dxa"/>
              <w:start w:w="65" w:type="dxa"/>
              <w:bottom w:w="55" w:type="dxa"/>
              <w:end w:w="65" w:type="dxa"/>
            </w:tcMar>
            <w:vAlign w:val="top"/>
          </w:tcPr>
          <w:p>
            <w:pPr>
              <w:spacing w:after="0"/>
            </w:pPr>
            <w:r>
              <w:rPr>
                <w:sz w:val="15"/>
              </w:rPr>
              <w:t>Short-lived cache</w:t>
            </w:r>
          </w:p>
        </w:tc>
        <w:tc>
          <w:tcPr>
            <w:tcW w:type="dxa" w:w="2880"/>
            <w:tcMar>
              <w:top w:w="55" w:type="dxa"/>
              <w:start w:w="65" w:type="dxa"/>
              <w:bottom w:w="55" w:type="dxa"/>
              <w:end w:w="65" w:type="dxa"/>
            </w:tcMar>
            <w:vAlign w:val="top"/>
          </w:tcPr>
          <w:p>
            <w:pPr>
              <w:spacing w:after="0"/>
            </w:pPr>
            <w:r>
              <w:rPr>
                <w:sz w:val="15"/>
              </w:rPr>
              <w:t>Process local first; Redis only if multi-replica measurements justify it</w:t>
            </w:r>
          </w:p>
        </w:tc>
        <w:tc>
          <w:tcPr>
            <w:tcW w:type="dxa" w:w="5040"/>
            <w:tcMar>
              <w:top w:w="55" w:type="dxa"/>
              <w:start w:w="65" w:type="dxa"/>
              <w:bottom w:w="55" w:type="dxa"/>
              <w:end w:w="65" w:type="dxa"/>
            </w:tcMar>
            <w:vAlign w:val="top"/>
          </w:tcPr>
          <w:p>
            <w:pPr>
              <w:spacing w:after="0"/>
            </w:pPr>
            <w:r>
              <w:rPr>
                <w:sz w:val="15"/>
              </w:rPr>
              <w:t>Avoid adding Redis before shared cache is required.</w:t>
            </w:r>
          </w:p>
        </w:tc>
      </w:tr>
      <w:tr>
        <w:trPr>
          <w:cantSplit/>
        </w:trPr>
        <w:tc>
          <w:tcPr>
            <w:tcW w:type="dxa" w:w="2160"/>
            <w:tcMar>
              <w:top w:w="55" w:type="dxa"/>
              <w:start w:w="65" w:type="dxa"/>
              <w:bottom w:w="55" w:type="dxa"/>
              <w:end w:w="65" w:type="dxa"/>
            </w:tcMar>
            <w:vAlign w:val="top"/>
          </w:tcPr>
          <w:p>
            <w:pPr>
              <w:spacing w:after="0"/>
            </w:pPr>
            <w:r>
              <w:rPr>
                <w:sz w:val="15"/>
              </w:rPr>
              <w:t>AI traces/evals</w:t>
            </w:r>
          </w:p>
        </w:tc>
        <w:tc>
          <w:tcPr>
            <w:tcW w:type="dxa" w:w="2880"/>
            <w:tcMar>
              <w:top w:w="55" w:type="dxa"/>
              <w:start w:w="65" w:type="dxa"/>
              <w:bottom w:w="55" w:type="dxa"/>
              <w:end w:w="65" w:type="dxa"/>
            </w:tcMar>
            <w:vAlign w:val="top"/>
          </w:tcPr>
          <w:p>
            <w:pPr>
              <w:spacing w:after="0"/>
            </w:pPr>
            <w:r>
              <w:rPr>
                <w:sz w:val="15"/>
              </w:rPr>
              <w:t>Langfuse + durable benchmark JSON/Parquet artifacts</w:t>
            </w:r>
          </w:p>
        </w:tc>
        <w:tc>
          <w:tcPr>
            <w:tcW w:type="dxa" w:w="5040"/>
            <w:tcMar>
              <w:top w:w="55" w:type="dxa"/>
              <w:start w:w="65" w:type="dxa"/>
              <w:bottom w:w="55" w:type="dxa"/>
              <w:end w:w="65" w:type="dxa"/>
            </w:tcMar>
            <w:vAlign w:val="top"/>
          </w:tcPr>
          <w:p>
            <w:pPr>
              <w:spacing w:after="0"/>
            </w:pPr>
            <w:r>
              <w:rPr>
                <w:sz w:val="15"/>
              </w:rPr>
              <w:t>Telemetry is not workflow state.</w:t>
            </w:r>
          </w:p>
        </w:tc>
      </w:tr>
    </w:tbl>
    <w:p>
      <w:pPr>
        <w:spacing w:after="0"/>
      </w:pPr>
    </w:p>
    <w:p>
      <w:pPr>
        <w:pStyle w:val="Heading1"/>
      </w:pPr>
      <w:r>
        <w:t>7. Technology decisions — defaults, competitors, reversal conditions</w:t>
      </w:r>
    </w:p>
    <w:p>
      <w:pPr>
        <w:pStyle w:val="Heading2"/>
      </w:pPr>
      <w:r>
        <w:t>7.1 Vector / retrieval store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shd w:fill="16324F"/>
            <w:vAlign w:val="center"/>
            <w:tcMar>
              <w:top w:w="70" w:type="dxa"/>
              <w:start w:w="70" w:type="dxa"/>
              <w:bottom w:w="70" w:type="dxa"/>
              <w:end w:w="70" w:type="dxa"/>
            </w:tcMar>
          </w:tcPr>
          <w:p>
            <w:pPr>
              <w:jc w:val="center"/>
            </w:pPr>
            <w:r>
              <w:rPr>
                <w:b/>
                <w:color w:val="FFFFFF"/>
                <w:sz w:val="14"/>
              </w:rPr>
              <w:t>Candidate</w:t>
            </w:r>
          </w:p>
        </w:tc>
        <w:tc>
          <w:tcPr>
            <w:tcW w:type="dxa" w:w="4464"/>
            <w:shd w:fill="16324F"/>
            <w:vAlign w:val="center"/>
            <w:tcMar>
              <w:top w:w="70" w:type="dxa"/>
              <w:start w:w="70" w:type="dxa"/>
              <w:bottom w:w="70" w:type="dxa"/>
              <w:end w:w="70" w:type="dxa"/>
            </w:tcMar>
          </w:tcPr>
          <w:p>
            <w:pPr>
              <w:jc w:val="center"/>
            </w:pPr>
            <w:r>
              <w:rPr>
                <w:b/>
                <w:color w:val="FFFFFF"/>
                <w:sz w:val="14"/>
              </w:rPr>
              <w:t>Strength for this project</w:t>
            </w:r>
          </w:p>
        </w:tc>
        <w:tc>
          <w:tcPr>
            <w:tcW w:type="dxa" w:w="4176"/>
            <w:shd w:fill="16324F"/>
            <w:vAlign w:val="center"/>
            <w:tcMar>
              <w:top w:w="70" w:type="dxa"/>
              <w:start w:w="70" w:type="dxa"/>
              <w:bottom w:w="70" w:type="dxa"/>
              <w:end w:w="70" w:type="dxa"/>
            </w:tcMar>
          </w:tcPr>
          <w:p>
            <w:pPr>
              <w:jc w:val="center"/>
            </w:pPr>
            <w:r>
              <w:rPr>
                <w:b/>
                <w:color w:val="FFFFFF"/>
                <w:sz w:val="14"/>
              </w:rPr>
              <w:t>Why it is / is not default</w:t>
            </w:r>
          </w:p>
        </w:tc>
      </w:tr>
      <w:tr>
        <w:trPr>
          <w:cantSplit/>
        </w:trPr>
        <w:tc>
          <w:tcPr>
            <w:tcW w:type="dxa" w:w="1728"/>
            <w:tcMar>
              <w:top w:w="55" w:type="dxa"/>
              <w:start w:w="65" w:type="dxa"/>
              <w:bottom w:w="55" w:type="dxa"/>
              <w:end w:w="65" w:type="dxa"/>
            </w:tcMar>
            <w:vAlign w:val="top"/>
          </w:tcPr>
          <w:p>
            <w:pPr>
              <w:spacing w:after="0"/>
            </w:pPr>
            <w:r>
              <w:rPr>
                <w:sz w:val="14"/>
              </w:rPr>
              <w:t>Qdrant</w:t>
            </w:r>
          </w:p>
        </w:tc>
        <w:tc>
          <w:tcPr>
            <w:tcW w:type="dxa" w:w="4464"/>
            <w:tcMar>
              <w:top w:w="55" w:type="dxa"/>
              <w:start w:w="65" w:type="dxa"/>
              <w:bottom w:w="55" w:type="dxa"/>
              <w:end w:w="65" w:type="dxa"/>
            </w:tcMar>
            <w:vAlign w:val="top"/>
          </w:tcPr>
          <w:p>
            <w:pPr>
              <w:spacing w:after="0"/>
            </w:pPr>
            <w:r>
              <w:rPr>
                <w:sz w:val="14"/>
              </w:rPr>
              <w:t>Self-hosted; hybrid/multi-stage Query API; multivectors/late interaction; distributed mode; several quantization modes including TurboQuant. [R1][R2][R3][R4]</w:t>
            </w:r>
          </w:p>
        </w:tc>
        <w:tc>
          <w:tcPr>
            <w:tcW w:type="dxa" w:w="4176"/>
            <w:tcMar>
              <w:top w:w="55" w:type="dxa"/>
              <w:start w:w="65" w:type="dxa"/>
              <w:bottom w:w="55" w:type="dxa"/>
              <w:end w:w="65" w:type="dxa"/>
            </w:tcMar>
            <w:vAlign w:val="top"/>
          </w:tcPr>
          <w:p>
            <w:pPr>
              <w:spacing w:after="0"/>
            </w:pPr>
            <w:r>
              <w:rPr>
                <w:sz w:val="14"/>
              </w:rPr>
              <w:t>DEFAULT CANDIDATE. Rich retrieval primitives let the project study retrieval algorithms without operating a heavyweight cluster.</w:t>
            </w:r>
          </w:p>
        </w:tc>
      </w:tr>
      <w:tr>
        <w:trPr>
          <w:cantSplit/>
        </w:trPr>
        <w:tc>
          <w:tcPr>
            <w:tcW w:type="dxa" w:w="1728"/>
            <w:tcMar>
              <w:top w:w="55" w:type="dxa"/>
              <w:start w:w="65" w:type="dxa"/>
              <w:bottom w:w="55" w:type="dxa"/>
              <w:end w:w="65" w:type="dxa"/>
            </w:tcMar>
            <w:vAlign w:val="top"/>
          </w:tcPr>
          <w:p>
            <w:pPr>
              <w:spacing w:after="0"/>
            </w:pPr>
            <w:r>
              <w:rPr>
                <w:sz w:val="14"/>
              </w:rPr>
              <w:t>PostgreSQL + pgvector</w:t>
            </w:r>
          </w:p>
        </w:tc>
        <w:tc>
          <w:tcPr>
            <w:tcW w:type="dxa" w:w="4464"/>
            <w:tcMar>
              <w:top w:w="55" w:type="dxa"/>
              <w:start w:w="65" w:type="dxa"/>
              <w:bottom w:w="55" w:type="dxa"/>
              <w:end w:w="65" w:type="dxa"/>
            </w:tcMar>
            <w:vAlign w:val="top"/>
          </w:tcPr>
          <w:p>
            <w:pPr>
              <w:spacing w:after="0"/>
            </w:pPr>
            <w:r>
              <w:rPr>
                <w:sz w:val="14"/>
              </w:rPr>
              <w:t>One fewer service; transactional metadata + vectors; HNSW/IVFFlat support. [R5]</w:t>
            </w:r>
          </w:p>
        </w:tc>
        <w:tc>
          <w:tcPr>
            <w:tcW w:type="dxa" w:w="4176"/>
            <w:tcMar>
              <w:top w:w="55" w:type="dxa"/>
              <w:start w:w="65" w:type="dxa"/>
              <w:bottom w:w="55" w:type="dxa"/>
              <w:end w:w="65" w:type="dxa"/>
            </w:tcMar>
            <w:vAlign w:val="top"/>
          </w:tcPr>
          <w:p>
            <w:pPr>
              <w:spacing w:after="0"/>
            </w:pPr>
            <w:r>
              <w:rPr>
                <w:sz w:val="14"/>
              </w:rPr>
              <w:t>PRIMARY BASELINE. Wins if advanced retrieval features do not materially improve measured quality/latency.</w:t>
            </w:r>
          </w:p>
        </w:tc>
      </w:tr>
      <w:tr>
        <w:trPr>
          <w:cantSplit/>
        </w:trPr>
        <w:tc>
          <w:tcPr>
            <w:tcW w:type="dxa" w:w="1728"/>
            <w:tcMar>
              <w:top w:w="55" w:type="dxa"/>
              <w:start w:w="65" w:type="dxa"/>
              <w:bottom w:w="55" w:type="dxa"/>
              <w:end w:w="65" w:type="dxa"/>
            </w:tcMar>
            <w:vAlign w:val="top"/>
          </w:tcPr>
          <w:p>
            <w:pPr>
              <w:spacing w:after="0"/>
            </w:pPr>
            <w:r>
              <w:rPr>
                <w:sz w:val="14"/>
              </w:rPr>
              <w:t>Weaviate</w:t>
            </w:r>
          </w:p>
        </w:tc>
        <w:tc>
          <w:tcPr>
            <w:tcW w:type="dxa" w:w="4464"/>
            <w:tcMar>
              <w:top w:w="55" w:type="dxa"/>
              <w:start w:w="65" w:type="dxa"/>
              <w:bottom w:w="55" w:type="dxa"/>
              <w:end w:w="65" w:type="dxa"/>
            </w:tcMar>
            <w:vAlign w:val="top"/>
          </w:tcPr>
          <w:p>
            <w:pPr>
              <w:spacing w:after="0"/>
            </w:pPr>
            <w:r>
              <w:rPr>
                <w:sz w:val="14"/>
              </w:rPr>
              <w:t>Native hybrid BM25+vector; sharding/replication; mature self-hosting. [R6]</w:t>
            </w:r>
          </w:p>
        </w:tc>
        <w:tc>
          <w:tcPr>
            <w:tcW w:type="dxa" w:w="4176"/>
            <w:tcMar>
              <w:top w:w="55" w:type="dxa"/>
              <w:start w:w="65" w:type="dxa"/>
              <w:bottom w:w="55" w:type="dxa"/>
              <w:end w:w="65" w:type="dxa"/>
            </w:tcMar>
            <w:vAlign w:val="top"/>
          </w:tcPr>
          <w:p>
            <w:pPr>
              <w:spacing w:after="0"/>
            </w:pPr>
            <w:r>
              <w:rPr>
                <w:sz w:val="14"/>
              </w:rPr>
              <w:t>Strong alternative, but more platform surface than needed for the initial experiments.</w:t>
            </w:r>
          </w:p>
        </w:tc>
      </w:tr>
      <w:tr>
        <w:trPr>
          <w:cantSplit/>
        </w:trPr>
        <w:tc>
          <w:tcPr>
            <w:tcW w:type="dxa" w:w="1728"/>
            <w:tcMar>
              <w:top w:w="55" w:type="dxa"/>
              <w:start w:w="65" w:type="dxa"/>
              <w:bottom w:w="55" w:type="dxa"/>
              <w:end w:w="65" w:type="dxa"/>
            </w:tcMar>
            <w:vAlign w:val="top"/>
          </w:tcPr>
          <w:p>
            <w:pPr>
              <w:spacing w:after="0"/>
            </w:pPr>
            <w:r>
              <w:rPr>
                <w:sz w:val="14"/>
              </w:rPr>
              <w:t>Milvus</w:t>
            </w:r>
          </w:p>
        </w:tc>
        <w:tc>
          <w:tcPr>
            <w:tcW w:type="dxa" w:w="4464"/>
            <w:tcMar>
              <w:top w:w="55" w:type="dxa"/>
              <w:start w:w="65" w:type="dxa"/>
              <w:bottom w:w="55" w:type="dxa"/>
              <w:end w:w="65" w:type="dxa"/>
            </w:tcMar>
            <w:vAlign w:val="top"/>
          </w:tcPr>
          <w:p>
            <w:pPr>
              <w:spacing w:after="0"/>
            </w:pPr>
            <w:r>
              <w:rPr>
                <w:sz w:val="14"/>
              </w:rPr>
              <w:t>Cloud-native distributed architecture; GPU indexes; very large-scale vector focus. [R7]</w:t>
            </w:r>
          </w:p>
        </w:tc>
        <w:tc>
          <w:tcPr>
            <w:tcW w:type="dxa" w:w="4176"/>
            <w:tcMar>
              <w:top w:w="55" w:type="dxa"/>
              <w:start w:w="65" w:type="dxa"/>
              <w:bottom w:w="55" w:type="dxa"/>
              <w:end w:w="65" w:type="dxa"/>
            </w:tcMar>
            <w:vAlign w:val="top"/>
          </w:tcPr>
          <w:p>
            <w:pPr>
              <w:spacing w:after="0"/>
            </w:pPr>
            <w:r>
              <w:rPr>
                <w:sz w:val="14"/>
              </w:rPr>
              <w:t>Excellent at scales this hardware cannot meaningfully reproduce; distributed deployment is heavier than the project needs.</w:t>
            </w:r>
          </w:p>
        </w:tc>
      </w:tr>
      <w:tr>
        <w:trPr>
          <w:cantSplit/>
        </w:trPr>
        <w:tc>
          <w:tcPr>
            <w:tcW w:type="dxa" w:w="1728"/>
            <w:tcMar>
              <w:top w:w="55" w:type="dxa"/>
              <w:start w:w="65" w:type="dxa"/>
              <w:bottom w:w="55" w:type="dxa"/>
              <w:end w:w="65" w:type="dxa"/>
            </w:tcMar>
            <w:vAlign w:val="top"/>
          </w:tcPr>
          <w:p>
            <w:pPr>
              <w:spacing w:after="0"/>
            </w:pPr>
            <w:r>
              <w:rPr>
                <w:sz w:val="14"/>
              </w:rPr>
              <w:t>Chroma</w:t>
            </w:r>
          </w:p>
        </w:tc>
        <w:tc>
          <w:tcPr>
            <w:tcW w:type="dxa" w:w="4464"/>
            <w:tcMar>
              <w:top w:w="55" w:type="dxa"/>
              <w:start w:w="65" w:type="dxa"/>
              <w:bottom w:w="55" w:type="dxa"/>
              <w:end w:w="65" w:type="dxa"/>
            </w:tcMar>
            <w:vAlign w:val="top"/>
          </w:tcPr>
          <w:p>
            <w:pPr>
              <w:spacing w:after="0"/>
            </w:pPr>
            <w:r>
              <w:rPr>
                <w:sz w:val="14"/>
              </w:rPr>
              <w:t>Very fast developer start; dense/sparse/hybrid and metadata filtering; Apache-2.0 open source. [R8]</w:t>
            </w:r>
          </w:p>
        </w:tc>
        <w:tc>
          <w:tcPr>
            <w:tcW w:type="dxa" w:w="4176"/>
            <w:tcMar>
              <w:top w:w="55" w:type="dxa"/>
              <w:start w:w="65" w:type="dxa"/>
              <w:bottom w:w="55" w:type="dxa"/>
              <w:end w:w="65" w:type="dxa"/>
            </w:tcMar>
            <w:vAlign w:val="top"/>
          </w:tcPr>
          <w:p>
            <w:pPr>
              <w:spacing w:after="0"/>
            </w:pPr>
            <w:r>
              <w:rPr>
                <w:sz w:val="14"/>
              </w:rPr>
              <w:t>Good prototype baseline, but the project benefits more from explicit retrieval/index controls and distributed/quantization experiments.</w:t>
            </w:r>
          </w:p>
        </w:tc>
      </w:tr>
      <w:tr>
        <w:trPr>
          <w:cantSplit/>
        </w:trPr>
        <w:tc>
          <w:tcPr>
            <w:tcW w:type="dxa" w:w="1728"/>
            <w:tcMar>
              <w:top w:w="55" w:type="dxa"/>
              <w:start w:w="65" w:type="dxa"/>
              <w:bottom w:w="55" w:type="dxa"/>
              <w:end w:w="65" w:type="dxa"/>
            </w:tcMar>
            <w:vAlign w:val="top"/>
          </w:tcPr>
          <w:p>
            <w:pPr>
              <w:spacing w:after="0"/>
            </w:pPr>
            <w:r>
              <w:rPr>
                <w:sz w:val="14"/>
              </w:rPr>
              <w:t>Pinecone</w:t>
            </w:r>
          </w:p>
        </w:tc>
        <w:tc>
          <w:tcPr>
            <w:tcW w:type="dxa" w:w="4464"/>
            <w:tcMar>
              <w:top w:w="55" w:type="dxa"/>
              <w:start w:w="65" w:type="dxa"/>
              <w:bottom w:w="55" w:type="dxa"/>
              <w:end w:w="65" w:type="dxa"/>
            </w:tcMar>
            <w:vAlign w:val="top"/>
          </w:tcPr>
          <w:p>
            <w:pPr>
              <w:spacing w:after="0"/>
            </w:pPr>
            <w:r>
              <w:rPr>
                <w:sz w:val="14"/>
              </w:rPr>
              <w:t>Managed serverless search, hybrid/full-text options, namespaces and production operations. [R9]</w:t>
            </w:r>
          </w:p>
        </w:tc>
        <w:tc>
          <w:tcPr>
            <w:tcW w:type="dxa" w:w="4176"/>
            <w:tcMar>
              <w:top w:w="55" w:type="dxa"/>
              <w:start w:w="65" w:type="dxa"/>
              <w:bottom w:w="55" w:type="dxa"/>
              <w:end w:w="65" w:type="dxa"/>
            </w:tcMar>
            <w:vAlign w:val="top"/>
          </w:tcPr>
          <w:p>
            <w:pPr>
              <w:spacing w:after="0"/>
            </w:pPr>
            <w:r>
              <w:rPr>
                <w:sz w:val="14"/>
              </w:rPr>
              <w:t>Not default because a managed-only core hides infrastructure and creates cloud dependence; useful external comparison if credits allow.</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4D6"/>
            <w:tcMar>
              <w:top w:w="90" w:type="dxa"/>
              <w:start w:w="120" w:type="dxa"/>
              <w:bottom w:w="90" w:type="dxa"/>
              <w:end w:w="120" w:type="dxa"/>
            </w:tcMar>
          </w:tcPr>
          <w:p>
            <w:r>
              <w:rPr>
                <w:b/>
              </w:rPr>
              <w:t xml:space="preserve">Qdrant decision gate  </w:t>
            </w:r>
            <w:r>
              <w:t>Run a reproducible Qdrant vs pgvector benchmark on the actual corpus. Keep Qdrant only if its advanced retrieval path or measured performance materially improves the project’s target metric. If not, choose pgvector and document that simplicity won.</w:t>
            </w:r>
          </w:p>
        </w:tc>
      </w:tr>
    </w:tbl>
    <w:p>
      <w:pPr>
        <w:spacing w:after="0"/>
      </w:pPr>
    </w:p>
    <w:p>
      <w:pPr>
        <w:pStyle w:val="Heading2"/>
      </w:pPr>
      <w:r>
        <w:t>7.2 Durable orchestration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016"/>
            <w:shd w:fill="16324F"/>
            <w:vAlign w:val="center"/>
            <w:tcMar>
              <w:top w:w="70" w:type="dxa"/>
              <w:start w:w="70" w:type="dxa"/>
              <w:bottom w:w="70" w:type="dxa"/>
              <w:end w:w="70" w:type="dxa"/>
            </w:tcMar>
          </w:tcPr>
          <w:p>
            <w:pPr>
              <w:jc w:val="center"/>
            </w:pPr>
            <w:r>
              <w:rPr>
                <w:b/>
                <w:color w:val="FFFFFF"/>
                <w:sz w:val="15"/>
              </w:rPr>
              <w:t>Candidate</w:t>
            </w:r>
          </w:p>
        </w:tc>
        <w:tc>
          <w:tcPr>
            <w:tcW w:type="dxa" w:w="8064"/>
            <w:shd w:fill="16324F"/>
            <w:vAlign w:val="center"/>
            <w:tcMar>
              <w:top w:w="70" w:type="dxa"/>
              <w:start w:w="70" w:type="dxa"/>
              <w:bottom w:w="70" w:type="dxa"/>
              <w:end w:w="70" w:type="dxa"/>
            </w:tcMar>
          </w:tcPr>
          <w:p>
            <w:pPr>
              <w:jc w:val="center"/>
            </w:pPr>
            <w:r>
              <w:rPr>
                <w:b/>
                <w:color w:val="FFFFFF"/>
                <w:sz w:val="15"/>
              </w:rPr>
              <w:t>Decision</w:t>
            </w:r>
          </w:p>
        </w:tc>
      </w:tr>
      <w:tr>
        <w:trPr>
          <w:cantSplit/>
        </w:trPr>
        <w:tc>
          <w:tcPr>
            <w:tcW w:type="dxa" w:w="2016"/>
            <w:tcMar>
              <w:top w:w="55" w:type="dxa"/>
              <w:start w:w="65" w:type="dxa"/>
              <w:bottom w:w="55" w:type="dxa"/>
              <w:end w:w="65" w:type="dxa"/>
            </w:tcMar>
            <w:vAlign w:val="top"/>
          </w:tcPr>
          <w:p>
            <w:pPr>
              <w:spacing w:after="0"/>
            </w:pPr>
            <w:r>
              <w:rPr>
                <w:sz w:val="15"/>
              </w:rPr>
              <w:t>Temporal</w:t>
            </w:r>
          </w:p>
        </w:tc>
        <w:tc>
          <w:tcPr>
            <w:tcW w:type="dxa" w:w="8064"/>
            <w:tcMar>
              <w:top w:w="55" w:type="dxa"/>
              <w:start w:w="65" w:type="dxa"/>
              <w:bottom w:w="55" w:type="dxa"/>
              <w:end w:w="65" w:type="dxa"/>
            </w:tcMar>
            <w:vAlign w:val="top"/>
          </w:tcPr>
          <w:p>
            <w:pPr>
              <w:spacing w:after="0"/>
            </w:pPr>
            <w:r>
              <w:rPr>
                <w:sz w:val="15"/>
              </w:rPr>
              <w:t>DEFAULT. Durable workflow replay, retries, long-running state, task queues, failure recovery. It solves production durability while leaving the context compiler/scheduler as your contribution. [R10]</w:t>
            </w:r>
          </w:p>
        </w:tc>
      </w:tr>
      <w:tr>
        <w:trPr>
          <w:cantSplit/>
        </w:trPr>
        <w:tc>
          <w:tcPr>
            <w:tcW w:type="dxa" w:w="2016"/>
            <w:tcMar>
              <w:top w:w="55" w:type="dxa"/>
              <w:start w:w="65" w:type="dxa"/>
              <w:bottom w:w="55" w:type="dxa"/>
              <w:end w:w="65" w:type="dxa"/>
            </w:tcMar>
            <w:vAlign w:val="top"/>
          </w:tcPr>
          <w:p>
            <w:pPr>
              <w:spacing w:after="0"/>
            </w:pPr>
            <w:r>
              <w:rPr>
                <w:sz w:val="15"/>
              </w:rPr>
              <w:t>LangGraph</w:t>
            </w:r>
          </w:p>
        </w:tc>
        <w:tc>
          <w:tcPr>
            <w:tcW w:type="dxa" w:w="8064"/>
            <w:tcMar>
              <w:top w:w="55" w:type="dxa"/>
              <w:start w:w="65" w:type="dxa"/>
              <w:bottom w:w="55" w:type="dxa"/>
              <w:end w:w="65" w:type="dxa"/>
            </w:tcMar>
            <w:vAlign w:val="top"/>
          </w:tcPr>
          <w:p>
            <w:pPr>
              <w:spacing w:after="0"/>
            </w:pPr>
            <w:r>
              <w:rPr>
                <w:sz w:val="15"/>
              </w:rPr>
              <w:t>Use only if its graph/persistence semantics simplify the agent layer. Do not run a second persistence model beside Temporal without a clear boundary. [R11]</w:t>
            </w:r>
          </w:p>
        </w:tc>
      </w:tr>
      <w:tr>
        <w:trPr>
          <w:cantSplit/>
        </w:trPr>
        <w:tc>
          <w:tcPr>
            <w:tcW w:type="dxa" w:w="2016"/>
            <w:tcMar>
              <w:top w:w="55" w:type="dxa"/>
              <w:start w:w="65" w:type="dxa"/>
              <w:bottom w:w="55" w:type="dxa"/>
              <w:end w:w="65" w:type="dxa"/>
            </w:tcMar>
            <w:vAlign w:val="top"/>
          </w:tcPr>
          <w:p>
            <w:pPr>
              <w:spacing w:after="0"/>
            </w:pPr>
            <w:r>
              <w:rPr>
                <w:sz w:val="15"/>
              </w:rPr>
              <w:t>Custom workflow engine</w:t>
            </w:r>
          </w:p>
        </w:tc>
        <w:tc>
          <w:tcPr>
            <w:tcW w:type="dxa" w:w="8064"/>
            <w:tcMar>
              <w:top w:w="55" w:type="dxa"/>
              <w:start w:w="65" w:type="dxa"/>
              <w:bottom w:w="55" w:type="dxa"/>
              <w:end w:w="65" w:type="dxa"/>
            </w:tcMar>
            <w:vAlign w:val="top"/>
          </w:tcPr>
          <w:p>
            <w:pPr>
              <w:spacing w:after="0"/>
            </w:pPr>
            <w:r>
              <w:rPr>
                <w:sz w:val="15"/>
              </w:rPr>
              <w:t>Educational prototype only. A full production workflow engine would consume the project and weaken focus.</w:t>
            </w:r>
          </w:p>
        </w:tc>
      </w:tr>
    </w:tbl>
    <w:p>
      <w:pPr>
        <w:spacing w:after="0"/>
      </w:pPr>
    </w:p>
    <w:p>
      <w:pPr>
        <w:pStyle w:val="Heading2"/>
      </w:pPr>
      <w:r>
        <w:t>7.3 Inference serving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vAlign w:val="center"/>
            <w:tcMar>
              <w:top w:w="70" w:type="dxa"/>
              <w:start w:w="70" w:type="dxa"/>
              <w:bottom w:w="70" w:type="dxa"/>
              <w:end w:w="70" w:type="dxa"/>
            </w:tcMar>
          </w:tcPr>
          <w:p>
            <w:pPr>
              <w:jc w:val="center"/>
            </w:pPr>
            <w:r>
              <w:rPr>
                <w:b/>
                <w:color w:val="FFFFFF"/>
                <w:sz w:val="15"/>
              </w:rPr>
              <w:t>Candidate</w:t>
            </w:r>
          </w:p>
        </w:tc>
        <w:tc>
          <w:tcPr>
            <w:tcW w:type="dxa" w:w="7848"/>
            <w:shd w:fill="16324F"/>
            <w:vAlign w:val="center"/>
            <w:tcMar>
              <w:top w:w="70" w:type="dxa"/>
              <w:start w:w="70" w:type="dxa"/>
              <w:bottom w:w="70" w:type="dxa"/>
              <w:end w:w="70" w:type="dxa"/>
            </w:tcMar>
          </w:tcPr>
          <w:p>
            <w:pPr>
              <w:jc w:val="center"/>
            </w:pPr>
            <w:r>
              <w:rPr>
                <w:b/>
                <w:color w:val="FFFFFF"/>
                <w:sz w:val="15"/>
              </w:rPr>
              <w:t>Use</w:t>
            </w:r>
          </w:p>
        </w:tc>
      </w:tr>
      <w:tr>
        <w:trPr>
          <w:cantSplit/>
        </w:trPr>
        <w:tc>
          <w:tcPr>
            <w:tcW w:type="dxa" w:w="2232"/>
            <w:tcMar>
              <w:top w:w="55" w:type="dxa"/>
              <w:start w:w="65" w:type="dxa"/>
              <w:bottom w:w="55" w:type="dxa"/>
              <w:end w:w="65" w:type="dxa"/>
            </w:tcMar>
            <w:vAlign w:val="top"/>
          </w:tcPr>
          <w:p>
            <w:pPr>
              <w:spacing w:after="0"/>
            </w:pPr>
            <w:r>
              <w:rPr>
                <w:sz w:val="15"/>
              </w:rPr>
              <w:t>vLLM</w:t>
            </w:r>
          </w:p>
        </w:tc>
        <w:tc>
          <w:tcPr>
            <w:tcW w:type="dxa" w:w="7848"/>
            <w:tcMar>
              <w:top w:w="55" w:type="dxa"/>
              <w:start w:w="65" w:type="dxa"/>
              <w:bottom w:w="55" w:type="dxa"/>
              <w:end w:w="65" w:type="dxa"/>
            </w:tcMar>
            <w:vAlign w:val="top"/>
          </w:tcPr>
          <w:p>
            <w:pPr>
              <w:spacing w:after="0"/>
            </w:pPr>
            <w:r>
              <w:rPr>
                <w:sz w:val="15"/>
              </w:rPr>
              <w:t>DEFAULT local OpenAI-compatible backend when the chosen model fits the RTX 4060. Prefix caching is directly relevant to repeated agent prefixes. [R15]</w:t>
            </w:r>
          </w:p>
        </w:tc>
      </w:tr>
      <w:tr>
        <w:trPr>
          <w:cantSplit/>
        </w:trPr>
        <w:tc>
          <w:tcPr>
            <w:tcW w:type="dxa" w:w="2232"/>
            <w:tcMar>
              <w:top w:w="55" w:type="dxa"/>
              <w:start w:w="65" w:type="dxa"/>
              <w:bottom w:w="55" w:type="dxa"/>
              <w:end w:w="65" w:type="dxa"/>
            </w:tcMar>
            <w:vAlign w:val="top"/>
          </w:tcPr>
          <w:p>
            <w:pPr>
              <w:spacing w:after="0"/>
            </w:pPr>
            <w:r>
              <w:rPr>
                <w:sz w:val="15"/>
              </w:rPr>
              <w:t>SGLang</w:t>
            </w:r>
          </w:p>
        </w:tc>
        <w:tc>
          <w:tcPr>
            <w:tcW w:type="dxa" w:w="7848"/>
            <w:tcMar>
              <w:top w:w="55" w:type="dxa"/>
              <w:start w:w="65" w:type="dxa"/>
              <w:bottom w:w="55" w:type="dxa"/>
              <w:end w:w="65" w:type="dxa"/>
            </w:tcMar>
            <w:vAlign w:val="top"/>
          </w:tcPr>
          <w:p>
            <w:pPr>
              <w:spacing w:after="0"/>
            </w:pPr>
            <w:r>
              <w:rPr>
                <w:sz w:val="15"/>
              </w:rPr>
              <w:t>Benchmark alternative if radix/prefix-heavy workloads are central; keep behind the same model-provider interface.</w:t>
            </w:r>
          </w:p>
        </w:tc>
      </w:tr>
      <w:tr>
        <w:trPr>
          <w:cantSplit/>
        </w:trPr>
        <w:tc>
          <w:tcPr>
            <w:tcW w:type="dxa" w:w="2232"/>
            <w:tcMar>
              <w:top w:w="55" w:type="dxa"/>
              <w:start w:w="65" w:type="dxa"/>
              <w:bottom w:w="55" w:type="dxa"/>
              <w:end w:w="65" w:type="dxa"/>
            </w:tcMar>
            <w:vAlign w:val="top"/>
          </w:tcPr>
          <w:p>
            <w:pPr>
              <w:spacing w:after="0"/>
            </w:pPr>
            <w:r>
              <w:rPr>
                <w:sz w:val="15"/>
              </w:rPr>
              <w:t>TensorRT-LLM</w:t>
            </w:r>
          </w:p>
        </w:tc>
        <w:tc>
          <w:tcPr>
            <w:tcW w:type="dxa" w:w="7848"/>
            <w:tcMar>
              <w:top w:w="55" w:type="dxa"/>
              <w:start w:w="65" w:type="dxa"/>
              <w:bottom w:w="55" w:type="dxa"/>
              <w:end w:w="65" w:type="dxa"/>
            </w:tcMar>
            <w:vAlign w:val="top"/>
          </w:tcPr>
          <w:p>
            <w:pPr>
              <w:spacing w:after="0"/>
            </w:pPr>
            <w:r>
              <w:rPr>
                <w:sz w:val="15"/>
              </w:rPr>
              <w:t>Optimization/benchmark path when NVIDIA-specific inference tuning is worth the setup cost; not needed for first milestone.</w:t>
            </w:r>
          </w:p>
        </w:tc>
      </w:tr>
      <w:tr>
        <w:trPr>
          <w:cantSplit/>
        </w:trPr>
        <w:tc>
          <w:tcPr>
            <w:tcW w:type="dxa" w:w="2232"/>
            <w:tcMar>
              <w:top w:w="55" w:type="dxa"/>
              <w:start w:w="65" w:type="dxa"/>
              <w:bottom w:w="55" w:type="dxa"/>
              <w:end w:w="65" w:type="dxa"/>
            </w:tcMar>
            <w:vAlign w:val="top"/>
          </w:tcPr>
          <w:p>
            <w:pPr>
              <w:spacing w:after="0"/>
            </w:pPr>
            <w:r>
              <w:rPr>
                <w:sz w:val="15"/>
              </w:rPr>
              <w:t>NVIDIA Dynamo</w:t>
            </w:r>
          </w:p>
        </w:tc>
        <w:tc>
          <w:tcPr>
            <w:tcW w:type="dxa" w:w="7848"/>
            <w:tcMar>
              <w:top w:w="55" w:type="dxa"/>
              <w:start w:w="65" w:type="dxa"/>
              <w:bottom w:w="55" w:type="dxa"/>
              <w:end w:w="65" w:type="dxa"/>
            </w:tcMar>
            <w:vAlign w:val="top"/>
          </w:tcPr>
          <w:p>
            <w:pPr>
              <w:spacing w:after="0"/>
            </w:pPr>
            <w:r>
              <w:rPr>
                <w:sz w:val="15"/>
              </w:rPr>
              <w:t>Reference architecture / optional cloud-scale experiment for KV-aware routing. On one local GPU it is not the core runtime. Its routing model is valuable to compare against the Chronos-lite scheduler. [R16]</w:t>
            </w:r>
          </w:p>
        </w:tc>
      </w:tr>
      <w:tr>
        <w:trPr>
          <w:cantSplit/>
        </w:trPr>
        <w:tc>
          <w:tcPr>
            <w:tcW w:type="dxa" w:w="2232"/>
            <w:tcMar>
              <w:top w:w="55" w:type="dxa"/>
              <w:start w:w="65" w:type="dxa"/>
              <w:bottom w:w="55" w:type="dxa"/>
              <w:end w:w="65" w:type="dxa"/>
            </w:tcMar>
            <w:vAlign w:val="top"/>
          </w:tcPr>
          <w:p>
            <w:pPr>
              <w:spacing w:after="0"/>
            </w:pPr>
            <w:r>
              <w:rPr>
                <w:sz w:val="15"/>
              </w:rPr>
              <w:t>Ray Serve LLM</w:t>
            </w:r>
          </w:p>
        </w:tc>
        <w:tc>
          <w:tcPr>
            <w:tcW w:type="dxa" w:w="7848"/>
            <w:tcMar>
              <w:top w:w="55" w:type="dxa"/>
              <w:start w:w="65" w:type="dxa"/>
              <w:bottom w:w="55" w:type="dxa"/>
              <w:end w:w="65" w:type="dxa"/>
            </w:tcMar>
            <w:vAlign w:val="top"/>
          </w:tcPr>
          <w:p>
            <w:pPr>
              <w:spacing w:after="0"/>
            </w:pPr>
            <w:r>
              <w:rPr>
                <w:sz w:val="15"/>
              </w:rPr>
              <w:t>Optional distributed-serving comparison when multiple cloud workers are available; it supports multi-node serving and custom/prefix-aware routing. [R17]</w:t>
            </w:r>
          </w:p>
        </w:tc>
      </w:tr>
    </w:tbl>
    <w:p>
      <w:pPr>
        <w:spacing w:after="0"/>
      </w:pPr>
    </w:p>
    <w:p>
      <w:pPr>
        <w:pStyle w:val="Heading2"/>
      </w:pPr>
      <w:r>
        <w:t>7.4 Observability</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vAlign w:val="center"/>
            <w:tcMar>
              <w:top w:w="70" w:type="dxa"/>
              <w:start w:w="70" w:type="dxa"/>
              <w:bottom w:w="70" w:type="dxa"/>
              <w:end w:w="70" w:type="dxa"/>
            </w:tcMar>
          </w:tcPr>
          <w:p>
            <w:pPr>
              <w:jc w:val="center"/>
            </w:pPr>
            <w:r>
              <w:rPr>
                <w:b/>
                <w:color w:val="FFFFFF"/>
                <w:sz w:val="15"/>
              </w:rPr>
              <w:t>Tool</w:t>
            </w:r>
          </w:p>
        </w:tc>
        <w:tc>
          <w:tcPr>
            <w:tcW w:type="dxa" w:w="7848"/>
            <w:shd w:fill="16324F"/>
            <w:vAlign w:val="center"/>
            <w:tcMar>
              <w:top w:w="70" w:type="dxa"/>
              <w:start w:w="70" w:type="dxa"/>
              <w:bottom w:w="70" w:type="dxa"/>
              <w:end w:w="70" w:type="dxa"/>
            </w:tcMar>
          </w:tcPr>
          <w:p>
            <w:pPr>
              <w:jc w:val="center"/>
            </w:pPr>
            <w:r>
              <w:rPr>
                <w:b/>
                <w:color w:val="FFFFFF"/>
                <w:sz w:val="15"/>
              </w:rPr>
              <w:t>Decision / boundary</w:t>
            </w:r>
          </w:p>
        </w:tc>
      </w:tr>
      <w:tr>
        <w:trPr>
          <w:cantSplit/>
        </w:trPr>
        <w:tc>
          <w:tcPr>
            <w:tcW w:type="dxa" w:w="2232"/>
            <w:tcMar>
              <w:top w:w="55" w:type="dxa"/>
              <w:start w:w="65" w:type="dxa"/>
              <w:bottom w:w="55" w:type="dxa"/>
              <w:end w:w="65" w:type="dxa"/>
            </w:tcMar>
            <w:vAlign w:val="top"/>
          </w:tcPr>
          <w:p>
            <w:pPr>
              <w:spacing w:after="0"/>
            </w:pPr>
            <w:r>
              <w:rPr>
                <w:sz w:val="15"/>
              </w:rPr>
              <w:t>OpenTelemetry</w:t>
            </w:r>
          </w:p>
        </w:tc>
        <w:tc>
          <w:tcPr>
            <w:tcW w:type="dxa" w:w="7848"/>
            <w:tcMar>
              <w:top w:w="55" w:type="dxa"/>
              <w:start w:w="65" w:type="dxa"/>
              <w:bottom w:w="55" w:type="dxa"/>
              <w:end w:w="65" w:type="dxa"/>
            </w:tcMar>
            <w:vAlign w:val="top"/>
          </w:tcPr>
          <w:p>
            <w:pPr>
              <w:spacing w:after="0"/>
            </w:pPr>
            <w:r>
              <w:rPr>
                <w:sz w:val="15"/>
              </w:rPr>
              <w:t>Instrumentation standard and trace context. All core services emit vendor-neutral spans/metrics first.</w:t>
            </w:r>
          </w:p>
        </w:tc>
      </w:tr>
      <w:tr>
        <w:trPr>
          <w:cantSplit/>
        </w:trPr>
        <w:tc>
          <w:tcPr>
            <w:tcW w:type="dxa" w:w="2232"/>
            <w:tcMar>
              <w:top w:w="55" w:type="dxa"/>
              <w:start w:w="65" w:type="dxa"/>
              <w:bottom w:w="55" w:type="dxa"/>
              <w:end w:w="65" w:type="dxa"/>
            </w:tcMar>
            <w:vAlign w:val="top"/>
          </w:tcPr>
          <w:p>
            <w:pPr>
              <w:spacing w:after="0"/>
            </w:pPr>
            <w:r>
              <w:rPr>
                <w:sz w:val="15"/>
              </w:rPr>
              <w:t>Langfuse</w:t>
            </w:r>
          </w:p>
        </w:tc>
        <w:tc>
          <w:tcPr>
            <w:tcW w:type="dxa" w:w="7848"/>
            <w:tcMar>
              <w:top w:w="55" w:type="dxa"/>
              <w:start w:w="65" w:type="dxa"/>
              <w:bottom w:w="55" w:type="dxa"/>
              <w:end w:w="65" w:type="dxa"/>
            </w:tcMar>
            <w:vAlign w:val="top"/>
          </w:tcPr>
          <w:p>
            <w:pPr>
              <w:spacing w:after="0"/>
            </w:pPr>
            <w:r>
              <w:rPr>
                <w:sz w:val="15"/>
              </w:rPr>
              <w:t>DEFAULT AI observability/evaluation UI: model/tool/retrieval traces, scores, prompt/eval analysis; can ingest OTel and self-host. [R18]</w:t>
            </w:r>
          </w:p>
        </w:tc>
      </w:tr>
      <w:tr>
        <w:trPr>
          <w:cantSplit/>
        </w:trPr>
        <w:tc>
          <w:tcPr>
            <w:tcW w:type="dxa" w:w="2232"/>
            <w:tcMar>
              <w:top w:w="55" w:type="dxa"/>
              <w:start w:w="65" w:type="dxa"/>
              <w:bottom w:w="55" w:type="dxa"/>
              <w:end w:w="65" w:type="dxa"/>
            </w:tcMar>
            <w:vAlign w:val="top"/>
          </w:tcPr>
          <w:p>
            <w:pPr>
              <w:spacing w:after="0"/>
            </w:pPr>
            <w:r>
              <w:rPr>
                <w:sz w:val="15"/>
              </w:rPr>
              <w:t>Prometheus + Grafana</w:t>
            </w:r>
          </w:p>
        </w:tc>
        <w:tc>
          <w:tcPr>
            <w:tcW w:type="dxa" w:w="7848"/>
            <w:tcMar>
              <w:top w:w="55" w:type="dxa"/>
              <w:start w:w="65" w:type="dxa"/>
              <w:bottom w:w="55" w:type="dxa"/>
              <w:end w:w="65" w:type="dxa"/>
            </w:tcMar>
            <w:vAlign w:val="top"/>
          </w:tcPr>
          <w:p>
            <w:pPr>
              <w:spacing w:after="0"/>
            </w:pPr>
            <w:r>
              <w:rPr>
                <w:sz w:val="15"/>
              </w:rPr>
              <w:t>Systems metrics: service latency, queue depth, CPU/RAM/GPU, error rates, SLOs.</w:t>
            </w:r>
          </w:p>
        </w:tc>
      </w:tr>
      <w:tr>
        <w:trPr>
          <w:cantSplit/>
        </w:trPr>
        <w:tc>
          <w:tcPr>
            <w:tcW w:type="dxa" w:w="2232"/>
            <w:tcMar>
              <w:top w:w="55" w:type="dxa"/>
              <w:start w:w="65" w:type="dxa"/>
              <w:bottom w:w="55" w:type="dxa"/>
              <w:end w:w="65" w:type="dxa"/>
            </w:tcMar>
            <w:vAlign w:val="top"/>
          </w:tcPr>
          <w:p>
            <w:pPr>
              <w:spacing w:after="0"/>
            </w:pPr>
            <w:r>
              <w:rPr>
                <w:sz w:val="15"/>
              </w:rPr>
              <w:t>Phoenix</w:t>
            </w:r>
          </w:p>
        </w:tc>
        <w:tc>
          <w:tcPr>
            <w:tcW w:type="dxa" w:w="7848"/>
            <w:tcMar>
              <w:top w:w="55" w:type="dxa"/>
              <w:start w:w="65" w:type="dxa"/>
              <w:bottom w:w="55" w:type="dxa"/>
              <w:end w:w="65" w:type="dxa"/>
            </w:tcMar>
            <w:vAlign w:val="top"/>
          </w:tcPr>
          <w:p>
            <w:pPr>
              <w:spacing w:after="0"/>
            </w:pPr>
            <w:r>
              <w:rPr>
                <w:sz w:val="15"/>
              </w:rPr>
              <w:t>Strong open-source alternative for traces/evals. [R19] Benchmark developer experience if Langfuse becomes too heavy for 16 GB local RAM.</w:t>
            </w:r>
          </w:p>
        </w:tc>
      </w:tr>
    </w:tbl>
    <w:p>
      <w:pPr>
        <w:spacing w:after="0"/>
      </w:pPr>
    </w:p>
    <w:p>
      <w:pPr>
        <w:pStyle w:val="Heading2"/>
      </w:pPr>
      <w:r>
        <w:t>7.5 Deployment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shd w:fill="16324F"/>
            <w:vAlign w:val="center"/>
            <w:tcMar>
              <w:top w:w="70" w:type="dxa"/>
              <w:start w:w="70" w:type="dxa"/>
              <w:bottom w:w="70" w:type="dxa"/>
              <w:end w:w="70" w:type="dxa"/>
            </w:tcMar>
          </w:tcPr>
          <w:p>
            <w:pPr>
              <w:jc w:val="center"/>
            </w:pPr>
            <w:r>
              <w:rPr>
                <w:b/>
                <w:color w:val="FFFFFF"/>
                <w:sz w:val="15"/>
              </w:rPr>
              <w:t>Environment</w:t>
            </w:r>
          </w:p>
        </w:tc>
        <w:tc>
          <w:tcPr>
            <w:tcW w:type="dxa" w:w="4032"/>
            <w:shd w:fill="16324F"/>
            <w:vAlign w:val="center"/>
            <w:tcMar>
              <w:top w:w="70" w:type="dxa"/>
              <w:start w:w="70" w:type="dxa"/>
              <w:bottom w:w="70" w:type="dxa"/>
              <w:end w:w="70" w:type="dxa"/>
            </w:tcMar>
          </w:tcPr>
          <w:p>
            <w:pPr>
              <w:jc w:val="center"/>
            </w:pPr>
            <w:r>
              <w:rPr>
                <w:b/>
                <w:color w:val="FFFFFF"/>
                <w:sz w:val="15"/>
              </w:rPr>
              <w:t>Default approach</w:t>
            </w:r>
          </w:p>
        </w:tc>
        <w:tc>
          <w:tcPr>
            <w:tcW w:type="dxa" w:w="3816"/>
            <w:shd w:fill="16324F"/>
            <w:vAlign w:val="center"/>
            <w:tcMar>
              <w:top w:w="70" w:type="dxa"/>
              <w:start w:w="70" w:type="dxa"/>
              <w:bottom w:w="70" w:type="dxa"/>
              <w:end w:w="70" w:type="dxa"/>
            </w:tcMar>
          </w:tcPr>
          <w:p>
            <w:pPr>
              <w:jc w:val="center"/>
            </w:pPr>
            <w:r>
              <w:rPr>
                <w:b/>
                <w:color w:val="FFFFFF"/>
                <w:sz w:val="15"/>
              </w:rPr>
              <w:t>Why</w:t>
            </w:r>
          </w:p>
        </w:tc>
      </w:tr>
      <w:tr>
        <w:trPr>
          <w:cantSplit/>
        </w:trPr>
        <w:tc>
          <w:tcPr>
            <w:tcW w:type="dxa" w:w="2232"/>
            <w:tcMar>
              <w:top w:w="55" w:type="dxa"/>
              <w:start w:w="65" w:type="dxa"/>
              <w:bottom w:w="55" w:type="dxa"/>
              <w:end w:w="65" w:type="dxa"/>
            </w:tcMar>
            <w:vAlign w:val="top"/>
          </w:tcPr>
          <w:p>
            <w:pPr>
              <w:spacing w:after="0"/>
            </w:pPr>
            <w:r>
              <w:rPr>
                <w:sz w:val="15"/>
              </w:rPr>
              <w:t>Local dev</w:t>
            </w:r>
          </w:p>
        </w:tc>
        <w:tc>
          <w:tcPr>
            <w:tcW w:type="dxa" w:w="4032"/>
            <w:tcMar>
              <w:top w:w="55" w:type="dxa"/>
              <w:start w:w="65" w:type="dxa"/>
              <w:bottom w:w="55" w:type="dxa"/>
              <w:end w:w="65" w:type="dxa"/>
            </w:tcMar>
            <w:vAlign w:val="top"/>
          </w:tcPr>
          <w:p>
            <w:pPr>
              <w:spacing w:after="0"/>
            </w:pPr>
            <w:r>
              <w:rPr>
                <w:sz w:val="15"/>
              </w:rPr>
              <w:t>Docker Compose + native GPU process</w:t>
            </w:r>
          </w:p>
        </w:tc>
        <w:tc>
          <w:tcPr>
            <w:tcW w:type="dxa" w:w="3816"/>
            <w:tcMar>
              <w:top w:w="55" w:type="dxa"/>
              <w:start w:w="65" w:type="dxa"/>
              <w:bottom w:w="55" w:type="dxa"/>
              <w:end w:w="65" w:type="dxa"/>
            </w:tcMar>
            <w:vAlign w:val="top"/>
          </w:tcPr>
          <w:p>
            <w:pPr>
              <w:spacing w:after="0"/>
            </w:pPr>
            <w:r>
              <w:rPr>
                <w:sz w:val="15"/>
              </w:rPr>
              <w:t>Fast iteration; only start services required for current experiment.</w:t>
            </w:r>
          </w:p>
        </w:tc>
      </w:tr>
      <w:tr>
        <w:trPr>
          <w:cantSplit/>
        </w:trPr>
        <w:tc>
          <w:tcPr>
            <w:tcW w:type="dxa" w:w="2232"/>
            <w:tcMar>
              <w:top w:w="55" w:type="dxa"/>
              <w:start w:w="65" w:type="dxa"/>
              <w:bottom w:w="55" w:type="dxa"/>
              <w:end w:w="65" w:type="dxa"/>
            </w:tcMar>
            <w:vAlign w:val="top"/>
          </w:tcPr>
          <w:p>
            <w:pPr>
              <w:spacing w:after="0"/>
            </w:pPr>
            <w:r>
              <w:rPr>
                <w:sz w:val="15"/>
              </w:rPr>
              <w:t>Local orchestration demo</w:t>
            </w:r>
          </w:p>
        </w:tc>
        <w:tc>
          <w:tcPr>
            <w:tcW w:type="dxa" w:w="4032"/>
            <w:tcMar>
              <w:top w:w="55" w:type="dxa"/>
              <w:start w:w="65" w:type="dxa"/>
              <w:bottom w:w="55" w:type="dxa"/>
              <w:end w:w="65" w:type="dxa"/>
            </w:tcMar>
            <w:vAlign w:val="top"/>
          </w:tcPr>
          <w:p>
            <w:pPr>
              <w:spacing w:after="0"/>
            </w:pPr>
            <w:r>
              <w:rPr>
                <w:sz w:val="15"/>
              </w:rPr>
              <w:t>kind/k3d if memory allows</w:t>
            </w:r>
          </w:p>
        </w:tc>
        <w:tc>
          <w:tcPr>
            <w:tcW w:type="dxa" w:w="3816"/>
            <w:tcMar>
              <w:top w:w="55" w:type="dxa"/>
              <w:start w:w="65" w:type="dxa"/>
              <w:bottom w:w="55" w:type="dxa"/>
              <w:end w:w="65" w:type="dxa"/>
            </w:tcMar>
            <w:vAlign w:val="top"/>
          </w:tcPr>
          <w:p>
            <w:pPr>
              <w:spacing w:after="0"/>
            </w:pPr>
            <w:r>
              <w:rPr>
                <w:sz w:val="15"/>
              </w:rPr>
              <w:t>Demonstrate manifests, health checks, config/secrets, rolling behavior without permanent cloud cost.</w:t>
            </w:r>
          </w:p>
        </w:tc>
      </w:tr>
      <w:tr>
        <w:trPr>
          <w:cantSplit/>
        </w:trPr>
        <w:tc>
          <w:tcPr>
            <w:tcW w:type="dxa" w:w="2232"/>
            <w:tcMar>
              <w:top w:w="55" w:type="dxa"/>
              <w:start w:w="65" w:type="dxa"/>
              <w:bottom w:w="55" w:type="dxa"/>
              <w:end w:w="65" w:type="dxa"/>
            </w:tcMar>
            <w:vAlign w:val="top"/>
          </w:tcPr>
          <w:p>
            <w:pPr>
              <w:spacing w:after="0"/>
            </w:pPr>
            <w:r>
              <w:rPr>
                <w:sz w:val="15"/>
              </w:rPr>
              <w:t>Azure CPU services</w:t>
            </w:r>
          </w:p>
        </w:tc>
        <w:tc>
          <w:tcPr>
            <w:tcW w:type="dxa" w:w="4032"/>
            <w:tcMar>
              <w:top w:w="55" w:type="dxa"/>
              <w:start w:w="65" w:type="dxa"/>
              <w:bottom w:w="55" w:type="dxa"/>
              <w:end w:w="65" w:type="dxa"/>
            </w:tcMar>
            <w:vAlign w:val="top"/>
          </w:tcPr>
          <w:p>
            <w:pPr>
              <w:spacing w:after="0"/>
            </w:pPr>
            <w:r>
              <w:rPr>
                <w:sz w:val="15"/>
              </w:rPr>
              <w:t>Azure Container Apps Consumption</w:t>
            </w:r>
          </w:p>
        </w:tc>
        <w:tc>
          <w:tcPr>
            <w:tcW w:type="dxa" w:w="3816"/>
            <w:tcMar>
              <w:top w:w="55" w:type="dxa"/>
              <w:start w:w="65" w:type="dxa"/>
              <w:bottom w:w="55" w:type="dxa"/>
              <w:end w:w="65" w:type="dxa"/>
            </w:tcMar>
            <w:vAlign w:val="top"/>
          </w:tcPr>
          <w:p>
            <w:pPr>
              <w:spacing w:after="0"/>
            </w:pPr>
            <w:r>
              <w:rPr>
                <w:sz w:val="15"/>
              </w:rPr>
              <w:t>Scale-to-zero and pay-for-use behavior fit limited credits. [R20]</w:t>
            </w:r>
          </w:p>
        </w:tc>
      </w:tr>
      <w:tr>
        <w:trPr>
          <w:cantSplit/>
        </w:trPr>
        <w:tc>
          <w:tcPr>
            <w:tcW w:type="dxa" w:w="2232"/>
            <w:tcMar>
              <w:top w:w="55" w:type="dxa"/>
              <w:start w:w="65" w:type="dxa"/>
              <w:bottom w:w="55" w:type="dxa"/>
              <w:end w:w="65" w:type="dxa"/>
            </w:tcMar>
            <w:vAlign w:val="top"/>
          </w:tcPr>
          <w:p>
            <w:pPr>
              <w:spacing w:after="0"/>
            </w:pPr>
            <w:r>
              <w:rPr>
                <w:sz w:val="15"/>
              </w:rPr>
              <w:t>Azure observability</w:t>
            </w:r>
          </w:p>
        </w:tc>
        <w:tc>
          <w:tcPr>
            <w:tcW w:type="dxa" w:w="4032"/>
            <w:tcMar>
              <w:top w:w="55" w:type="dxa"/>
              <w:start w:w="65" w:type="dxa"/>
              <w:bottom w:w="55" w:type="dxa"/>
              <w:end w:w="65" w:type="dxa"/>
            </w:tcMar>
            <w:vAlign w:val="top"/>
          </w:tcPr>
          <w:p>
            <w:pPr>
              <w:spacing w:after="0"/>
            </w:pPr>
            <w:r>
              <w:rPr>
                <w:sz w:val="15"/>
              </w:rPr>
              <w:t>OTel collector → Azure Monitor only as an interoperability demo; keep instrumentation vendor-neutral. [R21]</w:t>
            </w:r>
          </w:p>
        </w:tc>
        <w:tc>
          <w:tcPr>
            <w:tcW w:type="dxa" w:w="3816"/>
            <w:tcMar>
              <w:top w:w="55" w:type="dxa"/>
              <w:start w:w="65" w:type="dxa"/>
              <w:bottom w:w="55" w:type="dxa"/>
              <w:end w:w="65" w:type="dxa"/>
            </w:tcMar>
            <w:vAlign w:val="top"/>
          </w:tcPr>
          <w:p>
            <w:pPr>
              <w:spacing w:after="0"/>
            </w:pPr>
            <w:r>
              <w:rPr>
                <w:sz w:val="15"/>
              </w:rPr>
              <w:t>Demonstrates cloud production thinking without rewriting telemetry.</w:t>
            </w:r>
          </w:p>
        </w:tc>
      </w:tr>
      <w:tr>
        <w:trPr>
          <w:cantSplit/>
        </w:trPr>
        <w:tc>
          <w:tcPr>
            <w:tcW w:type="dxa" w:w="2232"/>
            <w:tcMar>
              <w:top w:w="55" w:type="dxa"/>
              <w:start w:w="65" w:type="dxa"/>
              <w:bottom w:w="55" w:type="dxa"/>
              <w:end w:w="65" w:type="dxa"/>
            </w:tcMar>
            <w:vAlign w:val="top"/>
          </w:tcPr>
          <w:p>
            <w:pPr>
              <w:spacing w:after="0"/>
            </w:pPr>
            <w:r>
              <w:rPr>
                <w:sz w:val="15"/>
              </w:rPr>
              <w:t>AKS</w:t>
            </w:r>
          </w:p>
        </w:tc>
        <w:tc>
          <w:tcPr>
            <w:tcW w:type="dxa" w:w="4032"/>
            <w:tcMar>
              <w:top w:w="55" w:type="dxa"/>
              <w:start w:w="65" w:type="dxa"/>
              <w:bottom w:w="55" w:type="dxa"/>
              <w:end w:w="65" w:type="dxa"/>
            </w:tcMar>
            <w:vAlign w:val="top"/>
          </w:tcPr>
          <w:p>
            <w:pPr>
              <w:spacing w:after="0"/>
            </w:pPr>
            <w:r>
              <w:rPr>
                <w:sz w:val="15"/>
              </w:rPr>
              <w:t>One short-lived deployment milestone, not the default dev platform</w:t>
            </w:r>
          </w:p>
        </w:tc>
        <w:tc>
          <w:tcPr>
            <w:tcW w:type="dxa" w:w="3816"/>
            <w:tcMar>
              <w:top w:w="55" w:type="dxa"/>
              <w:start w:w="65" w:type="dxa"/>
              <w:bottom w:w="55" w:type="dxa"/>
              <w:end w:w="65" w:type="dxa"/>
            </w:tcMar>
            <w:vAlign w:val="top"/>
          </w:tcPr>
          <w:p>
            <w:pPr>
              <w:spacing w:after="0"/>
            </w:pPr>
            <w:r>
              <w:rPr>
                <w:sz w:val="15"/>
              </w:rPr>
              <w:t>Useful Kubernetes proof, but avoid burning credits keeping a cluster alive.</w:t>
            </w:r>
          </w:p>
        </w:tc>
      </w:tr>
    </w:tbl>
    <w:p>
      <w:pPr>
        <w:spacing w:after="0"/>
      </w:pPr>
    </w:p>
    <w:p>
      <w:pPr>
        <w:pStyle w:val="Heading2"/>
      </w:pPr>
      <w:r>
        <w:t>7.6 Messaging, cache, and ‘do we really need this?’</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vAlign w:val="center"/>
            <w:tcMar>
              <w:top w:w="70" w:type="dxa"/>
              <w:start w:w="70" w:type="dxa"/>
              <w:bottom w:w="70" w:type="dxa"/>
              <w:end w:w="70" w:type="dxa"/>
            </w:tcMar>
          </w:tcPr>
          <w:p>
            <w:pPr>
              <w:jc w:val="center"/>
            </w:pPr>
            <w:r>
              <w:rPr>
                <w:b/>
                <w:color w:val="FFFFFF"/>
                <w:sz w:val="15"/>
              </w:rPr>
              <w:t>Technology</w:t>
            </w:r>
          </w:p>
        </w:tc>
        <w:tc>
          <w:tcPr>
            <w:tcW w:type="dxa" w:w="7848"/>
            <w:shd w:fill="16324F"/>
            <w:vAlign w:val="center"/>
            <w:tcMar>
              <w:top w:w="70" w:type="dxa"/>
              <w:start w:w="70" w:type="dxa"/>
              <w:bottom w:w="70" w:type="dxa"/>
              <w:end w:w="70" w:type="dxa"/>
            </w:tcMar>
          </w:tcPr>
          <w:p>
            <w:pPr>
              <w:jc w:val="center"/>
            </w:pPr>
            <w:r>
              <w:rPr>
                <w:b/>
                <w:color w:val="FFFFFF"/>
                <w:sz w:val="15"/>
              </w:rPr>
              <w:t>Default stance</w:t>
            </w:r>
          </w:p>
        </w:tc>
      </w:tr>
      <w:tr>
        <w:trPr>
          <w:cantSplit/>
        </w:trPr>
        <w:tc>
          <w:tcPr>
            <w:tcW w:type="dxa" w:w="2232"/>
            <w:tcMar>
              <w:top w:w="55" w:type="dxa"/>
              <w:start w:w="65" w:type="dxa"/>
              <w:bottom w:w="55" w:type="dxa"/>
              <w:end w:w="65" w:type="dxa"/>
            </w:tcMar>
            <w:vAlign w:val="top"/>
          </w:tcPr>
          <w:p>
            <w:pPr>
              <w:spacing w:after="0"/>
            </w:pPr>
            <w:r>
              <w:rPr>
                <w:sz w:val="15"/>
              </w:rPr>
              <w:t>Kafka</w:t>
            </w:r>
          </w:p>
        </w:tc>
        <w:tc>
          <w:tcPr>
            <w:tcW w:type="dxa" w:w="7848"/>
            <w:tcMar>
              <w:top w:w="55" w:type="dxa"/>
              <w:start w:w="65" w:type="dxa"/>
              <w:bottom w:w="55" w:type="dxa"/>
              <w:end w:w="65" w:type="dxa"/>
            </w:tcMar>
            <w:vAlign w:val="top"/>
          </w:tcPr>
          <w:p>
            <w:pPr>
              <w:spacing w:after="0"/>
            </w:pPr>
            <w:r>
              <w:rPr>
                <w:sz w:val="15"/>
              </w:rPr>
              <w:t>NO initially. The workload does not require Kafka-scale retained event streaming. Add only if measured event volume/replay semantics demand it.</w:t>
            </w:r>
          </w:p>
        </w:tc>
      </w:tr>
      <w:tr>
        <w:trPr>
          <w:cantSplit/>
        </w:trPr>
        <w:tc>
          <w:tcPr>
            <w:tcW w:type="dxa" w:w="2232"/>
            <w:tcMar>
              <w:top w:w="55" w:type="dxa"/>
              <w:start w:w="65" w:type="dxa"/>
              <w:bottom w:w="55" w:type="dxa"/>
              <w:end w:w="65" w:type="dxa"/>
            </w:tcMar>
            <w:vAlign w:val="top"/>
          </w:tcPr>
          <w:p>
            <w:pPr>
              <w:spacing w:after="0"/>
            </w:pPr>
            <w:r>
              <w:rPr>
                <w:sz w:val="15"/>
              </w:rPr>
              <w:t>NATS JetStream</w:t>
            </w:r>
          </w:p>
        </w:tc>
        <w:tc>
          <w:tcPr>
            <w:tcW w:type="dxa" w:w="7848"/>
            <w:tcMar>
              <w:top w:w="55" w:type="dxa"/>
              <w:start w:w="65" w:type="dxa"/>
              <w:bottom w:w="55" w:type="dxa"/>
              <w:end w:w="65" w:type="dxa"/>
            </w:tcMar>
            <w:vAlign w:val="top"/>
          </w:tcPr>
          <w:p>
            <w:pPr>
              <w:spacing w:after="0"/>
            </w:pPr>
            <w:r>
              <w:rPr>
                <w:sz w:val="15"/>
              </w:rPr>
              <w:t>OPTIONAL. Excellent lightweight persistent messaging/replay [R22], but Temporal task queues already cover workflow dispatch. Add only for a genuinely separate event plane.</w:t>
            </w:r>
          </w:p>
        </w:tc>
      </w:tr>
      <w:tr>
        <w:trPr>
          <w:cantSplit/>
        </w:trPr>
        <w:tc>
          <w:tcPr>
            <w:tcW w:type="dxa" w:w="2232"/>
            <w:tcMar>
              <w:top w:w="55" w:type="dxa"/>
              <w:start w:w="65" w:type="dxa"/>
              <w:bottom w:w="55" w:type="dxa"/>
              <w:end w:w="65" w:type="dxa"/>
            </w:tcMar>
            <w:vAlign w:val="top"/>
          </w:tcPr>
          <w:p>
            <w:pPr>
              <w:spacing w:after="0"/>
            </w:pPr>
            <w:r>
              <w:rPr>
                <w:sz w:val="15"/>
              </w:rPr>
              <w:t>RabbitMQ</w:t>
            </w:r>
          </w:p>
        </w:tc>
        <w:tc>
          <w:tcPr>
            <w:tcW w:type="dxa" w:w="7848"/>
            <w:tcMar>
              <w:top w:w="55" w:type="dxa"/>
              <w:start w:w="65" w:type="dxa"/>
              <w:bottom w:w="55" w:type="dxa"/>
              <w:end w:w="65" w:type="dxa"/>
            </w:tcMar>
            <w:vAlign w:val="top"/>
          </w:tcPr>
          <w:p>
            <w:pPr>
              <w:spacing w:after="0"/>
            </w:pPr>
            <w:r>
              <w:rPr>
                <w:sz w:val="15"/>
              </w:rPr>
              <w:t>NO initially. Useful broker, but no unique requirement yet.</w:t>
            </w:r>
          </w:p>
        </w:tc>
      </w:tr>
      <w:tr>
        <w:trPr>
          <w:cantSplit/>
        </w:trPr>
        <w:tc>
          <w:tcPr>
            <w:tcW w:type="dxa" w:w="2232"/>
            <w:tcMar>
              <w:top w:w="55" w:type="dxa"/>
              <w:start w:w="65" w:type="dxa"/>
              <w:bottom w:w="55" w:type="dxa"/>
              <w:end w:w="65" w:type="dxa"/>
            </w:tcMar>
            <w:vAlign w:val="top"/>
          </w:tcPr>
          <w:p>
            <w:pPr>
              <w:spacing w:after="0"/>
            </w:pPr>
            <w:r>
              <w:rPr>
                <w:sz w:val="15"/>
              </w:rPr>
              <w:t>Redis</w:t>
            </w:r>
          </w:p>
        </w:tc>
        <w:tc>
          <w:tcPr>
            <w:tcW w:type="dxa" w:w="7848"/>
            <w:tcMar>
              <w:top w:w="55" w:type="dxa"/>
              <w:start w:w="65" w:type="dxa"/>
              <w:bottom w:w="55" w:type="dxa"/>
              <w:end w:w="65" w:type="dxa"/>
            </w:tcMar>
            <w:vAlign w:val="top"/>
          </w:tcPr>
          <w:p>
            <w:pPr>
              <w:spacing w:after="0"/>
            </w:pPr>
            <w:r>
              <w:rPr>
                <w:sz w:val="15"/>
              </w:rPr>
              <w:t>DEFER. Add only after multiple replicas need shared low-latency cache/rate-limit state; do not use it as workflow truth.</w:t>
            </w:r>
          </w:p>
        </w:tc>
      </w:tr>
      <w:tr>
        <w:trPr>
          <w:cantSplit/>
        </w:trPr>
        <w:tc>
          <w:tcPr>
            <w:tcW w:type="dxa" w:w="2232"/>
            <w:tcMar>
              <w:top w:w="55" w:type="dxa"/>
              <w:start w:w="65" w:type="dxa"/>
              <w:bottom w:w="55" w:type="dxa"/>
              <w:end w:w="65" w:type="dxa"/>
            </w:tcMar>
            <w:vAlign w:val="top"/>
          </w:tcPr>
          <w:p>
            <w:pPr>
              <w:spacing w:after="0"/>
            </w:pPr>
            <w:r>
              <w:rPr>
                <w:sz w:val="15"/>
              </w:rPr>
              <w:t>Azure Service Bus</w:t>
            </w:r>
          </w:p>
        </w:tc>
        <w:tc>
          <w:tcPr>
            <w:tcW w:type="dxa" w:w="7848"/>
            <w:tcMar>
              <w:top w:w="55" w:type="dxa"/>
              <w:start w:w="65" w:type="dxa"/>
              <w:bottom w:w="55" w:type="dxa"/>
              <w:end w:w="65" w:type="dxa"/>
            </w:tcMar>
            <w:vAlign w:val="top"/>
          </w:tcPr>
          <w:p>
            <w:pPr>
              <w:spacing w:after="0"/>
            </w:pPr>
            <w:r>
              <w:rPr>
                <w:sz w:val="15"/>
              </w:rPr>
              <w:t>Cloud comparison, not core. Useful to demonstrate managed queues/topics if desired, while keeping the core provider-neutral.</w:t>
            </w:r>
          </w:p>
        </w:tc>
      </w:tr>
    </w:tbl>
    <w:p>
      <w:pPr>
        <w:spacing w:after="0"/>
      </w:pPr>
    </w:p>
    <w:p>
      <w:pPr>
        <w:pStyle w:val="Heading1"/>
      </w:pPr>
      <w:r>
        <w:t>8. Hardware-aware execution plan</w:t>
      </w:r>
    </w:p>
    <w:p>
      <w:pPr>
        <w:pStyle w:val="Heading2"/>
      </w:pPr>
      <w:r>
        <w:t>8.1 Local machine profile</w:t>
      </w:r>
    </w:p>
    <w:p>
      <w:r>
        <w:t>The RTX 4060 and 16 GB system RAM are enough for meaningful inference/kernel experiments, but not enough to run every production service plus a large model simultaneously. Design explicit run profiles.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shd w:fill="16324F"/>
            <w:vAlign w:val="center"/>
            <w:tcMar>
              <w:top w:w="70" w:type="dxa"/>
              <w:start w:w="70" w:type="dxa"/>
              <w:bottom w:w="70" w:type="dxa"/>
              <w:end w:w="70" w:type="dxa"/>
            </w:tcMar>
          </w:tcPr>
          <w:p>
            <w:pPr>
              <w:jc w:val="center"/>
            </w:pPr>
            <w:r>
              <w:rPr>
                <w:b/>
                <w:color w:val="FFFFFF"/>
                <w:sz w:val="15"/>
              </w:rPr>
              <w:t>Profile</w:t>
            </w:r>
          </w:p>
        </w:tc>
        <w:tc>
          <w:tcPr>
            <w:tcW w:type="dxa" w:w="5184"/>
            <w:shd w:fill="16324F"/>
            <w:vAlign w:val="center"/>
            <w:tcMar>
              <w:top w:w="70" w:type="dxa"/>
              <w:start w:w="70" w:type="dxa"/>
              <w:bottom w:w="70" w:type="dxa"/>
              <w:end w:w="70" w:type="dxa"/>
            </w:tcMar>
          </w:tcPr>
          <w:p>
            <w:pPr>
              <w:jc w:val="center"/>
            </w:pPr>
            <w:r>
              <w:rPr>
                <w:b/>
                <w:color w:val="FFFFFF"/>
                <w:sz w:val="15"/>
              </w:rPr>
              <w:t>Services</w:t>
            </w:r>
          </w:p>
        </w:tc>
        <w:tc>
          <w:tcPr>
            <w:tcW w:type="dxa" w:w="3168"/>
            <w:shd w:fill="16324F"/>
            <w:vAlign w:val="center"/>
            <w:tcMar>
              <w:top w:w="70" w:type="dxa"/>
              <w:start w:w="70" w:type="dxa"/>
              <w:bottom w:w="70" w:type="dxa"/>
              <w:end w:w="70" w:type="dxa"/>
            </w:tcMar>
          </w:tcPr>
          <w:p>
            <w:pPr>
              <w:jc w:val="center"/>
            </w:pPr>
            <w:r>
              <w:rPr>
                <w:b/>
                <w:color w:val="FFFFFF"/>
                <w:sz w:val="15"/>
              </w:rPr>
              <w:t>Purpose</w:t>
            </w:r>
          </w:p>
        </w:tc>
      </w:tr>
      <w:tr>
        <w:trPr>
          <w:cantSplit/>
        </w:trPr>
        <w:tc>
          <w:tcPr>
            <w:tcW w:type="dxa" w:w="1728"/>
            <w:tcMar>
              <w:top w:w="55" w:type="dxa"/>
              <w:start w:w="65" w:type="dxa"/>
              <w:bottom w:w="55" w:type="dxa"/>
              <w:end w:w="65" w:type="dxa"/>
            </w:tcMar>
            <w:vAlign w:val="top"/>
          </w:tcPr>
          <w:p>
            <w:pPr>
              <w:spacing w:after="0"/>
            </w:pPr>
            <w:r>
              <w:rPr>
                <w:sz w:val="15"/>
              </w:rPr>
              <w:t>DEV-LITE</w:t>
            </w:r>
          </w:p>
        </w:tc>
        <w:tc>
          <w:tcPr>
            <w:tcW w:type="dxa" w:w="5184"/>
            <w:tcMar>
              <w:top w:w="55" w:type="dxa"/>
              <w:start w:w="65" w:type="dxa"/>
              <w:bottom w:w="55" w:type="dxa"/>
              <w:end w:w="65" w:type="dxa"/>
            </w:tcMar>
            <w:vAlign w:val="top"/>
          </w:tcPr>
          <w:p>
            <w:pPr>
              <w:spacing w:after="0"/>
            </w:pPr>
            <w:r>
              <w:rPr>
                <w:sz w:val="15"/>
              </w:rPr>
              <w:t>API + Temporal dev server + PostgreSQL + Qdrant + small/local model</w:t>
            </w:r>
          </w:p>
        </w:tc>
        <w:tc>
          <w:tcPr>
            <w:tcW w:type="dxa" w:w="3168"/>
            <w:tcMar>
              <w:top w:w="55" w:type="dxa"/>
              <w:start w:w="65" w:type="dxa"/>
              <w:bottom w:w="55" w:type="dxa"/>
              <w:end w:w="65" w:type="dxa"/>
            </w:tcMar>
            <w:vAlign w:val="top"/>
          </w:tcPr>
          <w:p>
            <w:pPr>
              <w:spacing w:after="0"/>
            </w:pPr>
            <w:r>
              <w:rPr>
                <w:sz w:val="15"/>
              </w:rPr>
              <w:t>Daily development; keep memory predictable.</w:t>
            </w:r>
          </w:p>
        </w:tc>
      </w:tr>
      <w:tr>
        <w:trPr>
          <w:cantSplit/>
        </w:trPr>
        <w:tc>
          <w:tcPr>
            <w:tcW w:type="dxa" w:w="1728"/>
            <w:tcMar>
              <w:top w:w="55" w:type="dxa"/>
              <w:start w:w="65" w:type="dxa"/>
              <w:bottom w:w="55" w:type="dxa"/>
              <w:end w:w="65" w:type="dxa"/>
            </w:tcMar>
            <w:vAlign w:val="top"/>
          </w:tcPr>
          <w:p>
            <w:pPr>
              <w:spacing w:after="0"/>
            </w:pPr>
            <w:r>
              <w:rPr>
                <w:sz w:val="15"/>
              </w:rPr>
              <w:t>RETRIEVAL</w:t>
            </w:r>
          </w:p>
        </w:tc>
        <w:tc>
          <w:tcPr>
            <w:tcW w:type="dxa" w:w="5184"/>
            <w:tcMar>
              <w:top w:w="55" w:type="dxa"/>
              <w:start w:w="65" w:type="dxa"/>
              <w:bottom w:w="55" w:type="dxa"/>
              <w:end w:w="65" w:type="dxa"/>
            </w:tcMar>
            <w:vAlign w:val="top"/>
          </w:tcPr>
          <w:p>
            <w:pPr>
              <w:spacing w:after="0"/>
            </w:pPr>
            <w:r>
              <w:rPr>
                <w:sz w:val="15"/>
              </w:rPr>
              <w:t>Qdrant/pgvector + embedding/rerank processes + benchmark harness</w:t>
            </w:r>
          </w:p>
        </w:tc>
        <w:tc>
          <w:tcPr>
            <w:tcW w:type="dxa" w:w="3168"/>
            <w:tcMar>
              <w:top w:w="55" w:type="dxa"/>
              <w:start w:w="65" w:type="dxa"/>
              <w:bottom w:w="55" w:type="dxa"/>
              <w:end w:w="65" w:type="dxa"/>
            </w:tcMar>
            <w:vAlign w:val="top"/>
          </w:tcPr>
          <w:p>
            <w:pPr>
              <w:spacing w:after="0"/>
            </w:pPr>
            <w:r>
              <w:rPr>
                <w:sz w:val="15"/>
              </w:rPr>
              <w:t>Retrieval quality/latency experiments.</w:t>
            </w:r>
          </w:p>
        </w:tc>
      </w:tr>
      <w:tr>
        <w:trPr>
          <w:cantSplit/>
        </w:trPr>
        <w:tc>
          <w:tcPr>
            <w:tcW w:type="dxa" w:w="1728"/>
            <w:tcMar>
              <w:top w:w="55" w:type="dxa"/>
              <w:start w:w="65" w:type="dxa"/>
              <w:bottom w:w="55" w:type="dxa"/>
              <w:end w:w="65" w:type="dxa"/>
            </w:tcMar>
            <w:vAlign w:val="top"/>
          </w:tcPr>
          <w:p>
            <w:pPr>
              <w:spacing w:after="0"/>
            </w:pPr>
            <w:r>
              <w:rPr>
                <w:sz w:val="15"/>
              </w:rPr>
              <w:t>GPU-KERNEL</w:t>
            </w:r>
          </w:p>
        </w:tc>
        <w:tc>
          <w:tcPr>
            <w:tcW w:type="dxa" w:w="5184"/>
            <w:tcMar>
              <w:top w:w="55" w:type="dxa"/>
              <w:start w:w="65" w:type="dxa"/>
              <w:bottom w:w="55" w:type="dxa"/>
              <w:end w:w="65" w:type="dxa"/>
            </w:tcMar>
            <w:vAlign w:val="top"/>
          </w:tcPr>
          <w:p>
            <w:pPr>
              <w:spacing w:after="0"/>
            </w:pPr>
            <w:r>
              <w:rPr>
                <w:sz w:val="15"/>
              </w:rPr>
              <w:t>CUDA extension + benchmark process only</w:t>
            </w:r>
          </w:p>
        </w:tc>
        <w:tc>
          <w:tcPr>
            <w:tcW w:type="dxa" w:w="3168"/>
            <w:tcMar>
              <w:top w:w="55" w:type="dxa"/>
              <w:start w:w="65" w:type="dxa"/>
              <w:bottom w:w="55" w:type="dxa"/>
              <w:end w:w="65" w:type="dxa"/>
            </w:tcMar>
            <w:vAlign w:val="top"/>
          </w:tcPr>
          <w:p>
            <w:pPr>
              <w:spacing w:after="0"/>
            </w:pPr>
            <w:r>
              <w:rPr>
                <w:sz w:val="15"/>
              </w:rPr>
              <w:t>Maximum GPU memory headroom and clean profiling.</w:t>
            </w:r>
          </w:p>
        </w:tc>
      </w:tr>
      <w:tr>
        <w:trPr>
          <w:cantSplit/>
        </w:trPr>
        <w:tc>
          <w:tcPr>
            <w:tcW w:type="dxa" w:w="1728"/>
            <w:tcMar>
              <w:top w:w="55" w:type="dxa"/>
              <w:start w:w="65" w:type="dxa"/>
              <w:bottom w:w="55" w:type="dxa"/>
              <w:end w:w="65" w:type="dxa"/>
            </w:tcMar>
            <w:vAlign w:val="top"/>
          </w:tcPr>
          <w:p>
            <w:pPr>
              <w:spacing w:after="0"/>
            </w:pPr>
            <w:r>
              <w:rPr>
                <w:sz w:val="15"/>
              </w:rPr>
              <w:t>OBSERVE</w:t>
            </w:r>
          </w:p>
        </w:tc>
        <w:tc>
          <w:tcPr>
            <w:tcW w:type="dxa" w:w="5184"/>
            <w:tcMar>
              <w:top w:w="55" w:type="dxa"/>
              <w:start w:w="65" w:type="dxa"/>
              <w:bottom w:w="55" w:type="dxa"/>
              <w:end w:w="65" w:type="dxa"/>
            </w:tcMar>
            <w:vAlign w:val="top"/>
          </w:tcPr>
          <w:p>
            <w:pPr>
              <w:spacing w:after="0"/>
            </w:pPr>
            <w:r>
              <w:rPr>
                <w:sz w:val="15"/>
              </w:rPr>
              <w:t>Core services + OTel + Langfuse OR Prometheus/Grafana, not necessarily every dashboard together</w:t>
            </w:r>
          </w:p>
        </w:tc>
        <w:tc>
          <w:tcPr>
            <w:tcW w:type="dxa" w:w="3168"/>
            <w:tcMar>
              <w:top w:w="55" w:type="dxa"/>
              <w:start w:w="65" w:type="dxa"/>
              <w:bottom w:w="55" w:type="dxa"/>
              <w:end w:w="65" w:type="dxa"/>
            </w:tcMar>
            <w:vAlign w:val="top"/>
          </w:tcPr>
          <w:p>
            <w:pPr>
              <w:spacing w:after="0"/>
            </w:pPr>
            <w:r>
              <w:rPr>
                <w:sz w:val="15"/>
              </w:rPr>
              <w:t>Trace/eval and production-observability tests.</w:t>
            </w:r>
          </w:p>
        </w:tc>
      </w:tr>
      <w:tr>
        <w:trPr>
          <w:cantSplit/>
        </w:trPr>
        <w:tc>
          <w:tcPr>
            <w:tcW w:type="dxa" w:w="1728"/>
            <w:tcMar>
              <w:top w:w="55" w:type="dxa"/>
              <w:start w:w="65" w:type="dxa"/>
              <w:bottom w:w="55" w:type="dxa"/>
              <w:end w:w="65" w:type="dxa"/>
            </w:tcMar>
            <w:vAlign w:val="top"/>
          </w:tcPr>
          <w:p>
            <w:pPr>
              <w:spacing w:after="0"/>
            </w:pPr>
            <w:r>
              <w:rPr>
                <w:sz w:val="15"/>
              </w:rPr>
              <w:t>CHAOS</w:t>
            </w:r>
          </w:p>
        </w:tc>
        <w:tc>
          <w:tcPr>
            <w:tcW w:type="dxa" w:w="5184"/>
            <w:tcMar>
              <w:top w:w="55" w:type="dxa"/>
              <w:start w:w="65" w:type="dxa"/>
              <w:bottom w:w="55" w:type="dxa"/>
              <w:end w:w="65" w:type="dxa"/>
            </w:tcMar>
            <w:vAlign w:val="top"/>
          </w:tcPr>
          <w:p>
            <w:pPr>
              <w:spacing w:after="0"/>
            </w:pPr>
            <w:r>
              <w:rPr>
                <w:sz w:val="15"/>
              </w:rPr>
              <w:t>Core services with stub model + failure injector</w:t>
            </w:r>
          </w:p>
        </w:tc>
        <w:tc>
          <w:tcPr>
            <w:tcW w:type="dxa" w:w="3168"/>
            <w:tcMar>
              <w:top w:w="55" w:type="dxa"/>
              <w:start w:w="65" w:type="dxa"/>
              <w:bottom w:w="55" w:type="dxa"/>
              <w:end w:w="65" w:type="dxa"/>
            </w:tcMar>
            <w:vAlign w:val="top"/>
          </w:tcPr>
          <w:p>
            <w:pPr>
              <w:spacing w:after="0"/>
            </w:pPr>
            <w:r>
              <w:rPr>
                <w:sz w:val="15"/>
              </w:rPr>
              <w:t>Reliability tests without expensive inference.</w:t>
            </w:r>
          </w:p>
        </w:tc>
      </w:tr>
    </w:tbl>
    <w:p>
      <w:pPr>
        <w:spacing w:after="0"/>
      </w:pPr>
    </w:p>
    <w:p>
      <w:pPr>
        <w:pStyle w:val="Heading2"/>
      </w:pPr>
      <w:r>
        <w:t>8.2 Model sizing</w:t>
      </w:r>
    </w:p>
    <w:p>
      <w:r>
        <w:t>Do not make the architecture depend on a large local model. Use a small instruction model that comfortably fits the actual 4060 VRAM after verifying the card. Treat a larger quantized model as an experiment, not a requirement. The runtime must also support remote OpenAI-compatible endpoints so model quality and infrastructure experiments remain decoupled.</w:t>
      </w:r>
    </w:p>
    <w:p>
      <w:pPr>
        <w:pStyle w:val="Heading2"/>
      </w:pPr>
      <w:r>
        <w:t>8.3 Cloud-credit strategy</w:t>
      </w:r>
    </w:p>
    <w:p>
      <w:pPr>
        <w:pStyle w:val="ListBullet"/>
        <w:spacing w:after="50"/>
      </w:pPr>
      <w:r>
        <w:t>Azure: deploy CPU/control-plane services and short-lived multi-replica experiments; use Container Apps for scale-to-zero where appropriate. Reserve AKS for a final proof-of-deployment milestone.</w:t>
      </w:r>
    </w:p>
    <w:p>
      <w:pPr>
        <w:pStyle w:val="ListBullet"/>
        <w:spacing w:after="50"/>
      </w:pPr>
      <w:r>
        <w:t>Lightning AI: use only for a benchmark that genuinely needs a larger GPU—e.g., comparing the custom CUDA reranker on a higher-memory card or running a larger reranker evaluation.</w:t>
      </w:r>
    </w:p>
    <w:p>
      <w:pPr>
        <w:pStyle w:val="ListBullet"/>
        <w:spacing w:after="50"/>
      </w:pPr>
      <w:r>
        <w:t>Kaggle: offline reproducibility runs, embedding generation, dataset preprocessing, or model evaluation. Do not place a production dependency behind a notebook runtime.</w:t>
      </w:r>
    </w:p>
    <w:p>
      <w:pPr>
        <w:pStyle w:val="ListBullet"/>
        <w:spacing w:after="50"/>
      </w:pPr>
      <w:r>
        <w:t>AWS: exclude from all architecture assumptions until the account is restored.</w:t>
      </w:r>
    </w:p>
    <w:p>
      <w:pPr>
        <w:pStyle w:val="ListBullet"/>
        <w:spacing w:after="50"/>
      </w:pPr>
      <w:r>
        <w:t>Cloud cost must be tracked as an experiment metric. Infrastructure should be destroyable from IaC after each cloud benchmark.</w:t>
      </w:r>
    </w:p>
    <w:p>
      <w:pPr>
        <w:pStyle w:val="Heading1"/>
      </w:pPr>
      <w:r>
        <w:t>9. Production engineering requirements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1800"/>
            <w:shd w:fill="16324F"/>
            <w:vAlign w:val="center"/>
            <w:tcMar>
              <w:top w:w="70" w:type="dxa"/>
              <w:start w:w="70" w:type="dxa"/>
              <w:bottom w:w="70" w:type="dxa"/>
              <w:end w:w="70" w:type="dxa"/>
            </w:tcMar>
          </w:tcPr>
          <w:p>
            <w:pPr>
              <w:jc w:val="center"/>
            </w:pPr>
            <w:r>
              <w:rPr>
                <w:b/>
                <w:color w:val="FFFFFF"/>
                <w:sz w:val="14"/>
              </w:rPr>
              <w:t>Area</w:t>
            </w:r>
          </w:p>
        </w:tc>
        <w:tc>
          <w:tcPr>
            <w:tcW w:type="dxa" w:w="8280"/>
            <w:shd w:fill="16324F"/>
            <w:vAlign w:val="center"/>
            <w:tcMar>
              <w:top w:w="70" w:type="dxa"/>
              <w:start w:w="70" w:type="dxa"/>
              <w:bottom w:w="70" w:type="dxa"/>
              <w:end w:w="70" w:type="dxa"/>
            </w:tcMar>
          </w:tcPr>
          <w:p>
            <w:pPr>
              <w:jc w:val="center"/>
            </w:pPr>
            <w:r>
              <w:rPr>
                <w:b/>
                <w:color w:val="FFFFFF"/>
                <w:sz w:val="14"/>
              </w:rPr>
              <w:t>Required implementation evidence</w:t>
            </w:r>
          </w:p>
        </w:tc>
      </w:tr>
      <w:tr>
        <w:trPr>
          <w:cantSplit/>
        </w:trPr>
        <w:tc>
          <w:tcPr>
            <w:tcW w:type="dxa" w:w="1800"/>
            <w:tcMar>
              <w:top w:w="55" w:type="dxa"/>
              <w:start w:w="65" w:type="dxa"/>
              <w:bottom w:w="55" w:type="dxa"/>
              <w:end w:w="65" w:type="dxa"/>
            </w:tcMar>
            <w:vAlign w:val="top"/>
          </w:tcPr>
          <w:p>
            <w:pPr>
              <w:spacing w:after="0"/>
            </w:pPr>
            <w:r>
              <w:rPr>
                <w:sz w:val="14"/>
              </w:rPr>
              <w:t>Reliability</w:t>
            </w:r>
          </w:p>
        </w:tc>
        <w:tc>
          <w:tcPr>
            <w:tcW w:type="dxa" w:w="8280"/>
            <w:tcMar>
              <w:top w:w="55" w:type="dxa"/>
              <w:start w:w="65" w:type="dxa"/>
              <w:bottom w:w="55" w:type="dxa"/>
              <w:end w:w="65" w:type="dxa"/>
            </w:tcMar>
            <w:vAlign w:val="top"/>
          </w:tcPr>
          <w:p>
            <w:pPr>
              <w:spacing w:after="0"/>
            </w:pPr>
            <w:r>
              <w:rPr>
                <w:sz w:val="14"/>
              </w:rPr>
              <w:t>Timeouts, bounded retries with jitter, cancellation, idempotency keys, compensation where needed, workflow resume after killed workers.</w:t>
            </w:r>
          </w:p>
        </w:tc>
      </w:tr>
      <w:tr>
        <w:trPr>
          <w:cantSplit/>
        </w:trPr>
        <w:tc>
          <w:tcPr>
            <w:tcW w:type="dxa" w:w="1800"/>
            <w:tcMar>
              <w:top w:w="55" w:type="dxa"/>
              <w:start w:w="65" w:type="dxa"/>
              <w:bottom w:w="55" w:type="dxa"/>
              <w:end w:w="65" w:type="dxa"/>
            </w:tcMar>
            <w:vAlign w:val="top"/>
          </w:tcPr>
          <w:p>
            <w:pPr>
              <w:spacing w:after="0"/>
            </w:pPr>
            <w:r>
              <w:rPr>
                <w:sz w:val="14"/>
              </w:rPr>
              <w:t>Backpressure</w:t>
            </w:r>
          </w:p>
        </w:tc>
        <w:tc>
          <w:tcPr>
            <w:tcW w:type="dxa" w:w="8280"/>
            <w:tcMar>
              <w:top w:w="55" w:type="dxa"/>
              <w:start w:w="65" w:type="dxa"/>
              <w:bottom w:w="55" w:type="dxa"/>
              <w:end w:w="65" w:type="dxa"/>
            </w:tcMar>
            <w:vAlign w:val="top"/>
          </w:tcPr>
          <w:p>
            <w:pPr>
              <w:spacing w:after="0"/>
            </w:pPr>
            <w:r>
              <w:rPr>
                <w:sz w:val="14"/>
              </w:rPr>
              <w:t>Queue/task limits, per-tenant concurrency, admission control, overload responses, bounded fan-out.</w:t>
            </w:r>
          </w:p>
        </w:tc>
      </w:tr>
      <w:tr>
        <w:trPr>
          <w:cantSplit/>
        </w:trPr>
        <w:tc>
          <w:tcPr>
            <w:tcW w:type="dxa" w:w="1800"/>
            <w:tcMar>
              <w:top w:w="55" w:type="dxa"/>
              <w:start w:w="65" w:type="dxa"/>
              <w:bottom w:w="55" w:type="dxa"/>
              <w:end w:w="65" w:type="dxa"/>
            </w:tcMar>
            <w:vAlign w:val="top"/>
          </w:tcPr>
          <w:p>
            <w:pPr>
              <w:spacing w:after="0"/>
            </w:pPr>
            <w:r>
              <w:rPr>
                <w:sz w:val="14"/>
              </w:rPr>
              <w:t>Data correctness</w:t>
            </w:r>
          </w:p>
        </w:tc>
        <w:tc>
          <w:tcPr>
            <w:tcW w:type="dxa" w:w="8280"/>
            <w:tcMar>
              <w:top w:w="55" w:type="dxa"/>
              <w:start w:w="65" w:type="dxa"/>
              <w:bottom w:w="55" w:type="dxa"/>
              <w:end w:w="65" w:type="dxa"/>
            </w:tcMar>
            <w:vAlign w:val="top"/>
          </w:tcPr>
          <w:p>
            <w:pPr>
              <w:spacing w:after="0"/>
            </w:pPr>
            <w:r>
              <w:rPr>
                <w:sz w:val="14"/>
              </w:rPr>
              <w:t>Schema migrations, constraints, versioned embeddings, provenance, reproducible re-indexing.</w:t>
            </w:r>
          </w:p>
        </w:tc>
      </w:tr>
      <w:tr>
        <w:trPr>
          <w:cantSplit/>
        </w:trPr>
        <w:tc>
          <w:tcPr>
            <w:tcW w:type="dxa" w:w="1800"/>
            <w:tcMar>
              <w:top w:w="55" w:type="dxa"/>
              <w:start w:w="65" w:type="dxa"/>
              <w:bottom w:w="55" w:type="dxa"/>
              <w:end w:w="65" w:type="dxa"/>
            </w:tcMar>
            <w:vAlign w:val="top"/>
          </w:tcPr>
          <w:p>
            <w:pPr>
              <w:spacing w:after="0"/>
            </w:pPr>
            <w:r>
              <w:rPr>
                <w:sz w:val="14"/>
              </w:rPr>
              <w:t>Security</w:t>
            </w:r>
          </w:p>
        </w:tc>
        <w:tc>
          <w:tcPr>
            <w:tcW w:type="dxa" w:w="8280"/>
            <w:tcMar>
              <w:top w:w="55" w:type="dxa"/>
              <w:start w:w="65" w:type="dxa"/>
              <w:bottom w:w="55" w:type="dxa"/>
              <w:end w:w="65" w:type="dxa"/>
            </w:tcMar>
            <w:vAlign w:val="top"/>
          </w:tcPr>
          <w:p>
            <w:pPr>
              <w:spacing w:after="0"/>
            </w:pPr>
            <w:r>
              <w:rPr>
                <w:sz w:val="14"/>
              </w:rPr>
              <w:t>AuthN/AuthZ, least-privilege tool exposure, secret handling, tool allowlists, tenant filtering before retrieval, prompt-injection-aware tool policy.</w:t>
            </w:r>
          </w:p>
        </w:tc>
      </w:tr>
      <w:tr>
        <w:trPr>
          <w:cantSplit/>
        </w:trPr>
        <w:tc>
          <w:tcPr>
            <w:tcW w:type="dxa" w:w="1800"/>
            <w:tcMar>
              <w:top w:w="55" w:type="dxa"/>
              <w:start w:w="65" w:type="dxa"/>
              <w:bottom w:w="55" w:type="dxa"/>
              <w:end w:w="65" w:type="dxa"/>
            </w:tcMar>
            <w:vAlign w:val="top"/>
          </w:tcPr>
          <w:p>
            <w:pPr>
              <w:spacing w:after="0"/>
            </w:pPr>
            <w:r>
              <w:rPr>
                <w:sz w:val="14"/>
              </w:rPr>
              <w:t>Observability</w:t>
            </w:r>
          </w:p>
        </w:tc>
        <w:tc>
          <w:tcPr>
            <w:tcW w:type="dxa" w:w="8280"/>
            <w:tcMar>
              <w:top w:w="55" w:type="dxa"/>
              <w:start w:w="65" w:type="dxa"/>
              <w:bottom w:w="55" w:type="dxa"/>
              <w:end w:w="65" w:type="dxa"/>
            </w:tcMar>
            <w:vAlign w:val="top"/>
          </w:tcPr>
          <w:p>
            <w:pPr>
              <w:spacing w:after="0"/>
            </w:pPr>
            <w:r>
              <w:rPr>
                <w:sz w:val="14"/>
              </w:rPr>
              <w:t>Trace IDs across API→workflow→retrieval→model→MCP tool; RED/USE metrics; structured logs; GPU metrics during CUDA/inference tests.</w:t>
            </w:r>
          </w:p>
        </w:tc>
      </w:tr>
      <w:tr>
        <w:trPr>
          <w:cantSplit/>
        </w:trPr>
        <w:tc>
          <w:tcPr>
            <w:tcW w:type="dxa" w:w="1800"/>
            <w:tcMar>
              <w:top w:w="55" w:type="dxa"/>
              <w:start w:w="65" w:type="dxa"/>
              <w:bottom w:w="55" w:type="dxa"/>
              <w:end w:w="65" w:type="dxa"/>
            </w:tcMar>
            <w:vAlign w:val="top"/>
          </w:tcPr>
          <w:p>
            <w:pPr>
              <w:spacing w:after="0"/>
            </w:pPr>
            <w:r>
              <w:rPr>
                <w:sz w:val="14"/>
              </w:rPr>
              <w:t>Deployment</w:t>
            </w:r>
          </w:p>
        </w:tc>
        <w:tc>
          <w:tcPr>
            <w:tcW w:type="dxa" w:w="8280"/>
            <w:tcMar>
              <w:top w:w="55" w:type="dxa"/>
              <w:start w:w="65" w:type="dxa"/>
              <w:bottom w:w="55" w:type="dxa"/>
              <w:end w:w="65" w:type="dxa"/>
            </w:tcMar>
            <w:vAlign w:val="top"/>
          </w:tcPr>
          <w:p>
            <w:pPr>
              <w:spacing w:after="0"/>
            </w:pPr>
            <w:r>
              <w:rPr>
                <w:sz w:val="14"/>
              </w:rPr>
              <w:t>Health/readiness checks, graceful shutdown, migration ordering, rollout/rollback, immutable image tags, config separation.</w:t>
            </w:r>
          </w:p>
        </w:tc>
      </w:tr>
      <w:tr>
        <w:trPr>
          <w:cantSplit/>
        </w:trPr>
        <w:tc>
          <w:tcPr>
            <w:tcW w:type="dxa" w:w="1800"/>
            <w:tcMar>
              <w:top w:w="55" w:type="dxa"/>
              <w:start w:w="65" w:type="dxa"/>
              <w:bottom w:w="55" w:type="dxa"/>
              <w:end w:w="65" w:type="dxa"/>
            </w:tcMar>
            <w:vAlign w:val="top"/>
          </w:tcPr>
          <w:p>
            <w:pPr>
              <w:spacing w:after="0"/>
            </w:pPr>
            <w:r>
              <w:rPr>
                <w:sz w:val="14"/>
              </w:rPr>
              <w:t>Cost control</w:t>
            </w:r>
          </w:p>
        </w:tc>
        <w:tc>
          <w:tcPr>
            <w:tcW w:type="dxa" w:w="8280"/>
            <w:tcMar>
              <w:top w:w="55" w:type="dxa"/>
              <w:start w:w="65" w:type="dxa"/>
              <w:bottom w:w="55" w:type="dxa"/>
              <w:end w:w="65" w:type="dxa"/>
            </w:tcMar>
            <w:vAlign w:val="top"/>
          </w:tcPr>
          <w:p>
            <w:pPr>
              <w:spacing w:after="0"/>
            </w:pPr>
            <w:r>
              <w:rPr>
                <w:sz w:val="14"/>
              </w:rPr>
              <w:t>Token budget, model budget, cloud budget, rate limits, batch sizing, cache-hit tracking.</w:t>
            </w:r>
          </w:p>
        </w:tc>
      </w:tr>
      <w:tr>
        <w:trPr>
          <w:cantSplit/>
        </w:trPr>
        <w:tc>
          <w:tcPr>
            <w:tcW w:type="dxa" w:w="1800"/>
            <w:tcMar>
              <w:top w:w="55" w:type="dxa"/>
              <w:start w:w="65" w:type="dxa"/>
              <w:bottom w:w="55" w:type="dxa"/>
              <w:end w:w="65" w:type="dxa"/>
            </w:tcMar>
            <w:vAlign w:val="top"/>
          </w:tcPr>
          <w:p>
            <w:pPr>
              <w:spacing w:after="0"/>
            </w:pPr>
            <w:r>
              <w:rPr>
                <w:sz w:val="14"/>
              </w:rPr>
              <w:t>Testing</w:t>
            </w:r>
          </w:p>
        </w:tc>
        <w:tc>
          <w:tcPr>
            <w:tcW w:type="dxa" w:w="8280"/>
            <w:tcMar>
              <w:top w:w="55" w:type="dxa"/>
              <w:start w:w="65" w:type="dxa"/>
              <w:bottom w:w="55" w:type="dxa"/>
              <w:end w:w="65" w:type="dxa"/>
            </w:tcMar>
            <w:vAlign w:val="top"/>
          </w:tcPr>
          <w:p>
            <w:pPr>
              <w:spacing w:after="0"/>
            </w:pPr>
            <w:r>
              <w:rPr>
                <w:sz w:val="14"/>
              </w:rPr>
              <w:t>Unit, property-based, integration, contract, load, chaos, regression/eval, CUDA correctness tests.</w:t>
            </w:r>
          </w:p>
        </w:tc>
      </w:tr>
      <w:tr>
        <w:trPr>
          <w:cantSplit/>
        </w:trPr>
        <w:tc>
          <w:tcPr>
            <w:tcW w:type="dxa" w:w="1800"/>
            <w:tcMar>
              <w:top w:w="55" w:type="dxa"/>
              <w:start w:w="65" w:type="dxa"/>
              <w:bottom w:w="55" w:type="dxa"/>
              <w:end w:w="65" w:type="dxa"/>
            </w:tcMar>
            <w:vAlign w:val="top"/>
          </w:tcPr>
          <w:p>
            <w:pPr>
              <w:spacing w:after="0"/>
            </w:pPr>
            <w:r>
              <w:rPr>
                <w:sz w:val="14"/>
              </w:rPr>
              <w:t>Supply chain</w:t>
            </w:r>
          </w:p>
        </w:tc>
        <w:tc>
          <w:tcPr>
            <w:tcW w:type="dxa" w:w="8280"/>
            <w:tcMar>
              <w:top w:w="55" w:type="dxa"/>
              <w:start w:w="65" w:type="dxa"/>
              <w:bottom w:w="55" w:type="dxa"/>
              <w:end w:w="65" w:type="dxa"/>
            </w:tcMar>
            <w:vAlign w:val="top"/>
          </w:tcPr>
          <w:p>
            <w:pPr>
              <w:spacing w:after="0"/>
            </w:pPr>
            <w:r>
              <w:rPr>
                <w:sz w:val="14"/>
              </w:rPr>
              <w:t>Pinned dependencies/lockfile, SBOM or dependency scan, container image scan, license notes for major dependencies.</w:t>
            </w:r>
          </w:p>
        </w:tc>
      </w:tr>
    </w:tbl>
    <w:p>
      <w:pPr>
        <w:spacing w:after="0"/>
      </w:pPr>
    </w:p>
    <w:p>
      <w:pPr>
        <w:pStyle w:val="Heading2"/>
      </w:pPr>
      <w:r>
        <w:t>9.1 Failure scenarios that must be demonstrated</w:t>
      </w:r>
    </w:p>
    <w:p>
      <w:pPr>
        <w:pStyle w:val="ListBullet"/>
        <w:spacing w:after="50"/>
      </w:pPr>
      <w:r>
        <w:t>Kill an agent worker after a tool call but before workflow acknowledgement; show idempotent recovery.</w:t>
      </w:r>
    </w:p>
    <w:p>
      <w:pPr>
        <w:pStyle w:val="ListBullet"/>
        <w:spacing w:after="50"/>
      </w:pPr>
      <w:r>
        <w:t>Timeout a tool and verify retry budget + fallback + trace.</w:t>
      </w:r>
    </w:p>
    <w:p>
      <w:pPr>
        <w:pStyle w:val="ListBullet"/>
        <w:spacing w:after="50"/>
      </w:pPr>
      <w:r>
        <w:t>Restart Qdrant/Postgres during a non-destructive test; show clear failure semantics and recovery path.</w:t>
      </w:r>
    </w:p>
    <w:p>
      <w:pPr>
        <w:pStyle w:val="ListBullet"/>
        <w:spacing w:after="50"/>
      </w:pPr>
      <w:r>
        <w:t>Return duplicate tool responses / duplicate event delivery; prove deduplication where required.</w:t>
      </w:r>
    </w:p>
    <w:p>
      <w:pPr>
        <w:pStyle w:val="ListBullet"/>
        <w:spacing w:after="50"/>
      </w:pPr>
      <w:r>
        <w:t>Make the selected model endpoint slow; show deadline propagation, cancellation, and scheduler behavior.</w:t>
      </w:r>
    </w:p>
    <w:p>
      <w:pPr>
        <w:pStyle w:val="ListBullet"/>
        <w:spacing w:after="50"/>
      </w:pPr>
      <w:r>
        <w:t>Inject a bad retrieval result / stale evidence; show contradiction/freshness handling rather than silent prompt pollution.</w:t>
      </w:r>
    </w:p>
    <w:p>
      <w:pPr>
        <w:pStyle w:val="ListBullet"/>
        <w:spacing w:after="50"/>
      </w:pPr>
      <w:r>
        <w:t>Simulate concurrent tenants and demonstrate isolation, fairness, and bounded context/tool visibility.</w:t>
      </w:r>
    </w:p>
    <w:p>
      <w:pPr>
        <w:pStyle w:val="Heading1"/>
      </w:pPr>
      <w:r>
        <w:t>10. Evaluation: the project is not complete without evidence</w:t>
      </w:r>
    </w:p>
    <w:p>
      <w:pPr>
        <w:pStyle w:val="Heading2"/>
      </w:pPr>
      <w:r>
        <w:t>10.1 Metrics by layer</w:t>
      </w:r>
    </w:p>
    <w:tbl>
      <w:tblPr>
        <w:tblStyle w:val="TableGrid"/>
        <w:tblW w:type="auto" w:w="0"/>
        <w:jc w:val="center"/>
        <w:tblLook w:firstColumn="1" w:firstRow="1" w:lastColumn="0" w:lastRow="0" w:noHBand="0" w:noVBand="1" w:val="04A0"/>
      </w:tblPr>
      <w:tblGrid>
        <w:gridCol w:w="5083"/>
        <w:gridCol w:w="5083"/>
      </w:tblGrid>
      <w:tr>
        <w:trPr>
          <w:cantSplit/>
        </w:trPr>
        <w:tc>
          <w:tcPr>
            <w:tcW w:type="dxa" w:w="1944"/>
            <w:shd w:fill="16324F"/>
            <w:vAlign w:val="center"/>
            <w:tcMar>
              <w:top w:w="70" w:type="dxa"/>
              <w:start w:w="70" w:type="dxa"/>
              <w:bottom w:w="70" w:type="dxa"/>
              <w:end w:w="70" w:type="dxa"/>
            </w:tcMar>
          </w:tcPr>
          <w:p>
            <w:pPr>
              <w:jc w:val="center"/>
            </w:pPr>
            <w:r>
              <w:rPr>
                <w:b/>
                <w:color w:val="FFFFFF"/>
                <w:sz w:val="14"/>
              </w:rPr>
              <w:t>Layer</w:t>
            </w:r>
          </w:p>
        </w:tc>
        <w:tc>
          <w:tcPr>
            <w:tcW w:type="dxa" w:w="8136"/>
            <w:shd w:fill="16324F"/>
            <w:vAlign w:val="center"/>
            <w:tcMar>
              <w:top w:w="70" w:type="dxa"/>
              <w:start w:w="70" w:type="dxa"/>
              <w:bottom w:w="70" w:type="dxa"/>
              <w:end w:w="70" w:type="dxa"/>
            </w:tcMar>
          </w:tcPr>
          <w:p>
            <w:pPr>
              <w:jc w:val="center"/>
            </w:pPr>
            <w:r>
              <w:rPr>
                <w:b/>
                <w:color w:val="FFFFFF"/>
                <w:sz w:val="14"/>
              </w:rPr>
              <w:t>Primary metrics</w:t>
            </w:r>
          </w:p>
        </w:tc>
      </w:tr>
      <w:tr>
        <w:trPr>
          <w:cantSplit/>
        </w:trPr>
        <w:tc>
          <w:tcPr>
            <w:tcW w:type="dxa" w:w="1944"/>
            <w:tcMar>
              <w:top w:w="55" w:type="dxa"/>
              <w:start w:w="65" w:type="dxa"/>
              <w:bottom w:w="55" w:type="dxa"/>
              <w:end w:w="65" w:type="dxa"/>
            </w:tcMar>
            <w:vAlign w:val="top"/>
          </w:tcPr>
          <w:p>
            <w:pPr>
              <w:spacing w:after="0"/>
            </w:pPr>
            <w:r>
              <w:rPr>
                <w:sz w:val="14"/>
              </w:rPr>
              <w:t>Retrieval</w:t>
            </w:r>
          </w:p>
        </w:tc>
        <w:tc>
          <w:tcPr>
            <w:tcW w:type="dxa" w:w="8136"/>
            <w:tcMar>
              <w:top w:w="55" w:type="dxa"/>
              <w:start w:w="65" w:type="dxa"/>
              <w:bottom w:w="55" w:type="dxa"/>
              <w:end w:w="65" w:type="dxa"/>
            </w:tcMar>
            <w:vAlign w:val="top"/>
          </w:tcPr>
          <w:p>
            <w:pPr>
              <w:spacing w:after="0"/>
            </w:pPr>
            <w:r>
              <w:rPr>
                <w:sz w:val="14"/>
              </w:rPr>
              <w:t>Recall@k, nDCG/MRR, hybrid contribution, reranker gain, index/query latency, memory.</w:t>
            </w:r>
          </w:p>
        </w:tc>
      </w:tr>
      <w:tr>
        <w:trPr>
          <w:cantSplit/>
        </w:trPr>
        <w:tc>
          <w:tcPr>
            <w:tcW w:type="dxa" w:w="1944"/>
            <w:tcMar>
              <w:top w:w="55" w:type="dxa"/>
              <w:start w:w="65" w:type="dxa"/>
              <w:bottom w:w="55" w:type="dxa"/>
              <w:end w:w="65" w:type="dxa"/>
            </w:tcMar>
            <w:vAlign w:val="top"/>
          </w:tcPr>
          <w:p>
            <w:pPr>
              <w:spacing w:after="0"/>
            </w:pPr>
            <w:r>
              <w:rPr>
                <w:sz w:val="14"/>
              </w:rPr>
              <w:t>Context compiler</w:t>
            </w:r>
          </w:p>
        </w:tc>
        <w:tc>
          <w:tcPr>
            <w:tcW w:type="dxa" w:w="8136"/>
            <w:tcMar>
              <w:top w:w="55" w:type="dxa"/>
              <w:start w:w="65" w:type="dxa"/>
              <w:bottom w:w="55" w:type="dxa"/>
              <w:end w:w="65" w:type="dxa"/>
            </w:tcMar>
            <w:vAlign w:val="top"/>
          </w:tcPr>
          <w:p>
            <w:pPr>
              <w:spacing w:after="0"/>
            </w:pPr>
            <w:r>
              <w:rPr>
                <w:sz w:val="14"/>
              </w:rPr>
              <w:t>Task success, context precision/recall, token count, redundancy, evidence coverage, compile p50/p95, cost/success.</w:t>
            </w:r>
          </w:p>
        </w:tc>
      </w:tr>
      <w:tr>
        <w:trPr>
          <w:cantSplit/>
        </w:trPr>
        <w:tc>
          <w:tcPr>
            <w:tcW w:type="dxa" w:w="1944"/>
            <w:tcMar>
              <w:top w:w="55" w:type="dxa"/>
              <w:start w:w="65" w:type="dxa"/>
              <w:bottom w:w="55" w:type="dxa"/>
              <w:end w:w="65" w:type="dxa"/>
            </w:tcMar>
            <w:vAlign w:val="top"/>
          </w:tcPr>
          <w:p>
            <w:pPr>
              <w:spacing w:after="0"/>
            </w:pPr>
            <w:r>
              <w:rPr>
                <w:sz w:val="14"/>
              </w:rPr>
              <w:t>Skill/tool selection</w:t>
            </w:r>
          </w:p>
        </w:tc>
        <w:tc>
          <w:tcPr>
            <w:tcW w:type="dxa" w:w="8136"/>
            <w:tcMar>
              <w:top w:w="55" w:type="dxa"/>
              <w:start w:w="65" w:type="dxa"/>
              <w:bottom w:w="55" w:type="dxa"/>
              <w:end w:w="65" w:type="dxa"/>
            </w:tcMar>
            <w:vAlign w:val="top"/>
          </w:tcPr>
          <w:p>
            <w:pPr>
              <w:spacing w:after="0"/>
            </w:pPr>
            <w:r>
              <w:rPr>
                <w:sz w:val="14"/>
              </w:rPr>
              <w:t>Selection precision/recall, schema tokens exposed, unnecessary-tool rate, unsafe-tool exposure rate.</w:t>
            </w:r>
          </w:p>
        </w:tc>
      </w:tr>
      <w:tr>
        <w:trPr>
          <w:cantSplit/>
        </w:trPr>
        <w:tc>
          <w:tcPr>
            <w:tcW w:type="dxa" w:w="1944"/>
            <w:tcMar>
              <w:top w:w="55" w:type="dxa"/>
              <w:start w:w="65" w:type="dxa"/>
              <w:bottom w:w="55" w:type="dxa"/>
              <w:end w:w="65" w:type="dxa"/>
            </w:tcMar>
            <w:vAlign w:val="top"/>
          </w:tcPr>
          <w:p>
            <w:pPr>
              <w:spacing w:after="0"/>
            </w:pPr>
            <w:r>
              <w:rPr>
                <w:sz w:val="14"/>
              </w:rPr>
              <w:t>Agent workflow</w:t>
            </w:r>
          </w:p>
        </w:tc>
        <w:tc>
          <w:tcPr>
            <w:tcW w:type="dxa" w:w="8136"/>
            <w:tcMar>
              <w:top w:w="55" w:type="dxa"/>
              <w:start w:w="65" w:type="dxa"/>
              <w:bottom w:w="55" w:type="dxa"/>
              <w:end w:w="65" w:type="dxa"/>
            </w:tcMar>
            <w:vAlign w:val="top"/>
          </w:tcPr>
          <w:p>
            <w:pPr>
              <w:spacing w:after="0"/>
            </w:pPr>
            <w:r>
              <w:rPr>
                <w:sz w:val="14"/>
              </w:rPr>
              <w:t>End-to-end success, grounded claim rate, loop count, tool-call count, retries, completion latency, cost.</w:t>
            </w:r>
          </w:p>
        </w:tc>
      </w:tr>
      <w:tr>
        <w:trPr>
          <w:cantSplit/>
        </w:trPr>
        <w:tc>
          <w:tcPr>
            <w:tcW w:type="dxa" w:w="1944"/>
            <w:tcMar>
              <w:top w:w="55" w:type="dxa"/>
              <w:start w:w="65" w:type="dxa"/>
              <w:bottom w:w="55" w:type="dxa"/>
              <w:end w:w="65" w:type="dxa"/>
            </w:tcMar>
            <w:vAlign w:val="top"/>
          </w:tcPr>
          <w:p>
            <w:pPr>
              <w:spacing w:after="0"/>
            </w:pPr>
            <w:r>
              <w:rPr>
                <w:sz w:val="14"/>
              </w:rPr>
              <w:t>Scheduler</w:t>
            </w:r>
          </w:p>
        </w:tc>
        <w:tc>
          <w:tcPr>
            <w:tcW w:type="dxa" w:w="8136"/>
            <w:tcMar>
              <w:top w:w="55" w:type="dxa"/>
              <w:start w:w="65" w:type="dxa"/>
              <w:bottom w:w="55" w:type="dxa"/>
              <w:end w:w="65" w:type="dxa"/>
            </w:tcMar>
            <w:vAlign w:val="top"/>
          </w:tcPr>
          <w:p>
            <w:pPr>
              <w:spacing w:after="0"/>
            </w:pPr>
            <w:r>
              <w:rPr>
                <w:sz w:val="14"/>
              </w:rPr>
              <w:t>p50/p95/p99 completion latency, deadline success, fairness, throughput, canceled speculative work, utilization.</w:t>
            </w:r>
          </w:p>
        </w:tc>
      </w:tr>
      <w:tr>
        <w:trPr>
          <w:cantSplit/>
        </w:trPr>
        <w:tc>
          <w:tcPr>
            <w:tcW w:type="dxa" w:w="1944"/>
            <w:tcMar>
              <w:top w:w="55" w:type="dxa"/>
              <w:start w:w="65" w:type="dxa"/>
              <w:bottom w:w="55" w:type="dxa"/>
              <w:end w:w="65" w:type="dxa"/>
            </w:tcMar>
            <w:vAlign w:val="top"/>
          </w:tcPr>
          <w:p>
            <w:pPr>
              <w:spacing w:after="0"/>
            </w:pPr>
            <w:r>
              <w:rPr>
                <w:sz w:val="14"/>
              </w:rPr>
              <w:t>CUDA/C++</w:t>
            </w:r>
          </w:p>
        </w:tc>
        <w:tc>
          <w:tcPr>
            <w:tcW w:type="dxa" w:w="8136"/>
            <w:tcMar>
              <w:top w:w="55" w:type="dxa"/>
              <w:start w:w="65" w:type="dxa"/>
              <w:bottom w:w="55" w:type="dxa"/>
              <w:end w:w="65" w:type="dxa"/>
            </w:tcMar>
            <w:vAlign w:val="top"/>
          </w:tcPr>
          <w:p>
            <w:pPr>
              <w:spacing w:after="0"/>
            </w:pPr>
            <w:r>
              <w:rPr>
                <w:sz w:val="14"/>
              </w:rPr>
              <w:t>Latency, QPS, speedup, bandwidth/occupancy, correctness error/tolerance, CPU-to-GPU crossover.</w:t>
            </w:r>
          </w:p>
        </w:tc>
      </w:tr>
      <w:tr>
        <w:trPr>
          <w:cantSplit/>
        </w:trPr>
        <w:tc>
          <w:tcPr>
            <w:tcW w:type="dxa" w:w="1944"/>
            <w:tcMar>
              <w:top w:w="55" w:type="dxa"/>
              <w:start w:w="65" w:type="dxa"/>
              <w:bottom w:w="55" w:type="dxa"/>
              <w:end w:w="65" w:type="dxa"/>
            </w:tcMar>
            <w:vAlign w:val="top"/>
          </w:tcPr>
          <w:p>
            <w:pPr>
              <w:spacing w:after="0"/>
            </w:pPr>
            <w:r>
              <w:rPr>
                <w:sz w:val="14"/>
              </w:rPr>
              <w:t>Reliability</w:t>
            </w:r>
          </w:p>
        </w:tc>
        <w:tc>
          <w:tcPr>
            <w:tcW w:type="dxa" w:w="8136"/>
            <w:tcMar>
              <w:top w:w="55" w:type="dxa"/>
              <w:start w:w="65" w:type="dxa"/>
              <w:bottom w:w="55" w:type="dxa"/>
              <w:end w:w="65" w:type="dxa"/>
            </w:tcMar>
            <w:vAlign w:val="top"/>
          </w:tcPr>
          <w:p>
            <w:pPr>
              <w:spacing w:after="0"/>
            </w:pPr>
            <w:r>
              <w:rPr>
                <w:sz w:val="14"/>
              </w:rPr>
              <w:t>Recovery success, time-to-recovery, duplicate-effect count, failed-workflow rate, SLO violations.</w:t>
            </w:r>
          </w:p>
        </w:tc>
      </w:tr>
    </w:tbl>
    <w:p>
      <w:pPr>
        <w:spacing w:after="0"/>
      </w:pPr>
    </w:p>
    <w:p>
      <w:pPr>
        <w:pStyle w:val="Heading2"/>
      </w:pPr>
      <w:r>
        <w:t>10.2 Required baselines / ablations</w:t>
      </w:r>
    </w:p>
    <w:p>
      <w:pPr>
        <w:pStyle w:val="CodeBlock"/>
      </w:pPr>
      <w:r>
        <w:t>Retrieval:</w:t>
      </w:r>
    </w:p>
    <w:p>
      <w:pPr>
        <w:pStyle w:val="CodeBlock"/>
      </w:pPr>
      <w:r>
        <w:t xml:space="preserve">  dense-only</w:t>
      </w:r>
    </w:p>
    <w:p>
      <w:pPr>
        <w:pStyle w:val="CodeBlock"/>
      </w:pPr>
      <w:r>
        <w:t xml:space="preserve">  sparse/BM25-only</w:t>
      </w:r>
    </w:p>
    <w:p>
      <w:pPr>
        <w:pStyle w:val="CodeBlock"/>
      </w:pPr>
      <w:r>
        <w:t xml:space="preserve">  hybrid RRF</w:t>
      </w:r>
    </w:p>
    <w:p>
      <w:pPr>
        <w:pStyle w:val="CodeBlock"/>
      </w:pPr>
      <w:r>
        <w:t xml:space="preserve">  hybrid + reranker</w:t>
      </w:r>
    </w:p>
    <w:p>
      <w:pPr>
        <w:pStyle w:val="CodeBlock"/>
      </w:pPr>
      <w:r>
        <w:t xml:space="preserve">  hybrid + late interaction</w:t>
      </w:r>
    </w:p>
    <w:p>
      <w:pPr>
        <w:pStyle w:val="CodeBlock"/>
      </w:pPr>
      <w:r>
        <w:t xml:space="preserve"> </w:t>
      </w:r>
    </w:p>
    <w:p>
      <w:pPr>
        <w:pStyle w:val="CodeBlock"/>
      </w:pPr>
      <w:r>
        <w:t>Context selection:</w:t>
      </w:r>
    </w:p>
    <w:p>
      <w:pPr>
        <w:pStyle w:val="CodeBlock"/>
      </w:pPr>
      <w:r>
        <w:t xml:space="preserve">  top-k</w:t>
      </w:r>
    </w:p>
    <w:p>
      <w:pPr>
        <w:pStyle w:val="CodeBlock"/>
      </w:pPr>
      <w:r>
        <w:t xml:space="preserve">  top-k + MMR</w:t>
      </w:r>
    </w:p>
    <w:p>
      <w:pPr>
        <w:pStyle w:val="CodeBlock"/>
      </w:pPr>
      <w:r>
        <w:t xml:space="preserve">  greedy utility/token</w:t>
      </w:r>
    </w:p>
    <w:p>
      <w:pPr>
        <w:pStyle w:val="CodeBlock"/>
      </w:pPr>
      <w:r>
        <w:t xml:space="preserve">  submodular / coverage-aware</w:t>
      </w:r>
    </w:p>
    <w:p>
      <w:pPr>
        <w:pStyle w:val="CodeBlock"/>
      </w:pPr>
      <w:r>
        <w:t xml:space="preserve">  oracle (small instances only)</w:t>
      </w:r>
    </w:p>
    <w:p>
      <w:pPr>
        <w:pStyle w:val="CodeBlock"/>
      </w:pPr>
      <w:r>
        <w:t xml:space="preserve"> </w:t>
      </w:r>
    </w:p>
    <w:p>
      <w:pPr>
        <w:pStyle w:val="CodeBlock"/>
      </w:pPr>
      <w:r>
        <w:t>Workflow scheduling:</w:t>
      </w:r>
    </w:p>
    <w:p>
      <w:pPr>
        <w:pStyle w:val="CodeBlock"/>
      </w:pPr>
      <w:r>
        <w:t xml:space="preserve">  FIFO</w:t>
      </w:r>
    </w:p>
    <w:p>
      <w:pPr>
        <w:pStyle w:val="CodeBlock"/>
      </w:pPr>
      <w:r>
        <w:t xml:space="preserve">  EDF</w:t>
      </w:r>
    </w:p>
    <w:p>
      <w:pPr>
        <w:pStyle w:val="CodeBlock"/>
      </w:pPr>
      <w:r>
        <w:t xml:space="preserve">  shortest predicted service time</w:t>
      </w:r>
    </w:p>
    <w:p>
      <w:pPr>
        <w:pStyle w:val="CodeBlock"/>
      </w:pPr>
      <w:r>
        <w:t xml:space="preserve">  ContextForge scheduler</w:t>
      </w:r>
    </w:p>
    <w:p>
      <w:pPr>
        <w:pStyle w:val="CodeBlock"/>
      </w:pPr>
      <w:r>
        <w:t xml:space="preserve"> </w:t>
      </w:r>
    </w:p>
    <w:p>
      <w:pPr>
        <w:pStyle w:val="CodeBlock"/>
      </w:pPr>
      <w:r>
        <w:t>Reranking:</w:t>
      </w:r>
    </w:p>
    <w:p>
      <w:pPr>
        <w:pStyle w:val="CodeBlock"/>
      </w:pPr>
      <w:r>
        <w:t xml:space="preserve">  PyTorch reference</w:t>
      </w:r>
    </w:p>
    <w:p>
      <w:pPr>
        <w:pStyle w:val="CodeBlock"/>
      </w:pPr>
      <w:r>
        <w:t xml:space="preserve">  optional Triton</w:t>
      </w:r>
    </w:p>
    <w:p>
      <w:pPr>
        <w:pStyle w:val="CodeBlock"/>
      </w:pPr>
      <w:r>
        <w:t xml:space="preserve">  custom C++/CUDA</w:t>
      </w:r>
    </w:p>
    <w:p>
      <w:pPr>
        <w:pStyle w:val="CodeBlock"/>
      </w:pPr>
      <w:r>
        <w:t xml:space="preserve"> </w:t>
      </w:r>
    </w:p>
    <w:p>
      <w:pPr>
        <w:pStyle w:val="CodeBlock"/>
      </w:pPr>
      <w:r>
        <w:t>End-to-end:</w:t>
      </w:r>
    </w:p>
    <w:p>
      <w:pPr>
        <w:pStyle w:val="CodeBlock"/>
      </w:pPr>
      <w:r>
        <w:t xml:space="preserve">  single monolithic prompt</w:t>
      </w:r>
    </w:p>
    <w:p>
      <w:pPr>
        <w:pStyle w:val="CodeBlock"/>
      </w:pPr>
      <w:r>
        <w:t xml:space="preserve">  ordinary RAG</w:t>
      </w:r>
    </w:p>
    <w:p>
      <w:pPr>
        <w:pStyle w:val="CodeBlock"/>
      </w:pPr>
      <w:r>
        <w:t xml:space="preserve">  agent + all tools/skills exposed</w:t>
      </w:r>
    </w:p>
    <w:p>
      <w:pPr>
        <w:pStyle w:val="CodeBlock"/>
      </w:pPr>
      <w:r>
        <w:t xml:space="preserve">  ContextForge compiled context/capability surface</w:t>
      </w:r>
    </w:p>
    <w:p>
      <w:pPr>
        <w:pStyle w:val="Heading2"/>
      </w:pPr>
      <w:r>
        <w:t>10.3 Benchmark discipline</w:t>
      </w:r>
    </w:p>
    <w:p>
      <w:pPr>
        <w:pStyle w:val="ListBullet"/>
        <w:spacing w:after="50"/>
      </w:pPr>
      <w:r>
        <w:t>Store raw benchmark outputs as machine-readable artifacts (JSON/Parquet), not screenshots.</w:t>
      </w:r>
    </w:p>
    <w:p>
      <w:pPr>
        <w:pStyle w:val="ListBullet"/>
        <w:spacing w:after="50"/>
      </w:pPr>
      <w:r>
        <w:t>Record hardware, OS, driver/CUDA, dependency versions, model hashes, dataset version, git commit, seed, and configuration.</w:t>
      </w:r>
    </w:p>
    <w:p>
      <w:pPr>
        <w:pStyle w:val="ListBullet"/>
        <w:spacing w:after="50"/>
      </w:pPr>
      <w:r>
        <w:t>Use confidence intervals or repeated runs for noisy latency/quality metrics.</w:t>
      </w:r>
    </w:p>
    <w:p>
      <w:pPr>
        <w:pStyle w:val="ListBullet"/>
        <w:spacing w:after="50"/>
      </w:pPr>
      <w:r>
        <w:t>Separate microbenchmarks from end-to-end claims; never imply a kernel speedup equals an application speedup.</w:t>
      </w:r>
    </w:p>
    <w:p>
      <w:pPr>
        <w:pStyle w:val="ListBullet"/>
        <w:spacing w:after="50"/>
      </w:pPr>
      <w:r>
        <w:t>Publish negative results and trade-offs. ‘Qdrant was not worth an extra service for this corpus’ is a valid engineering result.</w:t>
      </w:r>
    </w:p>
    <w:p>
      <w:pPr>
        <w:pStyle w:val="Heading1"/>
      </w:pPr>
      <w:r>
        <w:t>11. Roadmap — build in layers, each independently defensible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shd w:fill="16324F"/>
            <w:vAlign w:val="center"/>
            <w:tcMar>
              <w:top w:w="70" w:type="dxa"/>
              <w:start w:w="70" w:type="dxa"/>
              <w:bottom w:w="70" w:type="dxa"/>
              <w:end w:w="70" w:type="dxa"/>
            </w:tcMar>
          </w:tcPr>
          <w:p>
            <w:pPr>
              <w:jc w:val="center"/>
            </w:pPr>
            <w:r>
              <w:rPr>
                <w:b/>
                <w:color w:val="FFFFFF"/>
                <w:sz w:val="14"/>
              </w:rPr>
              <w:t>Phase</w:t>
            </w:r>
          </w:p>
        </w:tc>
        <w:tc>
          <w:tcPr>
            <w:tcW w:type="dxa" w:w="5328"/>
            <w:shd w:fill="16324F"/>
            <w:vAlign w:val="center"/>
            <w:tcMar>
              <w:top w:w="70" w:type="dxa"/>
              <w:start w:w="70" w:type="dxa"/>
              <w:bottom w:w="70" w:type="dxa"/>
              <w:end w:w="70" w:type="dxa"/>
            </w:tcMar>
          </w:tcPr>
          <w:p>
            <w:pPr>
              <w:jc w:val="center"/>
            </w:pPr>
            <w:r>
              <w:rPr>
                <w:b/>
                <w:color w:val="FFFFFF"/>
                <w:sz w:val="14"/>
              </w:rPr>
              <w:t>Deliverable</w:t>
            </w:r>
          </w:p>
        </w:tc>
        <w:tc>
          <w:tcPr>
            <w:tcW w:type="dxa" w:w="3312"/>
            <w:shd w:fill="16324F"/>
            <w:vAlign w:val="center"/>
            <w:tcMar>
              <w:top w:w="70" w:type="dxa"/>
              <w:start w:w="70" w:type="dxa"/>
              <w:bottom w:w="70" w:type="dxa"/>
              <w:end w:w="70" w:type="dxa"/>
            </w:tcMar>
          </w:tcPr>
          <w:p>
            <w:pPr>
              <w:jc w:val="center"/>
            </w:pPr>
            <w:r>
              <w:rPr>
                <w:b/>
                <w:color w:val="FFFFFF"/>
                <w:sz w:val="14"/>
              </w:rPr>
              <w:t>What it proves</w:t>
            </w:r>
          </w:p>
        </w:tc>
      </w:tr>
      <w:tr>
        <w:trPr>
          <w:cantSplit/>
        </w:trPr>
        <w:tc>
          <w:tcPr>
            <w:tcW w:type="dxa" w:w="1440"/>
            <w:tcMar>
              <w:top w:w="55" w:type="dxa"/>
              <w:start w:w="65" w:type="dxa"/>
              <w:bottom w:w="55" w:type="dxa"/>
              <w:end w:w="65" w:type="dxa"/>
            </w:tcMar>
            <w:vAlign w:val="top"/>
          </w:tcPr>
          <w:p>
            <w:pPr>
              <w:spacing w:after="0"/>
            </w:pPr>
            <w:r>
              <w:rPr>
                <w:sz w:val="14"/>
              </w:rPr>
              <w:t>0 — Spec &amp; harness</w:t>
            </w:r>
          </w:p>
        </w:tc>
        <w:tc>
          <w:tcPr>
            <w:tcW w:type="dxa" w:w="5328"/>
            <w:tcMar>
              <w:top w:w="55" w:type="dxa"/>
              <w:start w:w="65" w:type="dxa"/>
              <w:bottom w:w="55" w:type="dxa"/>
              <w:end w:w="65" w:type="dxa"/>
            </w:tcMar>
            <w:vAlign w:val="top"/>
          </w:tcPr>
          <w:p>
            <w:pPr>
              <w:spacing w:after="0"/>
            </w:pPr>
            <w:r>
              <w:rPr>
                <w:sz w:val="14"/>
              </w:rPr>
              <w:t>Workload schema, benchmark harness, ADR template, tracing skeleton, reproducible dev environment.</w:t>
            </w:r>
          </w:p>
        </w:tc>
        <w:tc>
          <w:tcPr>
            <w:tcW w:type="dxa" w:w="3312"/>
            <w:tcMar>
              <w:top w:w="55" w:type="dxa"/>
              <w:start w:w="65" w:type="dxa"/>
              <w:bottom w:w="55" w:type="dxa"/>
              <w:end w:w="65" w:type="dxa"/>
            </w:tcMar>
            <w:vAlign w:val="top"/>
          </w:tcPr>
          <w:p>
            <w:pPr>
              <w:spacing w:after="0"/>
            </w:pPr>
            <w:r>
              <w:rPr>
                <w:sz w:val="14"/>
              </w:rPr>
              <w:t>You design measurement before optimization.</w:t>
            </w:r>
          </w:p>
        </w:tc>
      </w:tr>
      <w:tr>
        <w:trPr>
          <w:cantSplit/>
        </w:trPr>
        <w:tc>
          <w:tcPr>
            <w:tcW w:type="dxa" w:w="1440"/>
            <w:tcMar>
              <w:top w:w="55" w:type="dxa"/>
              <w:start w:w="65" w:type="dxa"/>
              <w:bottom w:w="55" w:type="dxa"/>
              <w:end w:w="65" w:type="dxa"/>
            </w:tcMar>
            <w:vAlign w:val="top"/>
          </w:tcPr>
          <w:p>
            <w:pPr>
              <w:spacing w:after="0"/>
            </w:pPr>
            <w:r>
              <w:rPr>
                <w:sz w:val="14"/>
              </w:rPr>
              <w:t>1 — Context compiler v1</w:t>
            </w:r>
          </w:p>
        </w:tc>
        <w:tc>
          <w:tcPr>
            <w:tcW w:type="dxa" w:w="5328"/>
            <w:tcMar>
              <w:top w:w="55" w:type="dxa"/>
              <w:start w:w="65" w:type="dxa"/>
              <w:bottom w:w="55" w:type="dxa"/>
              <w:end w:w="65" w:type="dxa"/>
            </w:tcMar>
            <w:vAlign w:val="top"/>
          </w:tcPr>
          <w:p>
            <w:pPr>
              <w:spacing w:after="0"/>
            </w:pPr>
            <w:r>
              <w:rPr>
                <w:sz w:val="14"/>
              </w:rPr>
              <w:t>Dense/sparse retrieval, provenance, budgeted selection, typed ContextPackage, single-agent workload.</w:t>
            </w:r>
          </w:p>
        </w:tc>
        <w:tc>
          <w:tcPr>
            <w:tcW w:type="dxa" w:w="3312"/>
            <w:tcMar>
              <w:top w:w="55" w:type="dxa"/>
              <w:start w:w="65" w:type="dxa"/>
              <w:bottom w:w="55" w:type="dxa"/>
              <w:end w:w="65" w:type="dxa"/>
            </w:tcMar>
            <w:vAlign w:val="top"/>
          </w:tcPr>
          <w:p>
            <w:pPr>
              <w:spacing w:after="0"/>
            </w:pPr>
            <w:r>
              <w:rPr>
                <w:sz w:val="14"/>
              </w:rPr>
              <w:t>Core AI/context algorithm.</w:t>
            </w:r>
          </w:p>
        </w:tc>
      </w:tr>
      <w:tr>
        <w:trPr>
          <w:cantSplit/>
        </w:trPr>
        <w:tc>
          <w:tcPr>
            <w:tcW w:type="dxa" w:w="1440"/>
            <w:tcMar>
              <w:top w:w="55" w:type="dxa"/>
              <w:start w:w="65" w:type="dxa"/>
              <w:bottom w:w="55" w:type="dxa"/>
              <w:end w:w="65" w:type="dxa"/>
            </w:tcMar>
            <w:vAlign w:val="top"/>
          </w:tcPr>
          <w:p>
            <w:pPr>
              <w:spacing w:after="0"/>
            </w:pPr>
            <w:r>
              <w:rPr>
                <w:sz w:val="14"/>
              </w:rPr>
              <w:t>2 — Durable execution</w:t>
            </w:r>
          </w:p>
        </w:tc>
        <w:tc>
          <w:tcPr>
            <w:tcW w:type="dxa" w:w="5328"/>
            <w:tcMar>
              <w:top w:w="55" w:type="dxa"/>
              <w:start w:w="65" w:type="dxa"/>
              <w:bottom w:w="55" w:type="dxa"/>
              <w:end w:w="65" w:type="dxa"/>
            </w:tcMar>
            <w:vAlign w:val="top"/>
          </w:tcPr>
          <w:p>
            <w:pPr>
              <w:spacing w:after="0"/>
            </w:pPr>
            <w:r>
              <w:rPr>
                <w:sz w:val="14"/>
              </w:rPr>
              <w:t>Temporal workflow, retries/cancellation, typed state, tool activities.</w:t>
            </w:r>
          </w:p>
        </w:tc>
        <w:tc>
          <w:tcPr>
            <w:tcW w:type="dxa" w:w="3312"/>
            <w:tcMar>
              <w:top w:w="55" w:type="dxa"/>
              <w:start w:w="65" w:type="dxa"/>
              <w:bottom w:w="55" w:type="dxa"/>
              <w:end w:w="65" w:type="dxa"/>
            </w:tcMar>
            <w:vAlign w:val="top"/>
          </w:tcPr>
          <w:p>
            <w:pPr>
              <w:spacing w:after="0"/>
            </w:pPr>
            <w:r>
              <w:rPr>
                <w:sz w:val="14"/>
              </w:rPr>
              <w:t>Production reliability and state-machine thinking.</w:t>
            </w:r>
          </w:p>
        </w:tc>
      </w:tr>
      <w:tr>
        <w:trPr>
          <w:cantSplit/>
        </w:trPr>
        <w:tc>
          <w:tcPr>
            <w:tcW w:type="dxa" w:w="1440"/>
            <w:tcMar>
              <w:top w:w="55" w:type="dxa"/>
              <w:start w:w="65" w:type="dxa"/>
              <w:bottom w:w="55" w:type="dxa"/>
              <w:end w:w="65" w:type="dxa"/>
            </w:tcMar>
            <w:vAlign w:val="top"/>
          </w:tcPr>
          <w:p>
            <w:pPr>
              <w:spacing w:after="0"/>
            </w:pPr>
            <w:r>
              <w:rPr>
                <w:sz w:val="14"/>
              </w:rPr>
              <w:t>3 — Tools &amp; Skills</w:t>
            </w:r>
          </w:p>
        </w:tc>
        <w:tc>
          <w:tcPr>
            <w:tcW w:type="dxa" w:w="5328"/>
            <w:tcMar>
              <w:top w:w="55" w:type="dxa"/>
              <w:start w:w="65" w:type="dxa"/>
              <w:bottom w:w="55" w:type="dxa"/>
              <w:end w:w="65" w:type="dxa"/>
            </w:tcMar>
            <w:vAlign w:val="top"/>
          </w:tcPr>
          <w:p>
            <w:pPr>
              <w:spacing w:after="0"/>
            </w:pPr>
            <w:r>
              <w:rPr>
                <w:sz w:val="14"/>
              </w:rPr>
              <w:t>MCP tool boundary, Skill registry, capability minimization, policy gates.</w:t>
            </w:r>
          </w:p>
        </w:tc>
        <w:tc>
          <w:tcPr>
            <w:tcW w:type="dxa" w:w="3312"/>
            <w:tcMar>
              <w:top w:w="55" w:type="dxa"/>
              <w:start w:w="65" w:type="dxa"/>
              <w:bottom w:w="55" w:type="dxa"/>
              <w:end w:w="65" w:type="dxa"/>
            </w:tcMar>
            <w:vAlign w:val="top"/>
          </w:tcPr>
          <w:p>
            <w:pPr>
              <w:spacing w:after="0"/>
            </w:pPr>
            <w:r>
              <w:rPr>
                <w:sz w:val="14"/>
              </w:rPr>
              <w:t>Agent harness/security/context discipline.</w:t>
            </w:r>
          </w:p>
        </w:tc>
      </w:tr>
      <w:tr>
        <w:trPr>
          <w:cantSplit/>
        </w:trPr>
        <w:tc>
          <w:tcPr>
            <w:tcW w:type="dxa" w:w="1440"/>
            <w:tcMar>
              <w:top w:w="55" w:type="dxa"/>
              <w:start w:w="65" w:type="dxa"/>
              <w:bottom w:w="55" w:type="dxa"/>
              <w:end w:w="65" w:type="dxa"/>
            </w:tcMar>
            <w:vAlign w:val="top"/>
          </w:tcPr>
          <w:p>
            <w:pPr>
              <w:spacing w:after="0"/>
            </w:pPr>
            <w:r>
              <w:rPr>
                <w:sz w:val="14"/>
              </w:rPr>
              <w:t>4 — Retrieval research</w:t>
            </w:r>
          </w:p>
        </w:tc>
        <w:tc>
          <w:tcPr>
            <w:tcW w:type="dxa" w:w="5328"/>
            <w:tcMar>
              <w:top w:w="55" w:type="dxa"/>
              <w:start w:w="65" w:type="dxa"/>
              <w:bottom w:w="55" w:type="dxa"/>
              <w:end w:w="65" w:type="dxa"/>
            </w:tcMar>
            <w:vAlign w:val="top"/>
          </w:tcPr>
          <w:p>
            <w:pPr>
              <w:spacing w:after="0"/>
            </w:pPr>
            <w:r>
              <w:rPr>
                <w:sz w:val="14"/>
              </w:rPr>
              <w:t>Qdrant vs pgvector; fusion/rerank/quantization experiments; ADR finalized.</w:t>
            </w:r>
          </w:p>
        </w:tc>
        <w:tc>
          <w:tcPr>
            <w:tcW w:type="dxa" w:w="3312"/>
            <w:tcMar>
              <w:top w:w="55" w:type="dxa"/>
              <w:start w:w="65" w:type="dxa"/>
              <w:bottom w:w="55" w:type="dxa"/>
              <w:end w:w="65" w:type="dxa"/>
            </w:tcMar>
            <w:vAlign w:val="top"/>
          </w:tcPr>
          <w:p>
            <w:pPr>
              <w:spacing w:after="0"/>
            </w:pPr>
            <w:r>
              <w:rPr>
                <w:sz w:val="14"/>
              </w:rPr>
              <w:t>Data/retrieval engineering and evidence-based choice.</w:t>
            </w:r>
          </w:p>
        </w:tc>
      </w:tr>
      <w:tr>
        <w:trPr>
          <w:cantSplit/>
        </w:trPr>
        <w:tc>
          <w:tcPr>
            <w:tcW w:type="dxa" w:w="1440"/>
            <w:tcMar>
              <w:top w:w="55" w:type="dxa"/>
              <w:start w:w="65" w:type="dxa"/>
              <w:bottom w:w="55" w:type="dxa"/>
              <w:end w:w="65" w:type="dxa"/>
            </w:tcMar>
            <w:vAlign w:val="top"/>
          </w:tcPr>
          <w:p>
            <w:pPr>
              <w:spacing w:after="0"/>
            </w:pPr>
            <w:r>
              <w:rPr>
                <w:sz w:val="14"/>
              </w:rPr>
              <w:t>5 — C++/CUDA</w:t>
            </w:r>
          </w:p>
        </w:tc>
        <w:tc>
          <w:tcPr>
            <w:tcW w:type="dxa" w:w="5328"/>
            <w:tcMar>
              <w:top w:w="55" w:type="dxa"/>
              <w:start w:w="65" w:type="dxa"/>
              <w:bottom w:w="55" w:type="dxa"/>
              <w:end w:w="65" w:type="dxa"/>
            </w:tcMar>
            <w:vAlign w:val="top"/>
          </w:tcPr>
          <w:p>
            <w:pPr>
              <w:spacing w:after="0"/>
            </w:pPr>
            <w:r>
              <w:rPr>
                <w:sz w:val="14"/>
              </w:rPr>
              <w:t>MaxSim/rerank extension + CPU baseline + profiling + correctness tests.</w:t>
            </w:r>
          </w:p>
        </w:tc>
        <w:tc>
          <w:tcPr>
            <w:tcW w:type="dxa" w:w="3312"/>
            <w:tcMar>
              <w:top w:w="55" w:type="dxa"/>
              <w:start w:w="65" w:type="dxa"/>
              <w:bottom w:w="55" w:type="dxa"/>
              <w:end w:w="65" w:type="dxa"/>
            </w:tcMar>
            <w:vAlign w:val="top"/>
          </w:tcPr>
          <w:p>
            <w:pPr>
              <w:spacing w:after="0"/>
            </w:pPr>
            <w:r>
              <w:rPr>
                <w:sz w:val="14"/>
              </w:rPr>
              <w:t>Low-level performance/hardware understanding.</w:t>
            </w:r>
          </w:p>
        </w:tc>
      </w:tr>
      <w:tr>
        <w:trPr>
          <w:cantSplit/>
        </w:trPr>
        <w:tc>
          <w:tcPr>
            <w:tcW w:type="dxa" w:w="1440"/>
            <w:tcMar>
              <w:top w:w="55" w:type="dxa"/>
              <w:start w:w="65" w:type="dxa"/>
              <w:bottom w:w="55" w:type="dxa"/>
              <w:end w:w="65" w:type="dxa"/>
            </w:tcMar>
            <w:vAlign w:val="top"/>
          </w:tcPr>
          <w:p>
            <w:pPr>
              <w:spacing w:after="0"/>
            </w:pPr>
            <w:r>
              <w:rPr>
                <w:sz w:val="14"/>
              </w:rPr>
              <w:t>6 — Scheduler</w:t>
            </w:r>
          </w:p>
        </w:tc>
        <w:tc>
          <w:tcPr>
            <w:tcW w:type="dxa" w:w="5328"/>
            <w:tcMar>
              <w:top w:w="55" w:type="dxa"/>
              <w:start w:w="65" w:type="dxa"/>
              <w:bottom w:w="55" w:type="dxa"/>
              <w:end w:w="65" w:type="dxa"/>
            </w:tcMar>
            <w:vAlign w:val="top"/>
          </w:tcPr>
          <w:p>
            <w:pPr>
              <w:spacing w:after="0"/>
            </w:pPr>
            <w:r>
              <w:rPr>
                <w:sz w:val="14"/>
              </w:rPr>
              <w:t>DAG priorities, budgets, fairness, cancellation; synthetic + real trace benchmark.</w:t>
            </w:r>
          </w:p>
        </w:tc>
        <w:tc>
          <w:tcPr>
            <w:tcW w:type="dxa" w:w="3312"/>
            <w:tcMar>
              <w:top w:w="55" w:type="dxa"/>
              <w:start w:w="65" w:type="dxa"/>
              <w:bottom w:w="55" w:type="dxa"/>
              <w:end w:w="65" w:type="dxa"/>
            </w:tcMar>
            <w:vAlign w:val="top"/>
          </w:tcPr>
          <w:p>
            <w:pPr>
              <w:spacing w:after="0"/>
            </w:pPr>
            <w:r>
              <w:rPr>
                <w:sz w:val="14"/>
              </w:rPr>
              <w:t>Algorithms + distributed systems.</w:t>
            </w:r>
          </w:p>
        </w:tc>
      </w:tr>
      <w:tr>
        <w:trPr>
          <w:cantSplit/>
        </w:trPr>
        <w:tc>
          <w:tcPr>
            <w:tcW w:type="dxa" w:w="1440"/>
            <w:tcMar>
              <w:top w:w="55" w:type="dxa"/>
              <w:start w:w="65" w:type="dxa"/>
              <w:bottom w:w="55" w:type="dxa"/>
              <w:end w:w="65" w:type="dxa"/>
            </w:tcMar>
            <w:vAlign w:val="top"/>
          </w:tcPr>
          <w:p>
            <w:pPr>
              <w:spacing w:after="0"/>
            </w:pPr>
            <w:r>
              <w:rPr>
                <w:sz w:val="14"/>
              </w:rPr>
              <w:t>7 — Production hardening</w:t>
            </w:r>
          </w:p>
        </w:tc>
        <w:tc>
          <w:tcPr>
            <w:tcW w:type="dxa" w:w="5328"/>
            <w:tcMar>
              <w:top w:w="55" w:type="dxa"/>
              <w:start w:w="65" w:type="dxa"/>
              <w:bottom w:w="55" w:type="dxa"/>
              <w:end w:w="65" w:type="dxa"/>
            </w:tcMar>
            <w:vAlign w:val="top"/>
          </w:tcPr>
          <w:p>
            <w:pPr>
              <w:spacing w:after="0"/>
            </w:pPr>
            <w:r>
              <w:rPr>
                <w:sz w:val="14"/>
              </w:rPr>
              <w:t>OTel/Langfuse/Grafana, load tests, chaos tests, security controls.</w:t>
            </w:r>
          </w:p>
        </w:tc>
        <w:tc>
          <w:tcPr>
            <w:tcW w:type="dxa" w:w="3312"/>
            <w:tcMar>
              <w:top w:w="55" w:type="dxa"/>
              <w:start w:w="65" w:type="dxa"/>
              <w:bottom w:w="55" w:type="dxa"/>
              <w:end w:w="65" w:type="dxa"/>
            </w:tcMar>
            <w:vAlign w:val="top"/>
          </w:tcPr>
          <w:p>
            <w:pPr>
              <w:spacing w:after="0"/>
            </w:pPr>
            <w:r>
              <w:rPr>
                <w:sz w:val="14"/>
              </w:rPr>
              <w:t>Production thinking.</w:t>
            </w:r>
          </w:p>
        </w:tc>
      </w:tr>
      <w:tr>
        <w:trPr>
          <w:cantSplit/>
        </w:trPr>
        <w:tc>
          <w:tcPr>
            <w:tcW w:type="dxa" w:w="1440"/>
            <w:tcMar>
              <w:top w:w="55" w:type="dxa"/>
              <w:start w:w="65" w:type="dxa"/>
              <w:bottom w:w="55" w:type="dxa"/>
              <w:end w:w="65" w:type="dxa"/>
            </w:tcMar>
            <w:vAlign w:val="top"/>
          </w:tcPr>
          <w:p>
            <w:pPr>
              <w:spacing w:after="0"/>
            </w:pPr>
            <w:r>
              <w:rPr>
                <w:sz w:val="14"/>
              </w:rPr>
              <w:t>8 — Cloud proof</w:t>
            </w:r>
          </w:p>
        </w:tc>
        <w:tc>
          <w:tcPr>
            <w:tcW w:type="dxa" w:w="5328"/>
            <w:tcMar>
              <w:top w:w="55" w:type="dxa"/>
              <w:start w:w="65" w:type="dxa"/>
              <w:bottom w:w="55" w:type="dxa"/>
              <w:end w:w="65" w:type="dxa"/>
            </w:tcMar>
            <w:vAlign w:val="top"/>
          </w:tcPr>
          <w:p>
            <w:pPr>
              <w:spacing w:after="0"/>
            </w:pPr>
            <w:r>
              <w:rPr>
                <w:sz w:val="14"/>
              </w:rPr>
              <w:t>Azure Container Apps multi-replica deployment; optional short-lived AKS; IaC destroy/recreate.</w:t>
            </w:r>
          </w:p>
        </w:tc>
        <w:tc>
          <w:tcPr>
            <w:tcW w:type="dxa" w:w="3312"/>
            <w:tcMar>
              <w:top w:w="55" w:type="dxa"/>
              <w:start w:w="65" w:type="dxa"/>
              <w:bottom w:w="55" w:type="dxa"/>
              <w:end w:w="65" w:type="dxa"/>
            </w:tcMar>
            <w:vAlign w:val="top"/>
          </w:tcPr>
          <w:p>
            <w:pPr>
              <w:spacing w:after="0"/>
            </w:pPr>
            <w:r>
              <w:rPr>
                <w:sz w:val="14"/>
              </w:rPr>
              <w:t>Cloud/system design without dependency on cloud spend.</w:t>
            </w:r>
          </w:p>
        </w:tc>
      </w:tr>
      <w:tr>
        <w:trPr>
          <w:cantSplit/>
        </w:trPr>
        <w:tc>
          <w:tcPr>
            <w:tcW w:type="dxa" w:w="1440"/>
            <w:tcMar>
              <w:top w:w="55" w:type="dxa"/>
              <w:start w:w="65" w:type="dxa"/>
              <w:bottom w:w="55" w:type="dxa"/>
              <w:end w:w="65" w:type="dxa"/>
            </w:tcMar>
            <w:vAlign w:val="top"/>
          </w:tcPr>
          <w:p>
            <w:pPr>
              <w:spacing w:after="0"/>
            </w:pPr>
            <w:r>
              <w:rPr>
                <w:sz w:val="14"/>
              </w:rPr>
              <w:t>9 — Publication-quality package</w:t>
            </w:r>
          </w:p>
        </w:tc>
        <w:tc>
          <w:tcPr>
            <w:tcW w:type="dxa" w:w="5328"/>
            <w:tcMar>
              <w:top w:w="55" w:type="dxa"/>
              <w:start w:w="65" w:type="dxa"/>
              <w:bottom w:w="55" w:type="dxa"/>
              <w:end w:w="65" w:type="dxa"/>
            </w:tcMar>
            <w:vAlign w:val="top"/>
          </w:tcPr>
          <w:p>
            <w:pPr>
              <w:spacing w:after="0"/>
            </w:pPr>
            <w:r>
              <w:rPr>
                <w:sz w:val="14"/>
              </w:rPr>
              <w:t>Architecture paper, benchmark report, demo, ADR set, failure postmortems.</w:t>
            </w:r>
          </w:p>
        </w:tc>
        <w:tc>
          <w:tcPr>
            <w:tcW w:type="dxa" w:w="3312"/>
            <w:tcMar>
              <w:top w:w="55" w:type="dxa"/>
              <w:start w:w="65" w:type="dxa"/>
              <w:bottom w:w="55" w:type="dxa"/>
              <w:end w:w="65" w:type="dxa"/>
            </w:tcMar>
            <w:vAlign w:val="top"/>
          </w:tcPr>
          <w:p>
            <w:pPr>
              <w:spacing w:after="0"/>
            </w:pPr>
            <w:r>
              <w:rPr>
                <w:sz w:val="14"/>
              </w:rPr>
              <w:t>Interview defensibility and engineering communication.</w:t>
            </w:r>
          </w:p>
        </w:tc>
      </w:tr>
    </w:tbl>
    <w:p>
      <w:pPr>
        <w:spacing w:after="0"/>
      </w:pPr>
    </w:p>
    <w:p>
      <w:pPr>
        <w:pStyle w:val="Heading2"/>
      </w:pPr>
      <w:r>
        <w:t>Scope rule</w:t>
      </w:r>
    </w:p>
    <w:tbl>
      <w:tblPr>
        <w:tblW w:type="auto" w:w="0"/>
        <w:jc w:val="center"/>
        <w:tblLook w:firstColumn="1" w:firstRow="1" w:lastColumn="0" w:lastRow="0" w:noHBand="0" w:noVBand="1" w:val="04A0"/>
      </w:tblPr>
      <w:tblGrid>
        <w:gridCol w:w="10166"/>
      </w:tblGrid>
      <w:tr>
        <w:trPr>
          <w:cantSplit/>
        </w:trPr>
        <w:tc>
          <w:tcPr>
            <w:tcW w:type="dxa" w:w="10166"/>
            <w:shd w:fill="E8F5ED"/>
            <w:tcMar>
              <w:top w:w="90" w:type="dxa"/>
              <w:start w:w="120" w:type="dxa"/>
              <w:bottom w:w="90" w:type="dxa"/>
              <w:end w:w="120" w:type="dxa"/>
            </w:tcMar>
          </w:tcPr>
          <w:p>
            <w:r>
              <w:rPr>
                <w:b/>
              </w:rPr>
              <w:t xml:space="preserve">Do not advance by adding technologies.  </w:t>
            </w:r>
            <w:r>
              <w:t>Advance when a measured problem appears. Redis, Kafka/NATS, A2A, Kubernetes, graph databases, and multi-GPU serving are all deferred until a benchmark or production requirement makes them necessary.</w:t>
            </w:r>
          </w:p>
        </w:tc>
      </w:tr>
    </w:tbl>
    <w:p>
      <w:pPr>
        <w:spacing w:after="0"/>
      </w:pPr>
    </w:p>
    <w:p>
      <w:pPr>
        <w:pStyle w:val="Heading1"/>
      </w:pPr>
      <w:r>
        <w:t>12. Repository shape</w:t>
      </w:r>
    </w:p>
    <w:p>
      <w:pPr>
        <w:pStyle w:val="CodeBlock"/>
      </w:pPr>
      <w:r>
        <w:t>contextforge/</w:t>
      </w:r>
    </w:p>
    <w:p>
      <w:pPr>
        <w:pStyle w:val="CodeBlock"/>
      </w:pPr>
      <w:r>
        <w:t>├── apps/</w:t>
      </w:r>
    </w:p>
    <w:p>
      <w:pPr>
        <w:pStyle w:val="CodeBlock"/>
      </w:pPr>
      <w:r>
        <w:t>│   ├── api/                       # FastAPI / external API</w:t>
      </w:r>
    </w:p>
    <w:p>
      <w:pPr>
        <w:pStyle w:val="CodeBlock"/>
      </w:pPr>
      <w:r>
        <w:t>│   └── researchops-demo/          # non-coding reference workload</w:t>
      </w:r>
    </w:p>
    <w:p>
      <w:pPr>
        <w:pStyle w:val="CodeBlock"/>
      </w:pPr>
      <w:r>
        <w:t>├── contextforge/</w:t>
      </w:r>
    </w:p>
    <w:p>
      <w:pPr>
        <w:pStyle w:val="CodeBlock"/>
      </w:pPr>
      <w:r>
        <w:t>│   ├── ir/                        # ContextPackage schemas</w:t>
      </w:r>
    </w:p>
    <w:p>
      <w:pPr>
        <w:pStyle w:val="CodeBlock"/>
      </w:pPr>
      <w:r>
        <w:t>│   ├── compiler/</w:t>
      </w:r>
    </w:p>
    <w:p>
      <w:pPr>
        <w:pStyle w:val="CodeBlock"/>
      </w:pPr>
      <w:r>
        <w:t>│   │   ├── retrieval/</w:t>
      </w:r>
    </w:p>
    <w:p>
      <w:pPr>
        <w:pStyle w:val="CodeBlock"/>
      </w:pPr>
      <w:r>
        <w:t>│   │   ├── dedup/</w:t>
      </w:r>
    </w:p>
    <w:p>
      <w:pPr>
        <w:pStyle w:val="CodeBlock"/>
      </w:pPr>
      <w:r>
        <w:t>│   │   ├── contradiction/</w:t>
      </w:r>
    </w:p>
    <w:p>
      <w:pPr>
        <w:pStyle w:val="CodeBlock"/>
      </w:pPr>
      <w:r>
        <w:t>│   │   ├── budget/</w:t>
      </w:r>
    </w:p>
    <w:p>
      <w:pPr>
        <w:pStyle w:val="CodeBlock"/>
      </w:pPr>
      <w:r>
        <w:t>│   │   ├── skills/</w:t>
      </w:r>
    </w:p>
    <w:p>
      <w:pPr>
        <w:pStyle w:val="CodeBlock"/>
      </w:pPr>
      <w:r>
        <w:t>│   │   └── tools/</w:t>
      </w:r>
    </w:p>
    <w:p>
      <w:pPr>
        <w:pStyle w:val="CodeBlock"/>
      </w:pPr>
      <w:r>
        <w:t>│   ├── runtime/</w:t>
      </w:r>
    </w:p>
    <w:p>
      <w:pPr>
        <w:pStyle w:val="CodeBlock"/>
      </w:pPr>
      <w:r>
        <w:t>│   │   ├── workflow/</w:t>
      </w:r>
    </w:p>
    <w:p>
      <w:pPr>
        <w:pStyle w:val="CodeBlock"/>
      </w:pPr>
      <w:r>
        <w:t>│   │   ├── scheduler/</w:t>
      </w:r>
    </w:p>
    <w:p>
      <w:pPr>
        <w:pStyle w:val="CodeBlock"/>
      </w:pPr>
      <w:r>
        <w:t>│   │   ├── policies/</w:t>
      </w:r>
    </w:p>
    <w:p>
      <w:pPr>
        <w:pStyle w:val="CodeBlock"/>
      </w:pPr>
      <w:r>
        <w:t>│   │   └── model_router/</w:t>
      </w:r>
    </w:p>
    <w:p>
      <w:pPr>
        <w:pStyle w:val="CodeBlock"/>
      </w:pPr>
      <w:r>
        <w:t>│   ├── protocols/</w:t>
      </w:r>
    </w:p>
    <w:p>
      <w:pPr>
        <w:pStyle w:val="CodeBlock"/>
      </w:pPr>
      <w:r>
        <w:t>│   │   ├── mcp/</w:t>
      </w:r>
    </w:p>
    <w:p>
      <w:pPr>
        <w:pStyle w:val="CodeBlock"/>
      </w:pPr>
      <w:r>
        <w:t>│   │   └── a2a/                   # empty/deferred until justified</w:t>
      </w:r>
    </w:p>
    <w:p>
      <w:pPr>
        <w:pStyle w:val="CodeBlock"/>
      </w:pPr>
      <w:r>
        <w:t>│   └── observability/</w:t>
      </w:r>
    </w:p>
    <w:p>
      <w:pPr>
        <w:pStyle w:val="CodeBlock"/>
      </w:pPr>
      <w:r>
        <w:t>├── native/</w:t>
      </w:r>
    </w:p>
    <w:p>
      <w:pPr>
        <w:pStyle w:val="CodeBlock"/>
      </w:pPr>
      <w:r>
        <w:t>│   ├── cpp/                       # CPU hot paths / benchmarks</w:t>
      </w:r>
    </w:p>
    <w:p>
      <w:pPr>
        <w:pStyle w:val="CodeBlock"/>
      </w:pPr>
      <w:r>
        <w:t>│   └── cuda/                      # late-interaction kernel</w:t>
      </w:r>
    </w:p>
    <w:p>
      <w:pPr>
        <w:pStyle w:val="CodeBlock"/>
      </w:pPr>
      <w:r>
        <w:t>├── skills/</w:t>
      </w:r>
    </w:p>
    <w:p>
      <w:pPr>
        <w:pStyle w:val="CodeBlock"/>
      </w:pPr>
      <w:r>
        <w:t>│   ├── source-triangulation/</w:t>
      </w:r>
    </w:p>
    <w:p>
      <w:pPr>
        <w:pStyle w:val="CodeBlock"/>
      </w:pPr>
      <w:r>
        <w:t>│   ├── claim-verification/</w:t>
      </w:r>
    </w:p>
    <w:p>
      <w:pPr>
        <w:pStyle w:val="CodeBlock"/>
      </w:pPr>
      <w:r>
        <w:t>│   └── report-synthesis/</w:t>
      </w:r>
    </w:p>
    <w:p>
      <w:pPr>
        <w:pStyle w:val="CodeBlock"/>
      </w:pPr>
      <w:r>
        <w:t>├── benchmarks/</w:t>
      </w:r>
    </w:p>
    <w:p>
      <w:pPr>
        <w:pStyle w:val="CodeBlock"/>
      </w:pPr>
      <w:r>
        <w:t>│   ├── retrieval/</w:t>
      </w:r>
    </w:p>
    <w:p>
      <w:pPr>
        <w:pStyle w:val="CodeBlock"/>
      </w:pPr>
      <w:r>
        <w:t>│   ├── compiler/</w:t>
      </w:r>
    </w:p>
    <w:p>
      <w:pPr>
        <w:pStyle w:val="CodeBlock"/>
      </w:pPr>
      <w:r>
        <w:t>│   ├── scheduler/</w:t>
      </w:r>
    </w:p>
    <w:p>
      <w:pPr>
        <w:pStyle w:val="CodeBlock"/>
      </w:pPr>
      <w:r>
        <w:t>│   ├── cuda/</w:t>
      </w:r>
    </w:p>
    <w:p>
      <w:pPr>
        <w:pStyle w:val="CodeBlock"/>
      </w:pPr>
      <w:r>
        <w:t>│   ├── reliability/</w:t>
      </w:r>
    </w:p>
    <w:p>
      <w:pPr>
        <w:pStyle w:val="CodeBlock"/>
      </w:pPr>
      <w:r>
        <w:t>│   └── end_to_end/</w:t>
      </w:r>
    </w:p>
    <w:p>
      <w:pPr>
        <w:pStyle w:val="CodeBlock"/>
      </w:pPr>
      <w:r>
        <w:t>├── evals/</w:t>
      </w:r>
    </w:p>
    <w:p>
      <w:pPr>
        <w:pStyle w:val="CodeBlock"/>
      </w:pPr>
      <w:r>
        <w:t>├── infra/</w:t>
      </w:r>
    </w:p>
    <w:p>
      <w:pPr>
        <w:pStyle w:val="CodeBlock"/>
      </w:pPr>
      <w:r>
        <w:t>│   ├── compose/</w:t>
      </w:r>
    </w:p>
    <w:p>
      <w:pPr>
        <w:pStyle w:val="CodeBlock"/>
      </w:pPr>
      <w:r>
        <w:t>│   ├── kubernetes/</w:t>
      </w:r>
    </w:p>
    <w:p>
      <w:pPr>
        <w:pStyle w:val="CodeBlock"/>
      </w:pPr>
      <w:r>
        <w:t>│   ├── azure/</w:t>
      </w:r>
    </w:p>
    <w:p>
      <w:pPr>
        <w:pStyle w:val="CodeBlock"/>
      </w:pPr>
      <w:r>
        <w:t>│   └── opentofu/</w:t>
      </w:r>
    </w:p>
    <w:p>
      <w:pPr>
        <w:pStyle w:val="CodeBlock"/>
      </w:pPr>
      <w:r>
        <w:t>├── docs/</w:t>
      </w:r>
    </w:p>
    <w:p>
      <w:pPr>
        <w:pStyle w:val="CodeBlock"/>
      </w:pPr>
      <w:r>
        <w:t>│   ├── adr/</w:t>
      </w:r>
    </w:p>
    <w:p>
      <w:pPr>
        <w:pStyle w:val="CodeBlock"/>
      </w:pPr>
      <w:r>
        <w:t>│   ├── architecture/</w:t>
      </w:r>
    </w:p>
    <w:p>
      <w:pPr>
        <w:pStyle w:val="CodeBlock"/>
      </w:pPr>
      <w:r>
        <w:t>│   ├── benchmark-reports/</w:t>
      </w:r>
    </w:p>
    <w:p>
      <w:pPr>
        <w:pStyle w:val="CodeBlock"/>
      </w:pPr>
      <w:r>
        <w:t>│   └── postmortems/</w:t>
      </w:r>
    </w:p>
    <w:p>
      <w:pPr>
        <w:pStyle w:val="CodeBlock"/>
      </w:pPr>
      <w:r>
        <w:t>└── tests/</w:t>
      </w:r>
    </w:p>
    <w:p>
      <w:pPr>
        <w:pStyle w:val="CodeBlock"/>
      </w:pPr>
      <w:r>
        <w:t xml:space="preserve">    ├── unit/</w:t>
      </w:r>
    </w:p>
    <w:p>
      <w:pPr>
        <w:pStyle w:val="CodeBlock"/>
      </w:pPr>
      <w:r>
        <w:t xml:space="preserve">    ├── property/</w:t>
      </w:r>
    </w:p>
    <w:p>
      <w:pPr>
        <w:pStyle w:val="CodeBlock"/>
      </w:pPr>
      <w:r>
        <w:t xml:space="preserve">    ├── integration/</w:t>
      </w:r>
    </w:p>
    <w:p>
      <w:pPr>
        <w:pStyle w:val="CodeBlock"/>
      </w:pPr>
      <w:r>
        <w:t xml:space="preserve">    ├── contract/</w:t>
      </w:r>
    </w:p>
    <w:p>
      <w:pPr>
        <w:pStyle w:val="CodeBlock"/>
      </w:pPr>
      <w:r>
        <w:t xml:space="preserve">    └── chaos/</w:t>
      </w:r>
    </w:p>
    <w:p>
      <w:pPr>
        <w:pStyle w:val="Heading1"/>
      </w:pPr>
      <w:r>
        <w:t>13. ADRs that should exist before the project is called production-grade</w:t>
      </w:r>
    </w:p>
    <w:p>
      <w:pPr>
        <w:pStyle w:val="ListNumber"/>
        <w:spacing w:after="50"/>
      </w:pPr>
      <w:r>
        <w:t>ADR-001: Why ContextForge exists as a runtime instead of another agent application.</w:t>
      </w:r>
    </w:p>
    <w:p>
      <w:pPr>
        <w:pStyle w:val="ListNumber"/>
        <w:spacing w:after="50"/>
      </w:pPr>
      <w:r>
        <w:t>ADR-002: Qdrant vs pgvector vs Weaviate vs Milvus vs Chroma vs managed Pinecone.</w:t>
      </w:r>
    </w:p>
    <w:p>
      <w:pPr>
        <w:pStyle w:val="ListNumber"/>
        <w:spacing w:after="50"/>
      </w:pPr>
      <w:r>
        <w:t>ADR-003: Temporal vs LangGraph vs custom workflow engine.</w:t>
      </w:r>
    </w:p>
    <w:p>
      <w:pPr>
        <w:pStyle w:val="ListNumber"/>
        <w:spacing w:after="50"/>
      </w:pPr>
      <w:r>
        <w:t>ADR-004: vLLM vs SGLang vs TensorRT-LLM; model-provider interface.</w:t>
      </w:r>
    </w:p>
    <w:p>
      <w:pPr>
        <w:pStyle w:val="ListNumber"/>
        <w:spacing w:after="50"/>
      </w:pPr>
      <w:r>
        <w:t>ADR-005: Context IR schema and why context is compiled rather than directly concatenated.</w:t>
      </w:r>
    </w:p>
    <w:p>
      <w:pPr>
        <w:pStyle w:val="ListNumber"/>
        <w:spacing w:after="50"/>
      </w:pPr>
      <w:r>
        <w:t>ADR-006: Retrieval fusion and reranking strategy.</w:t>
      </w:r>
    </w:p>
    <w:p>
      <w:pPr>
        <w:pStyle w:val="ListNumber"/>
        <w:spacing w:after="50"/>
      </w:pPr>
      <w:r>
        <w:t>ADR-007: Budgeted context-selection objective and solver choice.</w:t>
      </w:r>
    </w:p>
    <w:p>
      <w:pPr>
        <w:pStyle w:val="ListNumber"/>
        <w:spacing w:after="50"/>
      </w:pPr>
      <w:r>
        <w:t>ADR-008: MCP boundary and why ordinary internal function calls remain ordinary function calls.</w:t>
      </w:r>
    </w:p>
    <w:p>
      <w:pPr>
        <w:pStyle w:val="ListNumber"/>
        <w:spacing w:after="50"/>
      </w:pPr>
      <w:r>
        <w:t>ADR-009: Skill format and progressive-disclosure policy.</w:t>
      </w:r>
    </w:p>
    <w:p>
      <w:pPr>
        <w:pStyle w:val="ListNumber"/>
        <w:spacing w:after="50"/>
      </w:pPr>
      <w:r>
        <w:t>ADR-010: Why A2A is deferred.</w:t>
      </w:r>
    </w:p>
    <w:p>
      <w:pPr>
        <w:pStyle w:val="ListNumber"/>
        <w:spacing w:after="50"/>
      </w:pPr>
      <w:r>
        <w:t>ADR-011: OpenTelemetry + Langfuse observability boundary.</w:t>
      </w:r>
    </w:p>
    <w:p>
      <w:pPr>
        <w:pStyle w:val="ListNumber"/>
        <w:spacing w:after="50"/>
      </w:pPr>
      <w:r>
        <w:t>ADR-012: Why Kafka/Redis/NATS are absent initially, with explicit adoption triggers.</w:t>
      </w:r>
    </w:p>
    <w:p>
      <w:pPr>
        <w:pStyle w:val="ListNumber"/>
        <w:spacing w:after="50"/>
      </w:pPr>
      <w:r>
        <w:t>ADR-013: HTTP external API vs gRPC internal native-service boundary.</w:t>
      </w:r>
    </w:p>
    <w:p>
      <w:pPr>
        <w:pStyle w:val="ListNumber"/>
        <w:spacing w:after="50"/>
      </w:pPr>
      <w:r>
        <w:t>ADR-014: Local Compose vs Container Apps vs AKS.</w:t>
      </w:r>
    </w:p>
    <w:p>
      <w:pPr>
        <w:pStyle w:val="ListNumber"/>
        <w:spacing w:after="50"/>
      </w:pPr>
      <w:r>
        <w:t>ADR-015: CUDA kernel versus PyTorch/Triton baseline and acceptance criteria.</w:t>
      </w:r>
    </w:p>
    <w:p>
      <w:pPr>
        <w:pStyle w:val="Heading2"/>
      </w:pPr>
      <w:r>
        <w:t>Example reversal conditions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6324F"/>
            <w:vAlign w:val="center"/>
            <w:tcMar>
              <w:top w:w="70" w:type="dxa"/>
              <w:start w:w="70" w:type="dxa"/>
              <w:bottom w:w="70" w:type="dxa"/>
              <w:end w:w="70" w:type="dxa"/>
            </w:tcMar>
          </w:tcPr>
          <w:p>
            <w:pPr>
              <w:jc w:val="center"/>
            </w:pPr>
            <w:r>
              <w:rPr>
                <w:b/>
                <w:color w:val="FFFFFF"/>
                <w:sz w:val="14"/>
              </w:rPr>
              <w:t>Decision</w:t>
            </w:r>
          </w:p>
        </w:tc>
        <w:tc>
          <w:tcPr>
            <w:tcW w:type="dxa" w:w="7200"/>
            <w:shd w:fill="16324F"/>
            <w:vAlign w:val="center"/>
            <w:tcMar>
              <w:top w:w="70" w:type="dxa"/>
              <w:start w:w="70" w:type="dxa"/>
              <w:bottom w:w="70" w:type="dxa"/>
              <w:end w:w="70" w:type="dxa"/>
            </w:tcMar>
          </w:tcPr>
          <w:p>
            <w:pPr>
              <w:jc w:val="center"/>
            </w:pPr>
            <w:r>
              <w:rPr>
                <w:b/>
                <w:color w:val="FFFFFF"/>
                <w:sz w:val="14"/>
              </w:rPr>
              <w:t>Example reversal trigger</w:t>
            </w:r>
          </w:p>
        </w:tc>
      </w:tr>
      <w:tr>
        <w:trPr>
          <w:cantSplit/>
        </w:trPr>
        <w:tc>
          <w:tcPr>
            <w:tcW w:type="dxa" w:w="2880"/>
            <w:tcMar>
              <w:top w:w="55" w:type="dxa"/>
              <w:start w:w="65" w:type="dxa"/>
              <w:bottom w:w="55" w:type="dxa"/>
              <w:end w:w="65" w:type="dxa"/>
            </w:tcMar>
            <w:vAlign w:val="top"/>
          </w:tcPr>
          <w:p>
            <w:pPr>
              <w:spacing w:after="0"/>
            </w:pPr>
            <w:r>
              <w:rPr>
                <w:sz w:val="14"/>
              </w:rPr>
              <w:t>Qdrant → pgvector</w:t>
            </w:r>
          </w:p>
        </w:tc>
        <w:tc>
          <w:tcPr>
            <w:tcW w:type="dxa" w:w="7200"/>
            <w:tcMar>
              <w:top w:w="55" w:type="dxa"/>
              <w:start w:w="65" w:type="dxa"/>
              <w:bottom w:w="55" w:type="dxa"/>
              <w:end w:w="65" w:type="dxa"/>
            </w:tcMar>
            <w:vAlign w:val="top"/>
          </w:tcPr>
          <w:p>
            <w:pPr>
              <w:spacing w:after="0"/>
            </w:pPr>
            <w:r>
              <w:rPr>
                <w:sz w:val="14"/>
              </w:rPr>
              <w:t>Hybrid/multivector features do not improve task success enough to justify a second datastore, and pgvector meets latency SLO.</w:t>
            </w:r>
          </w:p>
        </w:tc>
      </w:tr>
      <w:tr>
        <w:trPr>
          <w:cantSplit/>
        </w:trPr>
        <w:tc>
          <w:tcPr>
            <w:tcW w:type="dxa" w:w="2880"/>
            <w:tcMar>
              <w:top w:w="55" w:type="dxa"/>
              <w:start w:w="65" w:type="dxa"/>
              <w:bottom w:w="55" w:type="dxa"/>
              <w:end w:w="65" w:type="dxa"/>
            </w:tcMar>
            <w:vAlign w:val="top"/>
          </w:tcPr>
          <w:p>
            <w:pPr>
              <w:spacing w:after="0"/>
            </w:pPr>
            <w:r>
              <w:rPr>
                <w:sz w:val="14"/>
              </w:rPr>
              <w:t>Temporal → simpler graph runtime</w:t>
            </w:r>
          </w:p>
        </w:tc>
        <w:tc>
          <w:tcPr>
            <w:tcW w:type="dxa" w:w="7200"/>
            <w:tcMar>
              <w:top w:w="55" w:type="dxa"/>
              <w:start w:w="65" w:type="dxa"/>
              <w:bottom w:w="55" w:type="dxa"/>
              <w:end w:w="65" w:type="dxa"/>
            </w:tcMar>
            <w:vAlign w:val="top"/>
          </w:tcPr>
          <w:p>
            <w:pPr>
              <w:spacing w:after="0"/>
            </w:pPr>
            <w:r>
              <w:rPr>
                <w:sz w:val="14"/>
              </w:rPr>
              <w:t>Workflows prove short-lived, stateless, and failure recovery needs are far smaller than expected.</w:t>
            </w:r>
          </w:p>
        </w:tc>
      </w:tr>
      <w:tr>
        <w:trPr>
          <w:cantSplit/>
        </w:trPr>
        <w:tc>
          <w:tcPr>
            <w:tcW w:type="dxa" w:w="2880"/>
            <w:tcMar>
              <w:top w:w="55" w:type="dxa"/>
              <w:start w:w="65" w:type="dxa"/>
              <w:bottom w:w="55" w:type="dxa"/>
              <w:end w:w="65" w:type="dxa"/>
            </w:tcMar>
            <w:vAlign w:val="top"/>
          </w:tcPr>
          <w:p>
            <w:pPr>
              <w:spacing w:after="0"/>
            </w:pPr>
            <w:r>
              <w:rPr>
                <w:sz w:val="14"/>
              </w:rPr>
              <w:t>No Redis → Redis</w:t>
            </w:r>
          </w:p>
        </w:tc>
        <w:tc>
          <w:tcPr>
            <w:tcW w:type="dxa" w:w="7200"/>
            <w:tcMar>
              <w:top w:w="55" w:type="dxa"/>
              <w:start w:w="65" w:type="dxa"/>
              <w:bottom w:w="55" w:type="dxa"/>
              <w:end w:w="65" w:type="dxa"/>
            </w:tcMar>
            <w:vAlign w:val="top"/>
          </w:tcPr>
          <w:p>
            <w:pPr>
              <w:spacing w:after="0"/>
            </w:pPr>
            <w:r>
              <w:rPr>
                <w:sz w:val="14"/>
              </w:rPr>
              <w:t>Multiple replicas show material duplicate embedding/context work and process-local caches cannot meet cost/latency targets.</w:t>
            </w:r>
          </w:p>
        </w:tc>
      </w:tr>
      <w:tr>
        <w:trPr>
          <w:cantSplit/>
        </w:trPr>
        <w:tc>
          <w:tcPr>
            <w:tcW w:type="dxa" w:w="2880"/>
            <w:tcMar>
              <w:top w:w="55" w:type="dxa"/>
              <w:start w:w="65" w:type="dxa"/>
              <w:bottom w:w="55" w:type="dxa"/>
              <w:end w:w="65" w:type="dxa"/>
            </w:tcMar>
            <w:vAlign w:val="top"/>
          </w:tcPr>
          <w:p>
            <w:pPr>
              <w:spacing w:after="0"/>
            </w:pPr>
            <w:r>
              <w:rPr>
                <w:sz w:val="14"/>
              </w:rPr>
              <w:t>No NATS/Kafka → event broker</w:t>
            </w:r>
          </w:p>
        </w:tc>
        <w:tc>
          <w:tcPr>
            <w:tcW w:type="dxa" w:w="7200"/>
            <w:tcMar>
              <w:top w:w="55" w:type="dxa"/>
              <w:start w:w="65" w:type="dxa"/>
              <w:bottom w:w="55" w:type="dxa"/>
              <w:end w:w="65" w:type="dxa"/>
            </w:tcMar>
            <w:vAlign w:val="top"/>
          </w:tcPr>
          <w:p>
            <w:pPr>
              <w:spacing w:after="0"/>
            </w:pPr>
            <w:r>
              <w:rPr>
                <w:sz w:val="14"/>
              </w:rPr>
              <w:t>Independent consumers require replayable event fan-out at a volume/pattern not cleanly represented as Temporal workflow tasks.</w:t>
            </w:r>
          </w:p>
        </w:tc>
      </w:tr>
      <w:tr>
        <w:trPr>
          <w:cantSplit/>
        </w:trPr>
        <w:tc>
          <w:tcPr>
            <w:tcW w:type="dxa" w:w="2880"/>
            <w:tcMar>
              <w:top w:w="55" w:type="dxa"/>
              <w:start w:w="65" w:type="dxa"/>
              <w:bottom w:w="55" w:type="dxa"/>
              <w:end w:w="65" w:type="dxa"/>
            </w:tcMar>
            <w:vAlign w:val="top"/>
          </w:tcPr>
          <w:p>
            <w:pPr>
              <w:spacing w:after="0"/>
            </w:pPr>
            <w:r>
              <w:rPr>
                <w:sz w:val="14"/>
              </w:rPr>
              <w:t>Python scheduler → C++ scheduler</w:t>
            </w:r>
          </w:p>
        </w:tc>
        <w:tc>
          <w:tcPr>
            <w:tcW w:type="dxa" w:w="7200"/>
            <w:tcMar>
              <w:top w:w="55" w:type="dxa"/>
              <w:start w:w="65" w:type="dxa"/>
              <w:bottom w:w="55" w:type="dxa"/>
              <w:end w:w="65" w:type="dxa"/>
            </w:tcMar>
            <w:vAlign w:val="top"/>
          </w:tcPr>
          <w:p>
            <w:pPr>
              <w:spacing w:after="0"/>
            </w:pPr>
            <w:r>
              <w:rPr>
                <w:sz w:val="14"/>
              </w:rPr>
              <w:t>Profiling shows scheduler CPU/queue contention is a real bottleneck; otherwise keep it in Python.</w:t>
            </w:r>
          </w:p>
        </w:tc>
      </w:tr>
      <w:tr>
        <w:trPr>
          <w:cantSplit/>
        </w:trPr>
        <w:tc>
          <w:tcPr>
            <w:tcW w:type="dxa" w:w="2880"/>
            <w:tcMar>
              <w:top w:w="55" w:type="dxa"/>
              <w:start w:w="65" w:type="dxa"/>
              <w:bottom w:w="55" w:type="dxa"/>
              <w:end w:w="65" w:type="dxa"/>
            </w:tcMar>
            <w:vAlign w:val="top"/>
          </w:tcPr>
          <w:p>
            <w:pPr>
              <w:spacing w:after="0"/>
            </w:pPr>
            <w:r>
              <w:rPr>
                <w:sz w:val="14"/>
              </w:rPr>
              <w:t>Custom CUDA → existing kernel</w:t>
            </w:r>
          </w:p>
        </w:tc>
        <w:tc>
          <w:tcPr>
            <w:tcW w:type="dxa" w:w="7200"/>
            <w:tcMar>
              <w:top w:w="55" w:type="dxa"/>
              <w:start w:w="65" w:type="dxa"/>
              <w:bottom w:w="55" w:type="dxa"/>
              <w:end w:w="65" w:type="dxa"/>
            </w:tcMar>
            <w:vAlign w:val="top"/>
          </w:tcPr>
          <w:p>
            <w:pPr>
              <w:spacing w:after="0"/>
            </w:pPr>
            <w:r>
              <w:rPr>
                <w:sz w:val="14"/>
              </w:rPr>
              <w:t>Custom implementation fails to beat or materially differentiate the maintained baseline on target hardware.</w:t>
            </w:r>
          </w:p>
        </w:tc>
      </w:tr>
    </w:tbl>
    <w:p>
      <w:pPr>
        <w:spacing w:after="0"/>
      </w:pPr>
    </w:p>
    <w:p>
      <w:pPr>
        <w:pStyle w:val="Heading1"/>
      </w:pPr>
      <w:r>
        <w:t>14. Interview-defense question bank</w:t>
      </w:r>
    </w:p>
    <w:tbl>
      <w:tblPr>
        <w:tblStyle w:val="TableGrid"/>
        <w:tblW w:type="auto" w:w="0"/>
        <w:jc w:val="center"/>
        <w:tblLook w:firstColumn="1" w:firstRow="1" w:lastColumn="0" w:lastRow="0" w:noHBand="0" w:noVBand="1" w:val="04A0"/>
      </w:tblPr>
      <w:tblGrid>
        <w:gridCol w:w="5083"/>
        <w:gridCol w:w="5083"/>
      </w:tblGrid>
      <w:tr>
        <w:trPr>
          <w:cantSplit/>
        </w:trPr>
        <w:tc>
          <w:tcPr>
            <w:tcW w:type="dxa" w:w="3672"/>
            <w:shd w:fill="16324F"/>
            <w:vAlign w:val="center"/>
            <w:tcMar>
              <w:top w:w="70" w:type="dxa"/>
              <w:start w:w="70" w:type="dxa"/>
              <w:bottom w:w="70" w:type="dxa"/>
              <w:end w:w="70" w:type="dxa"/>
            </w:tcMar>
          </w:tcPr>
          <w:p>
            <w:pPr>
              <w:jc w:val="center"/>
            </w:pPr>
            <w:r>
              <w:rPr>
                <w:b/>
                <w:color w:val="FFFFFF"/>
                <w:sz w:val="14"/>
              </w:rPr>
              <w:t>Question an interviewer should be able to ask</w:t>
            </w:r>
          </w:p>
        </w:tc>
        <w:tc>
          <w:tcPr>
            <w:tcW w:type="dxa" w:w="6408"/>
            <w:shd w:fill="16324F"/>
            <w:vAlign w:val="center"/>
            <w:tcMar>
              <w:top w:w="70" w:type="dxa"/>
              <w:start w:w="70" w:type="dxa"/>
              <w:bottom w:w="70" w:type="dxa"/>
              <w:end w:w="70" w:type="dxa"/>
            </w:tcMar>
          </w:tcPr>
          <w:p>
            <w:pPr>
              <w:jc w:val="center"/>
            </w:pPr>
            <w:r>
              <w:rPr>
                <w:b/>
                <w:color w:val="FFFFFF"/>
                <w:sz w:val="14"/>
              </w:rPr>
              <w:t>Evidence you should have</w:t>
            </w:r>
          </w:p>
        </w:tc>
      </w:tr>
      <w:tr>
        <w:trPr>
          <w:cantSplit/>
        </w:trPr>
        <w:tc>
          <w:tcPr>
            <w:tcW w:type="dxa" w:w="3672"/>
            <w:tcMar>
              <w:top w:w="55" w:type="dxa"/>
              <w:start w:w="65" w:type="dxa"/>
              <w:bottom w:w="55" w:type="dxa"/>
              <w:end w:w="65" w:type="dxa"/>
            </w:tcMar>
            <w:vAlign w:val="top"/>
          </w:tcPr>
          <w:p>
            <w:pPr>
              <w:spacing w:after="0"/>
            </w:pPr>
            <w:r>
              <w:rPr>
                <w:sz w:val="14"/>
              </w:rPr>
              <w:t>Why Qdrant and not pgvector?</w:t>
            </w:r>
          </w:p>
        </w:tc>
        <w:tc>
          <w:tcPr>
            <w:tcW w:type="dxa" w:w="6408"/>
            <w:tcMar>
              <w:top w:w="55" w:type="dxa"/>
              <w:start w:w="65" w:type="dxa"/>
              <w:bottom w:w="55" w:type="dxa"/>
              <w:end w:w="65" w:type="dxa"/>
            </w:tcMar>
            <w:vAlign w:val="top"/>
          </w:tcPr>
          <w:p>
            <w:pPr>
              <w:spacing w:after="0"/>
            </w:pPr>
            <w:r>
              <w:rPr>
                <w:sz w:val="14"/>
              </w:rPr>
              <w:t>ADR + actual quality/latency/memory benchmark on your corpus; decision can be reversed.</w:t>
            </w:r>
          </w:p>
        </w:tc>
      </w:tr>
      <w:tr>
        <w:trPr>
          <w:cantSplit/>
        </w:trPr>
        <w:tc>
          <w:tcPr>
            <w:tcW w:type="dxa" w:w="3672"/>
            <w:tcMar>
              <w:top w:w="55" w:type="dxa"/>
              <w:start w:w="65" w:type="dxa"/>
              <w:bottom w:w="55" w:type="dxa"/>
              <w:end w:w="65" w:type="dxa"/>
            </w:tcMar>
            <w:vAlign w:val="top"/>
          </w:tcPr>
          <w:p>
            <w:pPr>
              <w:spacing w:after="0"/>
            </w:pPr>
            <w:r>
              <w:rPr>
                <w:sz w:val="14"/>
              </w:rPr>
              <w:t>Why Temporal? Why not LangGraph?</w:t>
            </w:r>
          </w:p>
        </w:tc>
        <w:tc>
          <w:tcPr>
            <w:tcW w:type="dxa" w:w="6408"/>
            <w:tcMar>
              <w:top w:w="55" w:type="dxa"/>
              <w:start w:w="65" w:type="dxa"/>
              <w:bottom w:w="55" w:type="dxa"/>
              <w:end w:w="65" w:type="dxa"/>
            </w:tcMar>
            <w:vAlign w:val="top"/>
          </w:tcPr>
          <w:p>
            <w:pPr>
              <w:spacing w:after="0"/>
            </w:pPr>
            <w:r>
              <w:rPr>
                <w:sz w:val="14"/>
              </w:rPr>
              <w:t>Failure model, durable-execution test, explanation of workflow truth vs agent-thread persistence.</w:t>
            </w:r>
          </w:p>
        </w:tc>
      </w:tr>
      <w:tr>
        <w:trPr>
          <w:cantSplit/>
        </w:trPr>
        <w:tc>
          <w:tcPr>
            <w:tcW w:type="dxa" w:w="3672"/>
            <w:tcMar>
              <w:top w:w="55" w:type="dxa"/>
              <w:start w:w="65" w:type="dxa"/>
              <w:bottom w:w="55" w:type="dxa"/>
              <w:end w:w="65" w:type="dxa"/>
            </w:tcMar>
            <w:vAlign w:val="top"/>
          </w:tcPr>
          <w:p>
            <w:pPr>
              <w:spacing w:after="0"/>
            </w:pPr>
            <w:r>
              <w:rPr>
                <w:sz w:val="14"/>
              </w:rPr>
              <w:t>Why is this multi-agent at all?</w:t>
            </w:r>
          </w:p>
        </w:tc>
        <w:tc>
          <w:tcPr>
            <w:tcW w:type="dxa" w:w="6408"/>
            <w:tcMar>
              <w:top w:w="55" w:type="dxa"/>
              <w:start w:w="65" w:type="dxa"/>
              <w:bottom w:w="55" w:type="dxa"/>
              <w:end w:w="65" w:type="dxa"/>
            </w:tcMar>
            <w:vAlign w:val="top"/>
          </w:tcPr>
          <w:p>
            <w:pPr>
              <w:spacing w:after="0"/>
            </w:pPr>
            <w:r>
              <w:rPr>
                <w:sz w:val="14"/>
              </w:rPr>
              <w:t>Measured reason for role specialization/fan-out; show the monolithic-agent baseline.</w:t>
            </w:r>
          </w:p>
        </w:tc>
      </w:tr>
      <w:tr>
        <w:trPr>
          <w:cantSplit/>
        </w:trPr>
        <w:tc>
          <w:tcPr>
            <w:tcW w:type="dxa" w:w="3672"/>
            <w:tcMar>
              <w:top w:w="55" w:type="dxa"/>
              <w:start w:w="65" w:type="dxa"/>
              <w:bottom w:w="55" w:type="dxa"/>
              <w:end w:w="65" w:type="dxa"/>
            </w:tcMar>
            <w:vAlign w:val="top"/>
          </w:tcPr>
          <w:p>
            <w:pPr>
              <w:spacing w:after="0"/>
            </w:pPr>
            <w:r>
              <w:rPr>
                <w:sz w:val="14"/>
              </w:rPr>
              <w:t>Why MCP instead of direct calls?</w:t>
            </w:r>
          </w:p>
        </w:tc>
        <w:tc>
          <w:tcPr>
            <w:tcW w:type="dxa" w:w="6408"/>
            <w:tcMar>
              <w:top w:w="55" w:type="dxa"/>
              <w:start w:w="65" w:type="dxa"/>
              <w:bottom w:w="55" w:type="dxa"/>
              <w:end w:w="65" w:type="dxa"/>
            </w:tcMar>
            <w:vAlign w:val="top"/>
          </w:tcPr>
          <w:p>
            <w:pPr>
              <w:spacing w:after="0"/>
            </w:pPr>
            <w:r>
              <w:rPr>
                <w:sz w:val="14"/>
              </w:rPr>
              <w:t>Only used across capability boundaries where protocol interoperability / independent service lifecycle matters.</w:t>
            </w:r>
          </w:p>
        </w:tc>
      </w:tr>
      <w:tr>
        <w:trPr>
          <w:cantSplit/>
        </w:trPr>
        <w:tc>
          <w:tcPr>
            <w:tcW w:type="dxa" w:w="3672"/>
            <w:tcMar>
              <w:top w:w="55" w:type="dxa"/>
              <w:start w:w="65" w:type="dxa"/>
              <w:bottom w:w="55" w:type="dxa"/>
              <w:end w:w="65" w:type="dxa"/>
            </w:tcMar>
            <w:vAlign w:val="top"/>
          </w:tcPr>
          <w:p>
            <w:pPr>
              <w:spacing w:after="0"/>
            </w:pPr>
            <w:r>
              <w:rPr>
                <w:sz w:val="14"/>
              </w:rPr>
              <w:t>Why Skills?</w:t>
            </w:r>
          </w:p>
        </w:tc>
        <w:tc>
          <w:tcPr>
            <w:tcW w:type="dxa" w:w="6408"/>
            <w:tcMar>
              <w:top w:w="55" w:type="dxa"/>
              <w:start w:w="65" w:type="dxa"/>
              <w:bottom w:w="55" w:type="dxa"/>
              <w:end w:w="65" w:type="dxa"/>
            </w:tcMar>
            <w:vAlign w:val="top"/>
          </w:tcPr>
          <w:p>
            <w:pPr>
              <w:spacing w:after="0"/>
            </w:pPr>
            <w:r>
              <w:rPr>
                <w:sz w:val="14"/>
              </w:rPr>
              <w:t>Activation precision/recall and context-token reduction versus always-loading procedures.</w:t>
            </w:r>
          </w:p>
        </w:tc>
      </w:tr>
      <w:tr>
        <w:trPr>
          <w:cantSplit/>
        </w:trPr>
        <w:tc>
          <w:tcPr>
            <w:tcW w:type="dxa" w:w="3672"/>
            <w:tcMar>
              <w:top w:w="55" w:type="dxa"/>
              <w:start w:w="65" w:type="dxa"/>
              <w:bottom w:w="55" w:type="dxa"/>
              <w:end w:w="65" w:type="dxa"/>
            </w:tcMar>
            <w:vAlign w:val="top"/>
          </w:tcPr>
          <w:p>
            <w:pPr>
              <w:spacing w:after="0"/>
            </w:pPr>
            <w:r>
              <w:rPr>
                <w:sz w:val="14"/>
              </w:rPr>
              <w:t>Why not A2A?</w:t>
            </w:r>
          </w:p>
        </w:tc>
        <w:tc>
          <w:tcPr>
            <w:tcW w:type="dxa" w:w="6408"/>
            <w:tcMar>
              <w:top w:w="55" w:type="dxa"/>
              <w:start w:w="65" w:type="dxa"/>
              <w:bottom w:w="55" w:type="dxa"/>
              <w:end w:w="65" w:type="dxa"/>
            </w:tcMar>
            <w:vAlign w:val="top"/>
          </w:tcPr>
          <w:p>
            <w:pPr>
              <w:spacing w:after="0"/>
            </w:pPr>
            <w:r>
              <w:rPr>
                <w:sz w:val="14"/>
              </w:rPr>
              <w:t>Because internal logical roles are not independent agents. Show criteria that would trigger adoption.</w:t>
            </w:r>
          </w:p>
        </w:tc>
      </w:tr>
      <w:tr>
        <w:trPr>
          <w:cantSplit/>
        </w:trPr>
        <w:tc>
          <w:tcPr>
            <w:tcW w:type="dxa" w:w="3672"/>
            <w:tcMar>
              <w:top w:w="55" w:type="dxa"/>
              <w:start w:w="65" w:type="dxa"/>
              <w:bottom w:w="55" w:type="dxa"/>
              <w:end w:w="65" w:type="dxa"/>
            </w:tcMar>
            <w:vAlign w:val="top"/>
          </w:tcPr>
          <w:p>
            <w:pPr>
              <w:spacing w:after="0"/>
            </w:pPr>
            <w:r>
              <w:rPr>
                <w:sz w:val="14"/>
              </w:rPr>
              <w:t>What does the CUDA kernel accelerate?</w:t>
            </w:r>
          </w:p>
        </w:tc>
        <w:tc>
          <w:tcPr>
            <w:tcW w:type="dxa" w:w="6408"/>
            <w:tcMar>
              <w:top w:w="55" w:type="dxa"/>
              <w:start w:w="65" w:type="dxa"/>
              <w:bottom w:w="55" w:type="dxa"/>
              <w:end w:w="65" w:type="dxa"/>
            </w:tcMar>
            <w:vAlign w:val="top"/>
          </w:tcPr>
          <w:p>
            <w:pPr>
              <w:spacing w:after="0"/>
            </w:pPr>
            <w:r>
              <w:rPr>
                <w:sz w:val="14"/>
              </w:rPr>
              <w:t>Flame graph / profile showing reranking cost; microbenchmark + end-to-end impact.</w:t>
            </w:r>
          </w:p>
        </w:tc>
      </w:tr>
      <w:tr>
        <w:trPr>
          <w:cantSplit/>
        </w:trPr>
        <w:tc>
          <w:tcPr>
            <w:tcW w:type="dxa" w:w="3672"/>
            <w:tcMar>
              <w:top w:w="55" w:type="dxa"/>
              <w:start w:w="65" w:type="dxa"/>
              <w:bottom w:w="55" w:type="dxa"/>
              <w:end w:w="65" w:type="dxa"/>
            </w:tcMar>
            <w:vAlign w:val="top"/>
          </w:tcPr>
          <w:p>
            <w:pPr>
              <w:spacing w:after="0"/>
            </w:pPr>
            <w:r>
              <w:rPr>
                <w:sz w:val="14"/>
              </w:rPr>
              <w:t>What happens if a worker dies mid-tool-call?</w:t>
            </w:r>
          </w:p>
        </w:tc>
        <w:tc>
          <w:tcPr>
            <w:tcW w:type="dxa" w:w="6408"/>
            <w:tcMar>
              <w:top w:w="55" w:type="dxa"/>
              <w:start w:w="65" w:type="dxa"/>
              <w:bottom w:w="55" w:type="dxa"/>
              <w:end w:w="65" w:type="dxa"/>
            </w:tcMar>
            <w:vAlign w:val="top"/>
          </w:tcPr>
          <w:p>
            <w:pPr>
              <w:spacing w:after="0"/>
            </w:pPr>
            <w:r>
              <w:rPr>
                <w:sz w:val="14"/>
              </w:rPr>
              <w:t>Replay/idempotency demo and trace, including duplicate-effect prevention.</w:t>
            </w:r>
          </w:p>
        </w:tc>
      </w:tr>
      <w:tr>
        <w:trPr>
          <w:cantSplit/>
        </w:trPr>
        <w:tc>
          <w:tcPr>
            <w:tcW w:type="dxa" w:w="3672"/>
            <w:tcMar>
              <w:top w:w="55" w:type="dxa"/>
              <w:start w:w="65" w:type="dxa"/>
              <w:bottom w:w="55" w:type="dxa"/>
              <w:end w:w="65" w:type="dxa"/>
            </w:tcMar>
            <w:vAlign w:val="top"/>
          </w:tcPr>
          <w:p>
            <w:pPr>
              <w:spacing w:after="0"/>
            </w:pPr>
            <w:r>
              <w:rPr>
                <w:sz w:val="14"/>
              </w:rPr>
              <w:t>How do you prevent prompt injection from escalating tool access?</w:t>
            </w:r>
          </w:p>
        </w:tc>
        <w:tc>
          <w:tcPr>
            <w:tcW w:type="dxa" w:w="6408"/>
            <w:tcMar>
              <w:top w:w="55" w:type="dxa"/>
              <w:start w:w="65" w:type="dxa"/>
              <w:bottom w:w="55" w:type="dxa"/>
              <w:end w:w="65" w:type="dxa"/>
            </w:tcMar>
            <w:vAlign w:val="top"/>
          </w:tcPr>
          <w:p>
            <w:pPr>
              <w:spacing w:after="0"/>
            </w:pPr>
            <w:r>
              <w:rPr>
                <w:sz w:val="14"/>
              </w:rPr>
              <w:t>Capability minimization, typed schemas, policy gates, tenant/auth context, human approval for high-risk actions.</w:t>
            </w:r>
          </w:p>
        </w:tc>
      </w:tr>
      <w:tr>
        <w:trPr>
          <w:cantSplit/>
        </w:trPr>
        <w:tc>
          <w:tcPr>
            <w:tcW w:type="dxa" w:w="3672"/>
            <w:tcMar>
              <w:top w:w="55" w:type="dxa"/>
              <w:start w:w="65" w:type="dxa"/>
              <w:bottom w:w="55" w:type="dxa"/>
              <w:end w:w="65" w:type="dxa"/>
            </w:tcMar>
            <w:vAlign w:val="top"/>
          </w:tcPr>
          <w:p>
            <w:pPr>
              <w:spacing w:after="0"/>
            </w:pPr>
            <w:r>
              <w:rPr>
                <w:sz w:val="14"/>
              </w:rPr>
              <w:t>How do you know context engineering improved anything?</w:t>
            </w:r>
          </w:p>
        </w:tc>
        <w:tc>
          <w:tcPr>
            <w:tcW w:type="dxa" w:w="6408"/>
            <w:tcMar>
              <w:top w:w="55" w:type="dxa"/>
              <w:start w:w="65" w:type="dxa"/>
              <w:bottom w:w="55" w:type="dxa"/>
              <w:end w:w="65" w:type="dxa"/>
            </w:tcMar>
            <w:vAlign w:val="top"/>
          </w:tcPr>
          <w:p>
            <w:pPr>
              <w:spacing w:after="0"/>
            </w:pPr>
            <w:r>
              <w:rPr>
                <w:sz w:val="14"/>
              </w:rPr>
              <w:t>Ablation: same model and task, different compiler policy; quality/tokens/latency/cost results.</w:t>
            </w:r>
          </w:p>
        </w:tc>
      </w:tr>
      <w:tr>
        <w:trPr>
          <w:cantSplit/>
        </w:trPr>
        <w:tc>
          <w:tcPr>
            <w:tcW w:type="dxa" w:w="3672"/>
            <w:tcMar>
              <w:top w:w="55" w:type="dxa"/>
              <w:start w:w="65" w:type="dxa"/>
              <w:bottom w:w="55" w:type="dxa"/>
              <w:end w:w="65" w:type="dxa"/>
            </w:tcMar>
            <w:vAlign w:val="top"/>
          </w:tcPr>
          <w:p>
            <w:pPr>
              <w:spacing w:after="0"/>
            </w:pPr>
            <w:r>
              <w:rPr>
                <w:sz w:val="14"/>
              </w:rPr>
              <w:t>How does it scale beyond one GPU?</w:t>
            </w:r>
          </w:p>
        </w:tc>
        <w:tc>
          <w:tcPr>
            <w:tcW w:type="dxa" w:w="6408"/>
            <w:tcMar>
              <w:top w:w="55" w:type="dxa"/>
              <w:start w:w="65" w:type="dxa"/>
              <w:bottom w:w="55" w:type="dxa"/>
              <w:end w:w="65" w:type="dxa"/>
            </w:tcMar>
            <w:vAlign w:val="top"/>
          </w:tcPr>
          <w:p>
            <w:pPr>
              <w:spacing w:after="0"/>
            </w:pPr>
            <w:r>
              <w:rPr>
                <w:sz w:val="14"/>
              </w:rPr>
              <w:t>Control/data-plane boundaries, stateless services, task queues, model provider interface; cloud multi-replica experiment without pretending to own a GPU cluster.</w:t>
            </w:r>
          </w:p>
        </w:tc>
      </w:tr>
      <w:tr>
        <w:trPr>
          <w:cantSplit/>
        </w:trPr>
        <w:tc>
          <w:tcPr>
            <w:tcW w:type="dxa" w:w="3672"/>
            <w:tcMar>
              <w:top w:w="55" w:type="dxa"/>
              <w:start w:w="65" w:type="dxa"/>
              <w:bottom w:w="55" w:type="dxa"/>
              <w:end w:w="65" w:type="dxa"/>
            </w:tcMar>
            <w:vAlign w:val="top"/>
          </w:tcPr>
          <w:p>
            <w:pPr>
              <w:spacing w:after="0"/>
            </w:pPr>
            <w:r>
              <w:rPr>
                <w:sz w:val="14"/>
              </w:rPr>
              <w:t>What did you choose not to build?</w:t>
            </w:r>
          </w:p>
        </w:tc>
        <w:tc>
          <w:tcPr>
            <w:tcW w:type="dxa" w:w="6408"/>
            <w:tcMar>
              <w:top w:w="55" w:type="dxa"/>
              <w:start w:w="65" w:type="dxa"/>
              <w:bottom w:w="55" w:type="dxa"/>
              <w:end w:w="65" w:type="dxa"/>
            </w:tcMar>
            <w:vAlign w:val="top"/>
          </w:tcPr>
          <w:p>
            <w:pPr>
              <w:spacing w:after="0"/>
            </w:pPr>
            <w:r>
              <w:rPr>
                <w:sz w:val="14"/>
              </w:rPr>
              <w:t>Explicit scope/ADR decisions; demonstrate ability to reject unnecessary infrastructure.</w:t>
            </w:r>
          </w:p>
        </w:tc>
      </w:tr>
    </w:tbl>
    <w:p>
      <w:pPr>
        <w:spacing w:after="0"/>
      </w:pPr>
    </w:p>
    <w:p>
      <w:pPr>
        <w:pStyle w:val="Heading1"/>
      </w:pPr>
      <w:r>
        <w:t>15. Risks and project-killers</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shd w:fill="16324F"/>
            <w:vAlign w:val="center"/>
            <w:tcMar>
              <w:top w:w="70" w:type="dxa"/>
              <w:start w:w="70" w:type="dxa"/>
              <w:bottom w:w="70" w:type="dxa"/>
              <w:end w:w="70" w:type="dxa"/>
            </w:tcMar>
          </w:tcPr>
          <w:p>
            <w:pPr>
              <w:jc w:val="center"/>
            </w:pPr>
            <w:r>
              <w:rPr>
                <w:b/>
                <w:color w:val="FFFFFF"/>
                <w:sz w:val="15"/>
              </w:rPr>
              <w:t>Risk</w:t>
            </w:r>
          </w:p>
        </w:tc>
        <w:tc>
          <w:tcPr>
            <w:tcW w:type="dxa" w:w="7704"/>
            <w:shd w:fill="16324F"/>
            <w:vAlign w:val="center"/>
            <w:tcMar>
              <w:top w:w="70" w:type="dxa"/>
              <w:start w:w="70" w:type="dxa"/>
              <w:bottom w:w="70" w:type="dxa"/>
              <w:end w:w="70" w:type="dxa"/>
            </w:tcMar>
          </w:tcPr>
          <w:p>
            <w:pPr>
              <w:jc w:val="center"/>
            </w:pPr>
            <w:r>
              <w:rPr>
                <w:b/>
                <w:color w:val="FFFFFF"/>
                <w:sz w:val="15"/>
              </w:rPr>
              <w:t>Mitigation</w:t>
            </w:r>
          </w:p>
        </w:tc>
      </w:tr>
      <w:tr>
        <w:trPr>
          <w:cantSplit/>
        </w:trPr>
        <w:tc>
          <w:tcPr>
            <w:tcW w:type="dxa" w:w="2376"/>
            <w:tcMar>
              <w:top w:w="55" w:type="dxa"/>
              <w:start w:w="65" w:type="dxa"/>
              <w:bottom w:w="55" w:type="dxa"/>
              <w:end w:w="65" w:type="dxa"/>
            </w:tcMar>
            <w:vAlign w:val="top"/>
          </w:tcPr>
          <w:p>
            <w:pPr>
              <w:spacing w:after="0"/>
            </w:pPr>
            <w:r>
              <w:rPr>
                <w:sz w:val="15"/>
              </w:rPr>
              <w:t>Scope explosion</w:t>
            </w:r>
          </w:p>
        </w:tc>
        <w:tc>
          <w:tcPr>
            <w:tcW w:type="dxa" w:w="7704"/>
            <w:tcMar>
              <w:top w:w="55" w:type="dxa"/>
              <w:start w:w="65" w:type="dxa"/>
              <w:bottom w:w="55" w:type="dxa"/>
              <w:end w:w="65" w:type="dxa"/>
            </w:tcMar>
            <w:vAlign w:val="top"/>
          </w:tcPr>
          <w:p>
            <w:pPr>
              <w:spacing w:after="0"/>
            </w:pPr>
            <w:r>
              <w:rPr>
                <w:sz w:val="15"/>
              </w:rPr>
              <w:t>One flagship; no technology is added without a measured requirement. Maintain a ‘deferred’ list.</w:t>
            </w:r>
          </w:p>
        </w:tc>
      </w:tr>
      <w:tr>
        <w:trPr>
          <w:cantSplit/>
        </w:trPr>
        <w:tc>
          <w:tcPr>
            <w:tcW w:type="dxa" w:w="2376"/>
            <w:tcMar>
              <w:top w:w="55" w:type="dxa"/>
              <w:start w:w="65" w:type="dxa"/>
              <w:bottom w:w="55" w:type="dxa"/>
              <w:end w:w="65" w:type="dxa"/>
            </w:tcMar>
            <w:vAlign w:val="top"/>
          </w:tcPr>
          <w:p>
            <w:pPr>
              <w:spacing w:after="0"/>
            </w:pPr>
            <w:r>
              <w:rPr>
                <w:sz w:val="15"/>
              </w:rPr>
              <w:t>Local RAM exhaustion</w:t>
            </w:r>
          </w:p>
        </w:tc>
        <w:tc>
          <w:tcPr>
            <w:tcW w:type="dxa" w:w="7704"/>
            <w:tcMar>
              <w:top w:w="55" w:type="dxa"/>
              <w:start w:w="65" w:type="dxa"/>
              <w:bottom w:w="55" w:type="dxa"/>
              <w:end w:w="65" w:type="dxa"/>
            </w:tcMar>
            <w:vAlign w:val="top"/>
          </w:tcPr>
          <w:p>
            <w:pPr>
              <w:spacing w:after="0"/>
            </w:pPr>
            <w:r>
              <w:rPr>
                <w:sz w:val="15"/>
              </w:rPr>
              <w:t>Run profiles; cloud burst for multi-replica tests; telemetry stacks started only for relevant experiments.</w:t>
            </w:r>
          </w:p>
        </w:tc>
      </w:tr>
      <w:tr>
        <w:trPr>
          <w:cantSplit/>
        </w:trPr>
        <w:tc>
          <w:tcPr>
            <w:tcW w:type="dxa" w:w="2376"/>
            <w:tcMar>
              <w:top w:w="55" w:type="dxa"/>
              <w:start w:w="65" w:type="dxa"/>
              <w:bottom w:w="55" w:type="dxa"/>
              <w:end w:w="65" w:type="dxa"/>
            </w:tcMar>
            <w:vAlign w:val="top"/>
          </w:tcPr>
          <w:p>
            <w:pPr>
              <w:spacing w:after="0"/>
            </w:pPr>
            <w:r>
              <w:rPr>
                <w:sz w:val="15"/>
              </w:rPr>
              <w:t>GPU too small for model ambition</w:t>
            </w:r>
          </w:p>
        </w:tc>
        <w:tc>
          <w:tcPr>
            <w:tcW w:type="dxa" w:w="7704"/>
            <w:tcMar>
              <w:top w:w="55" w:type="dxa"/>
              <w:start w:w="65" w:type="dxa"/>
              <w:bottom w:w="55" w:type="dxa"/>
              <w:end w:w="65" w:type="dxa"/>
            </w:tcMar>
            <w:vAlign w:val="top"/>
          </w:tcPr>
          <w:p>
            <w:pPr>
              <w:spacing w:after="0"/>
            </w:pPr>
            <w:r>
              <w:rPr>
                <w:sz w:val="15"/>
              </w:rPr>
              <w:t>Use small local models / stub servers; keep runtime model-agnostic; spend cloud GPU only on specific benchmarks.</w:t>
            </w:r>
          </w:p>
        </w:tc>
      </w:tr>
      <w:tr>
        <w:trPr>
          <w:cantSplit/>
        </w:trPr>
        <w:tc>
          <w:tcPr>
            <w:tcW w:type="dxa" w:w="2376"/>
            <w:tcMar>
              <w:top w:w="55" w:type="dxa"/>
              <w:start w:w="65" w:type="dxa"/>
              <w:bottom w:w="55" w:type="dxa"/>
              <w:end w:w="65" w:type="dxa"/>
            </w:tcMar>
            <w:vAlign w:val="top"/>
          </w:tcPr>
          <w:p>
            <w:pPr>
              <w:spacing w:after="0"/>
            </w:pPr>
            <w:r>
              <w:rPr>
                <w:sz w:val="15"/>
              </w:rPr>
              <w:t>‘Production-grade’ claim becomes cosmetic</w:t>
            </w:r>
          </w:p>
        </w:tc>
        <w:tc>
          <w:tcPr>
            <w:tcW w:type="dxa" w:w="7704"/>
            <w:tcMar>
              <w:top w:w="55" w:type="dxa"/>
              <w:start w:w="65" w:type="dxa"/>
              <w:bottom w:w="55" w:type="dxa"/>
              <w:end w:w="65" w:type="dxa"/>
            </w:tcMar>
            <w:vAlign w:val="top"/>
          </w:tcPr>
          <w:p>
            <w:pPr>
              <w:spacing w:after="0"/>
            </w:pPr>
            <w:r>
              <w:rPr>
                <w:sz w:val="15"/>
              </w:rPr>
              <w:t>Require fault-injection demos, load tests, migrations, rollback, security controls, and ADRs before using the phrase.</w:t>
            </w:r>
          </w:p>
        </w:tc>
      </w:tr>
      <w:tr>
        <w:trPr>
          <w:cantSplit/>
        </w:trPr>
        <w:tc>
          <w:tcPr>
            <w:tcW w:type="dxa" w:w="2376"/>
            <w:tcMar>
              <w:top w:w="55" w:type="dxa"/>
              <w:start w:w="65" w:type="dxa"/>
              <w:bottom w:w="55" w:type="dxa"/>
              <w:end w:w="65" w:type="dxa"/>
            </w:tcMar>
            <w:vAlign w:val="top"/>
          </w:tcPr>
          <w:p>
            <w:pPr>
              <w:spacing w:after="0"/>
            </w:pPr>
            <w:r>
              <w:rPr>
                <w:sz w:val="15"/>
              </w:rPr>
              <w:t>Agent quality too stochastic</w:t>
            </w:r>
          </w:p>
        </w:tc>
        <w:tc>
          <w:tcPr>
            <w:tcW w:type="dxa" w:w="7704"/>
            <w:tcMar>
              <w:top w:w="55" w:type="dxa"/>
              <w:start w:w="65" w:type="dxa"/>
              <w:bottom w:w="55" w:type="dxa"/>
              <w:end w:w="65" w:type="dxa"/>
            </w:tcMar>
            <w:vAlign w:val="top"/>
          </w:tcPr>
          <w:p>
            <w:pPr>
              <w:spacing w:after="0"/>
            </w:pPr>
            <w:r>
              <w:rPr>
                <w:sz w:val="15"/>
              </w:rPr>
              <w:t>Layered evaluation; deterministic retrieval/scheduler/kernel benchmarks; repeated end-to-end trials and confidence intervals.</w:t>
            </w:r>
          </w:p>
        </w:tc>
      </w:tr>
      <w:tr>
        <w:trPr>
          <w:cantSplit/>
        </w:trPr>
        <w:tc>
          <w:tcPr>
            <w:tcW w:type="dxa" w:w="2376"/>
            <w:tcMar>
              <w:top w:w="55" w:type="dxa"/>
              <w:start w:w="65" w:type="dxa"/>
              <w:bottom w:w="55" w:type="dxa"/>
              <w:end w:w="65" w:type="dxa"/>
            </w:tcMar>
            <w:vAlign w:val="top"/>
          </w:tcPr>
          <w:p>
            <w:pPr>
              <w:spacing w:after="0"/>
            </w:pPr>
            <w:r>
              <w:rPr>
                <w:sz w:val="15"/>
              </w:rPr>
              <w:t>Framework hides implementation</w:t>
            </w:r>
          </w:p>
        </w:tc>
        <w:tc>
          <w:tcPr>
            <w:tcW w:type="dxa" w:w="7704"/>
            <w:tcMar>
              <w:top w:w="55" w:type="dxa"/>
              <w:start w:w="65" w:type="dxa"/>
              <w:bottom w:w="55" w:type="dxa"/>
              <w:end w:w="65" w:type="dxa"/>
            </w:tcMar>
            <w:vAlign w:val="top"/>
          </w:tcPr>
          <w:p>
            <w:pPr>
              <w:spacing w:after="0"/>
            </w:pPr>
            <w:r>
              <w:rPr>
                <w:sz w:val="15"/>
              </w:rPr>
              <w:t>Keep the core Context IR, compiler algorithms, scheduler policies, and CUDA code project-owned; frameworks solve commodity durability/serving concerns.</w:t>
            </w:r>
          </w:p>
        </w:tc>
      </w:tr>
      <w:tr>
        <w:trPr>
          <w:cantSplit/>
        </w:trPr>
        <w:tc>
          <w:tcPr>
            <w:tcW w:type="dxa" w:w="2376"/>
            <w:tcMar>
              <w:top w:w="55" w:type="dxa"/>
              <w:start w:w="65" w:type="dxa"/>
              <w:bottom w:w="55" w:type="dxa"/>
              <w:end w:w="65" w:type="dxa"/>
            </w:tcMar>
            <w:vAlign w:val="top"/>
          </w:tcPr>
          <w:p>
            <w:pPr>
              <w:spacing w:after="0"/>
            </w:pPr>
            <w:r>
              <w:rPr>
                <w:sz w:val="15"/>
              </w:rPr>
              <w:t>Novelty claim is overstated</w:t>
            </w:r>
          </w:p>
        </w:tc>
        <w:tc>
          <w:tcPr>
            <w:tcW w:type="dxa" w:w="7704"/>
            <w:tcMar>
              <w:top w:w="55" w:type="dxa"/>
              <w:start w:w="65" w:type="dxa"/>
              <w:bottom w:w="55" w:type="dxa"/>
              <w:end w:w="65" w:type="dxa"/>
            </w:tcMar>
            <w:vAlign w:val="top"/>
          </w:tcPr>
          <w:p>
            <w:pPr>
              <w:spacing w:after="0"/>
            </w:pPr>
            <w:r>
              <w:rPr>
                <w:sz w:val="15"/>
              </w:rPr>
              <w:t>Describe concrete contributions and measured differences; never claim nobody else has built it.</w:t>
            </w:r>
          </w:p>
        </w:tc>
      </w:tr>
    </w:tbl>
    <w:p>
      <w:pPr>
        <w:spacing w:after="0"/>
      </w:pPr>
    </w:p>
    <w:p>
      <w:pPr>
        <w:pStyle w:val="Heading1"/>
      </w:pPr>
      <w:r>
        <w:t>16. Immediate next steps</w:t>
      </w:r>
    </w:p>
    <w:p>
      <w:pPr>
        <w:spacing w:after="50"/>
        <w:ind w:left="288" w:hanging="230"/>
      </w:pPr>
      <w:r>
        <w:rPr>
          <w:rFonts w:ascii="Aptos" w:hAnsi="Aptos"/>
          <w:sz w:val="19"/>
        </w:rPr>
        <w:t>1. Freeze the flagship scope: ContextForge + ResearchOps workload + Chronos-lite scheduler + Sentinel-lite reliability tests.</w:t>
      </w:r>
    </w:p>
    <w:p>
      <w:pPr>
        <w:spacing w:after="50"/>
        <w:ind w:left="288" w:hanging="230"/>
      </w:pPr>
      <w:r>
        <w:rPr>
          <w:rFonts w:ascii="Aptos" w:hAnsi="Aptos"/>
          <w:sz w:val="19"/>
        </w:rPr>
        <w:t>2. Create the repo and ADR template before choosing more tools.</w:t>
      </w:r>
    </w:p>
    <w:p>
      <w:pPr>
        <w:spacing w:after="50"/>
        <w:ind w:left="288" w:hanging="230"/>
      </w:pPr>
      <w:r>
        <w:rPr>
          <w:rFonts w:ascii="Aptos" w:hAnsi="Aptos"/>
          <w:sz w:val="19"/>
        </w:rPr>
        <w:t>3. Implement a minimal typed ContextPackage and benchmark harness before implementing an agent loop.</w:t>
      </w:r>
    </w:p>
    <w:p>
      <w:pPr>
        <w:spacing w:after="50"/>
        <w:ind w:left="288" w:hanging="230"/>
      </w:pPr>
      <w:r>
        <w:rPr>
          <w:rFonts w:ascii="Aptos" w:hAnsi="Aptos"/>
          <w:sz w:val="19"/>
        </w:rPr>
        <w:t>4. Prepare a small reproducible corpus and retrieval benchmark. Start with pgvector and Qdrant side by side; do not finalize the ADR yet.</w:t>
      </w:r>
    </w:p>
    <w:p>
      <w:pPr>
        <w:spacing w:after="50"/>
        <w:ind w:left="288" w:hanging="230"/>
      </w:pPr>
      <w:r>
        <w:rPr>
          <w:rFonts w:ascii="Aptos" w:hAnsi="Aptos"/>
          <w:sz w:val="19"/>
        </w:rPr>
        <w:t>5. Build the first context-selection algorithms (top-k, MMR, greedy utility/token, small exact oracle).</w:t>
      </w:r>
    </w:p>
    <w:p>
      <w:pPr>
        <w:spacing w:after="50"/>
        <w:ind w:left="288" w:hanging="230"/>
      </w:pPr>
      <w:r>
        <w:rPr>
          <w:rFonts w:ascii="Aptos" w:hAnsi="Aptos"/>
          <w:sz w:val="19"/>
        </w:rPr>
        <w:t>6. Add a single model/provider interface and a stub model server so scheduling/reliability tests do not depend on expensive inference.</w:t>
      </w:r>
    </w:p>
    <w:p>
      <w:pPr>
        <w:spacing w:after="50"/>
        <w:ind w:left="288" w:hanging="230"/>
      </w:pPr>
      <w:r>
        <w:rPr>
          <w:rFonts w:ascii="Aptos" w:hAnsi="Aptos"/>
          <w:sz w:val="19"/>
        </w:rPr>
        <w:t>7. Add Temporal once a real multi-step durable workflow exists; test worker-kill recovery immediately.</w:t>
      </w:r>
    </w:p>
    <w:p>
      <w:pPr>
        <w:spacing w:after="50"/>
        <w:ind w:left="288" w:hanging="230"/>
      </w:pPr>
      <w:r>
        <w:rPr>
          <w:rFonts w:ascii="Aptos" w:hAnsi="Aptos"/>
          <w:sz w:val="19"/>
        </w:rPr>
        <w:t>8. Add MCP tools and Skills only after the compiler can select a context/capability surface.</w:t>
      </w:r>
    </w:p>
    <w:p>
      <w:pPr>
        <w:spacing w:after="50"/>
        <w:ind w:left="288" w:hanging="230"/>
      </w:pPr>
      <w:r>
        <w:rPr>
          <w:rFonts w:ascii="Aptos" w:hAnsi="Aptos"/>
          <w:sz w:val="19"/>
        </w:rPr>
        <w:t>9. Only after profiling the retrieval/rerank stage, implement the C++/CUDA kernel that accelerates the measured hot path.</w:t>
      </w:r>
    </w:p>
    <w:p>
      <w:pPr>
        <w:spacing w:after="50"/>
        <w:ind w:left="288" w:hanging="230"/>
      </w:pPr>
      <w:r>
        <w:rPr>
          <w:rFonts w:ascii="Aptos" w:hAnsi="Aptos"/>
          <w:sz w:val="19"/>
        </w:rPr>
        <w:t>10. Use Azure only when a milestone requires multi-replica or cloud-deployment evidence; destroy infrastructure after the benchmark.</w:t>
      </w:r>
    </w:p>
    <w:tbl>
      <w:tblPr>
        <w:tblW w:type="auto" w:w="0"/>
        <w:jc w:val="center"/>
        <w:tblLook w:firstColumn="1" w:firstRow="1" w:lastColumn="0" w:lastRow="0" w:noHBand="0" w:noVBand="1" w:val="04A0"/>
      </w:tblPr>
      <w:tblGrid>
        <w:gridCol w:w="10166"/>
      </w:tblGrid>
      <w:tr>
        <w:trPr>
          <w:cantSplit/>
        </w:trPr>
        <w:tc>
          <w:tcPr>
            <w:tcW w:type="dxa" w:w="10166"/>
            <w:shd w:fill="FFF4D6"/>
            <w:tcMar>
              <w:top w:w="90" w:type="dxa"/>
              <w:start w:w="120" w:type="dxa"/>
              <w:bottom w:w="90" w:type="dxa"/>
              <w:end w:w="120" w:type="dxa"/>
            </w:tcMar>
          </w:tcPr>
          <w:p>
            <w:r>
              <w:rPr>
                <w:b/>
              </w:rPr>
              <w:t xml:space="preserve">Next architectural decision  </w:t>
            </w:r>
            <w:r>
              <w:t>The first decision worth making in a follow-up session is not ‘which framework?’ It is the exact evaluation workload and ContextPackage schema. Those two choices determine whether every later architecture decision is measurable.</w:t>
            </w:r>
          </w:p>
        </w:tc>
      </w:tr>
    </w:tbl>
    <w:p>
      <w:pPr>
        <w:spacing w:after="0"/>
      </w:pPr>
    </w:p>
    <w:p>
      <w:pPr>
        <w:pStyle w:val="Heading1"/>
      </w:pPr>
      <w:r>
        <w:t>17. Compact context for another AI</w:t>
      </w:r>
    </w:p>
    <w:p>
      <w:r>
        <w:t>If this document is handed to another AI, the following paragraph is the minimum state it should preserve:</w:t>
      </w:r>
    </w:p>
    <w:tbl>
      <w:tblPr>
        <w:tblW w:type="auto" w:w="0"/>
        <w:jc w:val="center"/>
        <w:tblLook w:firstColumn="1" w:firstRow="1" w:lastColumn="0" w:lastRow="0" w:noHBand="0" w:noVBand="1" w:val="04A0"/>
      </w:tblPr>
      <w:tblGrid>
        <w:gridCol w:w="10166"/>
      </w:tblGrid>
      <w:tr>
        <w:trPr>
          <w:cantSplit/>
        </w:trPr>
        <w:tc>
          <w:tcPr>
            <w:tcW w:type="dxa" w:w="10166"/>
            <w:shd w:fill="E8F5ED"/>
            <w:tcMar>
              <w:top w:w="90" w:type="dxa"/>
              <w:start w:w="120" w:type="dxa"/>
              <w:bottom w:w="90" w:type="dxa"/>
              <w:end w:w="120" w:type="dxa"/>
            </w:tcMar>
          </w:tcPr>
          <w:p>
            <w:r>
              <w:rPr>
                <w:b/>
              </w:rPr>
              <w:t xml:space="preserve">State-transfer prompt  </w:t>
            </w:r>
            <w:r>
              <w:t>We are designing a flagship portfolio project called ContextForge for an AI Engineer / AI Infrastructure trajectory. It is a non-coding agent runtime and context compiler, not a chatbot. Core contributions: typed Context IR; budgeted context/tool/skill selection; hybrid retrieval + reranking; durable Temporal workflow; workflow-aware scheduler; MCP tool boundaries; Agent Skills; optional/deferred A2A; C++/CUDA late-interaction reranker; OTel + Langfuse observability; production/chaos/load evaluation. Hardware: Ryzen 9, RTX 4060, 16 GB RAM; Kaggle free allowance; about $30 Lightning AI; about $200 Azure education/free credit; AWS currently unavailable. Build one project, not three: absorb narrow Chronos scheduling and Sentinel reliability ideas into ContextForge. Every major tool choice must have an ADR, competitors, benchmark evidence, consequences, and a reversal trigger. Qdrant is only the default candidate; pgvector is the primary baseline. Cloud is for burst/distributed proof, not a dependency.</w:t>
            </w:r>
          </w:p>
        </w:tc>
      </w:tr>
    </w:tbl>
    <w:p>
      <w:pPr>
        <w:spacing w:after="0"/>
      </w:pPr>
    </w:p>
    <w:p>
      <w:pPr>
        <w:pStyle w:val="Heading1"/>
      </w:pPr>
      <w:r>
        <w:t>18. Source notes — current product/protocol facts checked 28 September 2026</w:t>
      </w:r>
    </w:p>
    <w:p>
      <w:pPr>
        <w:spacing w:after="40"/>
      </w:pPr>
      <w:r>
        <w:rPr>
          <w:b/>
        </w:rPr>
        <w:t>[R1] Qdrant — Hybrid and Multi-Stage Queries</w:t>
        <w:br/>
      </w:r>
      <w:r>
        <w:rPr>
          <w:color w:val="2E5EAA"/>
          <w:sz w:val="16"/>
        </w:rPr>
        <w:t>https://qdrant.tech/documentation/search/hybrid-queries/</w:t>
      </w:r>
    </w:p>
    <w:p>
      <w:pPr>
        <w:spacing w:after="40"/>
      </w:pPr>
      <w:r>
        <w:rPr>
          <w:b/>
        </w:rPr>
        <w:t>[R2] Qdrant — Distributed Deployment / sharding / replication</w:t>
        <w:br/>
      </w:r>
      <w:r>
        <w:rPr>
          <w:color w:val="2E5EAA"/>
          <w:sz w:val="16"/>
        </w:rPr>
        <w:t>https://qdrant.tech/documentation/scaling/distributed_deployment/</w:t>
      </w:r>
    </w:p>
    <w:p>
      <w:pPr>
        <w:spacing w:after="40"/>
      </w:pPr>
      <w:r>
        <w:rPr>
          <w:b/>
        </w:rPr>
        <w:t>[R3] Qdrant — Quantization (includes TurboQuant in current docs)</w:t>
        <w:br/>
      </w:r>
      <w:r>
        <w:rPr>
          <w:color w:val="2E5EAA"/>
          <w:sz w:val="16"/>
        </w:rPr>
        <w:t>https://qdrant.tech/documentation/manage-data/quantization/</w:t>
      </w:r>
    </w:p>
    <w:p>
      <w:pPr>
        <w:spacing w:after="40"/>
      </w:pPr>
      <w:r>
        <w:rPr>
          <w:b/>
        </w:rPr>
        <w:t>[R4] Qdrant — Multivectors / late interaction</w:t>
        <w:br/>
      </w:r>
      <w:r>
        <w:rPr>
          <w:color w:val="2E5EAA"/>
          <w:sz w:val="16"/>
        </w:rPr>
        <w:t>https://qdrant.tech/course/essentials/day-5/colbert-multivectors/</w:t>
      </w:r>
    </w:p>
    <w:p>
      <w:pPr>
        <w:spacing w:after="40"/>
      </w:pPr>
      <w:r>
        <w:rPr>
          <w:b/>
        </w:rPr>
        <w:t>[R5] pgvector — HNSW / IVFFlat README</w:t>
        <w:br/>
      </w:r>
      <w:r>
        <w:rPr>
          <w:color w:val="2E5EAA"/>
          <w:sz w:val="16"/>
        </w:rPr>
        <w:t>https://github.com/pgvector/pgvector/blob/master/README.md</w:t>
      </w:r>
    </w:p>
    <w:p>
      <w:pPr>
        <w:spacing w:after="40"/>
      </w:pPr>
      <w:r>
        <w:rPr>
          <w:b/>
        </w:rPr>
        <w:t>[R6] Weaviate — Hybrid search / replication</w:t>
        <w:br/>
      </w:r>
      <w:r>
        <w:rPr>
          <w:color w:val="2E5EAA"/>
          <w:sz w:val="16"/>
        </w:rPr>
        <w:t>https://docs.weaviate.io/weaviate/search/hybrid</w:t>
      </w:r>
    </w:p>
    <w:p>
      <w:pPr>
        <w:spacing w:after="40"/>
      </w:pPr>
      <w:r>
        <w:rPr>
          <w:b/>
        </w:rPr>
        <w:t>[R7] Milvus — Architecture overview</w:t>
        <w:br/>
      </w:r>
      <w:r>
        <w:rPr>
          <w:color w:val="2E5EAA"/>
          <w:sz w:val="16"/>
        </w:rPr>
        <w:t>https://milvus.io/docs/architecture_overview.md</w:t>
      </w:r>
    </w:p>
    <w:p>
      <w:pPr>
        <w:spacing w:after="40"/>
      </w:pPr>
      <w:r>
        <w:rPr>
          <w:b/>
        </w:rPr>
        <w:t>[R8] Chroma — Introduction / open-source retrieval features</w:t>
        <w:br/>
      </w:r>
      <w:r>
        <w:rPr>
          <w:color w:val="2E5EAA"/>
          <w:sz w:val="16"/>
        </w:rPr>
        <w:t>https://docs.trychroma.com/docs/overview/introduction</w:t>
      </w:r>
    </w:p>
    <w:p>
      <w:pPr>
        <w:spacing w:after="40"/>
      </w:pPr>
      <w:r>
        <w:rPr>
          <w:b/>
        </w:rPr>
        <w:t>[R9] Pinecone — Index/search overview</w:t>
        <w:br/>
      </w:r>
      <w:r>
        <w:rPr>
          <w:color w:val="2E5EAA"/>
          <w:sz w:val="16"/>
        </w:rPr>
        <w:t>https://docs.pinecone.io/guides/index-data/indexing-overview</w:t>
      </w:r>
    </w:p>
    <w:p>
      <w:pPr>
        <w:spacing w:after="40"/>
      </w:pPr>
      <w:r>
        <w:rPr>
          <w:b/>
        </w:rPr>
        <w:t>[R10] Temporal — Durable AI and workflow determinism</w:t>
        <w:br/>
      </w:r>
      <w:r>
        <w:rPr>
          <w:color w:val="2E5EAA"/>
          <w:sz w:val="16"/>
        </w:rPr>
        <w:t>https://docs.temporal.io/ai</w:t>
      </w:r>
    </w:p>
    <w:p>
      <w:pPr>
        <w:spacing w:after="40"/>
      </w:pPr>
      <w:r>
        <w:rPr>
          <w:b/>
        </w:rPr>
        <w:t>[R11] LangGraph — Persistence / checkpointers / stores</w:t>
        <w:br/>
      </w:r>
      <w:r>
        <w:rPr>
          <w:color w:val="2E5EAA"/>
          <w:sz w:val="16"/>
        </w:rPr>
        <w:t>https://docs.langchain.com/oss/python/langgraph/persistence</w:t>
      </w:r>
    </w:p>
    <w:p>
      <w:pPr>
        <w:spacing w:after="40"/>
      </w:pPr>
      <w:r>
        <w:rPr>
          <w:b/>
        </w:rPr>
        <w:t>[R12] MCP — 2026-07-28 specification release notes</w:t>
        <w:br/>
      </w:r>
      <w:r>
        <w:rPr>
          <w:color w:val="2E5EAA"/>
          <w:sz w:val="16"/>
        </w:rPr>
        <w:t>https://blog.modelcontextprotocol.io/posts/2026-07-28/</w:t>
      </w:r>
    </w:p>
    <w:p>
      <w:pPr>
        <w:spacing w:after="40"/>
      </w:pPr>
      <w:r>
        <w:rPr>
          <w:b/>
        </w:rPr>
        <w:t>[R13] Agent Skills — overview / SKILL.md / progressive disclosure</w:t>
        <w:br/>
      </w:r>
      <w:r>
        <w:rPr>
          <w:color w:val="2E5EAA"/>
          <w:sz w:val="16"/>
        </w:rPr>
        <w:t>https://agentskills.io/home</w:t>
      </w:r>
    </w:p>
    <w:p>
      <w:pPr>
        <w:spacing w:after="40"/>
      </w:pPr>
      <w:r>
        <w:rPr>
          <w:b/>
        </w:rPr>
        <w:t>[R14] A2A Protocol — 1.0 specification overview</w:t>
        <w:br/>
      </w:r>
      <w:r>
        <w:rPr>
          <w:color w:val="2E5EAA"/>
          <w:sz w:val="16"/>
        </w:rPr>
        <w:t>https://a2a-protocol.org/latest/specification</w:t>
      </w:r>
    </w:p>
    <w:p>
      <w:pPr>
        <w:spacing w:after="40"/>
      </w:pPr>
      <w:r>
        <w:rPr>
          <w:b/>
        </w:rPr>
        <w:t>[R15] vLLM — Automatic Prefix Caching</w:t>
        <w:br/>
      </w:r>
      <w:r>
        <w:rPr>
          <w:color w:val="2E5EAA"/>
          <w:sz w:val="16"/>
        </w:rPr>
        <w:t>https://docs.vllm.ai/en/latest/design/prefix_caching/</w:t>
      </w:r>
    </w:p>
    <w:p>
      <w:pPr>
        <w:spacing w:after="40"/>
      </w:pPr>
      <w:r>
        <w:rPr>
          <w:b/>
        </w:rPr>
        <w:t>[R16] NVIDIA Dynamo — KV-aware routing concepts</w:t>
        <w:br/>
      </w:r>
      <w:r>
        <w:rPr>
          <w:color w:val="2E5EAA"/>
          <w:sz w:val="16"/>
        </w:rPr>
        <w:t>https://docs.nvidia.com/dynamo/dev/knowledge-base/modular-components/router/routing-concepts</w:t>
      </w:r>
    </w:p>
    <w:p>
      <w:pPr>
        <w:spacing w:after="40"/>
      </w:pPr>
      <w:r>
        <w:rPr>
          <w:b/>
        </w:rPr>
        <w:t>[R17] Ray Serve LLM — distributed serving/custom routing</w:t>
        <w:br/>
      </w:r>
      <w:r>
        <w:rPr>
          <w:color w:val="2E5EAA"/>
          <w:sz w:val="16"/>
        </w:rPr>
        <w:t>https://docs.ray.io/en/master/serve/llm/index.html</w:t>
      </w:r>
    </w:p>
    <w:p>
      <w:pPr>
        <w:spacing w:after="40"/>
      </w:pPr>
      <w:r>
        <w:rPr>
          <w:b/>
        </w:rPr>
        <w:t>[R18] Langfuse — OpenTelemetry / self-hosting</w:t>
        <w:br/>
      </w:r>
      <w:r>
        <w:rPr>
          <w:color w:val="2E5EAA"/>
          <w:sz w:val="16"/>
        </w:rPr>
        <w:t>https://langfuse.com/integrations/native/opentelemetry</w:t>
      </w:r>
    </w:p>
    <w:p>
      <w:pPr>
        <w:spacing w:after="40"/>
      </w:pPr>
      <w:r>
        <w:rPr>
          <w:b/>
        </w:rPr>
        <w:t>[R19] Arize Phoenix — open-source agent tracing/evaluation</w:t>
        <w:br/>
      </w:r>
      <w:r>
        <w:rPr>
          <w:color w:val="2E5EAA"/>
          <w:sz w:val="16"/>
        </w:rPr>
        <w:t>https://arize.com/phoenix/</w:t>
      </w:r>
    </w:p>
    <w:p>
      <w:pPr>
        <w:spacing w:after="40"/>
      </w:pPr>
      <w:r>
        <w:rPr>
          <w:b/>
        </w:rPr>
        <w:t>[R20] Azure Container Apps — plans / scale-to-zero</w:t>
        <w:br/>
      </w:r>
      <w:r>
        <w:rPr>
          <w:color w:val="2E5EAA"/>
          <w:sz w:val="16"/>
        </w:rPr>
        <w:t>https://learn.microsoft.com/en-us/azure/container-apps/plans</w:t>
      </w:r>
    </w:p>
    <w:p>
      <w:pPr>
        <w:spacing w:after="40"/>
      </w:pPr>
      <w:r>
        <w:rPr>
          <w:b/>
        </w:rPr>
        <w:t>[R21] Azure Monitor — OpenTelemetry support</w:t>
        <w:br/>
      </w:r>
      <w:r>
        <w:rPr>
          <w:color w:val="2E5EAA"/>
          <w:sz w:val="16"/>
        </w:rPr>
        <w:t>https://learn.microsoft.com/en-us/azure/azure-monitor/containers/opentelemetry-options</w:t>
      </w:r>
    </w:p>
    <w:p>
      <w:pPr>
        <w:spacing w:after="40"/>
      </w:pPr>
      <w:r>
        <w:rPr>
          <w:b/>
        </w:rPr>
        <w:t>[R22] NATS JetStream — persistence, replay, consumers</w:t>
        <w:br/>
      </w:r>
      <w:r>
        <w:rPr>
          <w:color w:val="2E5EAA"/>
          <w:sz w:val="16"/>
        </w:rPr>
        <w:t>https://docs.nats.io/learn/jetstream/</w:t>
      </w:r>
    </w:p>
    <w:p>
      <w:pPr>
        <w:spacing w:after="40"/>
      </w:pPr>
      <w:r>
        <w:rPr>
          <w:b/>
        </w:rPr>
        <w:t>[R23] Google Research — TurboQuant overview</w:t>
        <w:br/>
      </w:r>
      <w:r>
        <w:rPr>
          <w:color w:val="2E5EAA"/>
          <w:sz w:val="16"/>
        </w:rPr>
        <w:t>https://research.google/blog/turboquant-redefining-ai-efficiency-with-extreme-compression/</w:t>
      </w:r>
    </w:p>
    <w:p>
      <w:pPr>
        <w:pStyle w:val="SmallNote"/>
      </w:pPr>
      <w:r>
        <w:t>Note: external projects evolve quickly. The repository should pin versions used in benchmarks and update ADRs when a major dependency changes. The architecture should depend on interfaces and measured requirements, not on a frozen 2026 feature list.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Architecture snapshot • 28 September 2026 • Temporary-chat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5"/>
      </w:rPr>
      <w:t>CONTEXTFORGE — AI SYSTEMS FLAGSHIP PROJECT /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15"/>
    </w:pPr>
    <w:rPr>
      <w:rFonts w:ascii="Consolas" w:hAnsi="Consolas"/>
      <w:sz w:val="16"/>
    </w:rPr>
  </w:style>
  <w:style w:type="paragraph" w:customStyle="1" w:styleId="SmallNote">
    <w:name w:val="Small Note"/>
    <w:pPr>
      <w:spacing w:after="80"/>
    </w:pPr>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