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
      </w:pPr>
    </w:p>
    <w:p>
      <w:pPr>
        <w:spacing w:line="240" w:lineRule="auto" w:before="0" w:after="40"/>
      </w:pPr>
    </w:p>
    <w:p>
      <w:pPr>
        <w:spacing w:line="240" w:lineRule="auto" w:before="0" w:after="40"/>
      </w:pPr>
    </w:p>
    <w:p>
      <w:pPr>
        <w:spacing w:line="240" w:lineRule="auto" w:before="0" w:after="40"/>
      </w:pPr>
    </w:p>
    <w:p>
      <w:pPr>
        <w:spacing w:line="252" w:lineRule="auto" w:after="160" w:before="0"/>
        <w:jc w:val="left"/>
      </w:pPr>
      <w:r>
        <w:rPr>
          <w:rFonts w:ascii="Aptos" w:hAnsi="Aptos"/>
          <w:b/>
          <w:i w:val="0"/>
          <w:color w:val="08325C"/>
          <w:sz w:val="92"/>
        </w:rPr>
        <w:t>ArenaSync</w:t>
      </w:r>
    </w:p>
    <w:p>
      <w:pPr>
        <w:spacing w:line="288" w:lineRule="auto" w:after="280" w:before="0"/>
        <w:jc w:val="center"/>
      </w:pPr>
      <w:r>
        <w:rPr>
          <w:rFonts w:ascii="Aptos" w:hAnsi="Aptos"/>
          <w:b w:val="0"/>
          <w:i w:val="0"/>
          <w:color w:val="5E6F8A"/>
          <w:sz w:val="32"/>
        </w:rPr>
        <w:t>Arena and Event Operations Management System</w:t>
      </w:r>
    </w:p>
    <w:p>
      <w:pPr>
        <w:spacing w:after="360" w:line="288" w:lineRule="auto" w:before="0"/>
        <w:jc w:val="center"/>
      </w:pPr>
      <w:r>
        <w:rPr>
          <w:rFonts w:ascii="Aptos" w:hAnsi="Aptos"/>
          <w:b/>
          <w:i w:val="0"/>
          <w:color w:val="C88A00"/>
          <w:sz w:val="24"/>
        </w:rPr>
        <w:t>EECS 447 Final Project Report</w:t>
      </w:r>
    </w:p>
    <w:tbl>
      <w:tblPr>
        <w:tblW w:type="auto" w:w="0"/>
        <w:jc w:val="center"/>
        <w:tblLook w:firstColumn="1" w:firstRow="1" w:lastColumn="0" w:lastRow="0" w:noHBand="0" w:noVBand="1" w:val="04A0"/>
      </w:tblPr>
      <w:tblGrid>
        <w:gridCol w:w="5083"/>
        <w:gridCol w:w="5083"/>
      </w:tblGrid>
      <w:tr>
        <w:trPr/>
        <w:tc>
          <w:tcPr>
            <w:tcW w:type="dxa" w:w="2232"/>
            <w:vAlign w:val="center"/>
            <w:shd w:fill="F5F7FA"/>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after="0" w:line="276" w:lineRule="auto" w:before="0"/>
            </w:pPr>
            <w:r>
              <w:rPr>
                <w:rFonts w:ascii="Aptos" w:hAnsi="Aptos"/>
                <w:sz w:val="22"/>
              </w:rPr>
            </w:r>
            <w:r>
              <w:rPr>
                <w:rFonts w:ascii="Aptos" w:hAnsi="Aptos"/>
                <w:b/>
                <w:color w:val="002855"/>
                <w:sz w:val="22"/>
              </w:rPr>
              <w:t>Website</w:t>
            </w:r>
          </w:p>
        </w:tc>
        <w:tc>
          <w:tcPr>
            <w:tcW w:type="dxa" w:w="7272"/>
            <w:shd w:fill="FFFFFF"/>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line="276" w:lineRule="auto" w:after="0" w:before="0"/>
            </w:pPr>
            <w:r>
              <w:rPr>
                <w:rFonts w:ascii="Aptos" w:hAnsi="Aptos"/>
                <w:sz w:val="22"/>
              </w:rPr>
            </w:r>
            <w:hyperlink r:id="rId10">
              <w:r>
                <w:rPr>
                  <w:color w:val="002855"/>
                  <w:u w:val="single"/>
                </w:rPr>
                <w:t>https://arenasync-finals-fpbpd4fme0b7axc2.westus-01.azurewebsites.net/</w:t>
              </w:r>
            </w:hyperlink>
          </w:p>
        </w:tc>
      </w:tr>
      <w:tr>
        <w:trPr/>
        <w:tc>
          <w:tcPr>
            <w:tcW w:type="dxa" w:w="2232"/>
            <w:vAlign w:val="center"/>
            <w:shd w:fill="F5F7FA"/>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after="0" w:line="276" w:lineRule="auto" w:before="0"/>
            </w:pPr>
            <w:r>
              <w:rPr>
                <w:rFonts w:ascii="Aptos" w:hAnsi="Aptos"/>
                <w:sz w:val="22"/>
              </w:rPr>
            </w:r>
            <w:r>
              <w:rPr>
                <w:rFonts w:ascii="Aptos" w:hAnsi="Aptos"/>
                <w:b/>
                <w:color w:val="002855"/>
                <w:sz w:val="22"/>
              </w:rPr>
              <w:t>Prepared by</w:t>
            </w:r>
          </w:p>
        </w:tc>
        <w:tc>
          <w:tcPr>
            <w:tcW w:type="dxa" w:w="7272"/>
            <w:vAlign w:val="center"/>
            <w:shd w:fill="FFFFFF"/>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after="0" w:line="276" w:lineRule="auto" w:before="0"/>
            </w:pPr>
            <w:r>
              <w:rPr>
                <w:rFonts w:ascii="Aptos" w:hAnsi="Aptos"/>
                <w:sz w:val="22"/>
              </w:rPr>
            </w:r>
            <w:r>
              <w:rPr>
                <w:rFonts w:ascii="Aptos" w:hAnsi="Aptos"/>
                <w:b w:val="0"/>
                <w:color w:val="001B3F"/>
                <w:sz w:val="22"/>
              </w:rPr>
              <w:t>ArenaSync Team - replace with all team member names</w:t>
            </w:r>
          </w:p>
        </w:tc>
      </w:tr>
      <w:tr>
        <w:trPr/>
        <w:tc>
          <w:tcPr>
            <w:tcW w:type="dxa" w:w="2232"/>
            <w:vAlign w:val="center"/>
            <w:shd w:fill="F5F7FA"/>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after="0" w:line="276" w:lineRule="auto" w:before="0"/>
            </w:pPr>
            <w:r>
              <w:rPr>
                <w:rFonts w:ascii="Aptos" w:hAnsi="Aptos"/>
                <w:sz w:val="22"/>
              </w:rPr>
            </w:r>
            <w:r>
              <w:rPr>
                <w:rFonts w:ascii="Aptos" w:hAnsi="Aptos"/>
                <w:b/>
                <w:color w:val="002855"/>
                <w:sz w:val="22"/>
              </w:rPr>
              <w:t>Course</w:t>
            </w:r>
          </w:p>
        </w:tc>
        <w:tc>
          <w:tcPr>
            <w:tcW w:type="dxa" w:w="7272"/>
            <w:vAlign w:val="center"/>
            <w:shd w:fill="FFFFFF"/>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after="0" w:line="276" w:lineRule="auto" w:before="0"/>
            </w:pPr>
            <w:r>
              <w:rPr>
                <w:rFonts w:ascii="Aptos" w:hAnsi="Aptos"/>
                <w:sz w:val="22"/>
              </w:rPr>
            </w:r>
            <w:r>
              <w:rPr>
                <w:rFonts w:ascii="Aptos" w:hAnsi="Aptos"/>
                <w:b w:val="0"/>
                <w:color w:val="001B3F"/>
                <w:sz w:val="22"/>
              </w:rPr>
              <w:t>EECS 447</w:t>
            </w:r>
          </w:p>
        </w:tc>
      </w:tr>
      <w:tr>
        <w:trPr/>
        <w:tc>
          <w:tcPr>
            <w:tcW w:type="dxa" w:w="2232"/>
            <w:vAlign w:val="center"/>
            <w:shd w:fill="F5F7FA"/>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after="0" w:line="276" w:lineRule="auto" w:before="0"/>
            </w:pPr>
            <w:r>
              <w:rPr>
                <w:rFonts w:ascii="Aptos" w:hAnsi="Aptos"/>
                <w:sz w:val="22"/>
              </w:rPr>
            </w:r>
            <w:r>
              <w:rPr>
                <w:rFonts w:ascii="Aptos" w:hAnsi="Aptos"/>
                <w:b/>
                <w:color w:val="002855"/>
                <w:sz w:val="22"/>
              </w:rPr>
              <w:t>Date</w:t>
            </w:r>
          </w:p>
        </w:tc>
        <w:tc>
          <w:tcPr>
            <w:tcW w:type="dxa" w:w="7272"/>
            <w:vAlign w:val="center"/>
            <w:shd w:fill="FFFFFF"/>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after="0" w:line="276" w:lineRule="auto" w:before="0"/>
            </w:pPr>
            <w:r>
              <w:rPr>
                <w:rFonts w:ascii="Aptos" w:hAnsi="Aptos"/>
                <w:sz w:val="22"/>
              </w:rPr>
            </w:r>
            <w:r>
              <w:rPr>
                <w:rFonts w:ascii="Aptos" w:hAnsi="Aptos"/>
                <w:b w:val="0"/>
                <w:color w:val="001B3F"/>
                <w:sz w:val="22"/>
              </w:rPr>
              <w:t>May 2026</w:t>
            </w:r>
          </w:p>
        </w:tc>
      </w:tr>
      <w:tr>
        <w:trPr/>
        <w:tc>
          <w:tcPr>
            <w:tcW w:type="dxa" w:w="2232"/>
            <w:vAlign w:val="center"/>
            <w:shd w:fill="F5F7FA"/>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after="0" w:line="276" w:lineRule="auto" w:before="0"/>
            </w:pPr>
            <w:r>
              <w:rPr>
                <w:rFonts w:ascii="Aptos" w:hAnsi="Aptos"/>
                <w:sz w:val="22"/>
              </w:rPr>
            </w:r>
            <w:r>
              <w:rPr>
                <w:rFonts w:ascii="Aptos" w:hAnsi="Aptos"/>
                <w:b/>
                <w:color w:val="002855"/>
                <w:sz w:val="22"/>
              </w:rPr>
              <w:t>Package</w:t>
            </w:r>
          </w:p>
        </w:tc>
        <w:tc>
          <w:tcPr>
            <w:tcW w:type="dxa" w:w="7272"/>
            <w:vAlign w:val="center"/>
            <w:shd w:fill="FFFFFF"/>
            <w:tcBorders>
              <w:top w:val="single" w:sz="6" w:space="0" w:color="D9DEE7"/>
              <w:left w:val="single" w:sz="6" w:space="0" w:color="D9DEE7"/>
              <w:bottom w:val="single" w:sz="6" w:space="0" w:color="D9DEE7"/>
              <w:right w:val="single" w:sz="6" w:space="0" w:color="D9DEE7"/>
            </w:tcBorders>
            <w:tcMar>
              <w:top w:w="110" w:type="dxa"/>
              <w:bottom w:w="110" w:type="dxa"/>
              <w:start w:w="115" w:type="dxa"/>
              <w:end w:w="115" w:type="dxa"/>
            </w:tcMar>
          </w:tcPr>
          <w:p>
            <w:pPr>
              <w:spacing w:after="0" w:line="276" w:lineRule="auto" w:before="0"/>
            </w:pPr>
            <w:r>
              <w:rPr>
                <w:rFonts w:ascii="Aptos" w:hAnsi="Aptos"/>
                <w:sz w:val="22"/>
              </w:rPr>
            </w:r>
            <w:r>
              <w:rPr>
                <w:rFonts w:ascii="Aptos" w:hAnsi="Aptos"/>
                <w:b w:val="0"/>
                <w:color w:val="001B3F"/>
                <w:sz w:val="22"/>
              </w:rPr>
              <w:t>Final report plus source code archive submitted separately as ZIP/RAR/TAR</w:t>
            </w:r>
          </w:p>
        </w:tc>
      </w:tr>
    </w:tbl>
    <w:p>
      <w:pPr>
        <w:spacing w:line="240" w:lineRule="auto" w:before="0" w:after="40"/>
      </w:pPr>
    </w:p>
    <w:tbl>
      <w:tblPr>
        <w:tblW w:type="auto" w:w="0"/>
        <w:jc w:val="center"/>
        <w:tblLook w:firstColumn="1" w:firstRow="1" w:lastColumn="0" w:lastRow="0" w:noHBand="0" w:noVBand="1" w:val="04A0"/>
      </w:tblPr>
      <w:tblGrid>
        <w:gridCol w:w="10166"/>
      </w:tblGrid>
      <w:tr>
        <w:trPr/>
        <w:tc>
          <w:tcPr>
            <w:tcW w:type="dxa" w:w="10166"/>
            <w:shd w:fill="FFF7E4"/>
            <w:tcBorders>
              <w:top w:val="single" w:sz="6" w:space="0" w:color="CAD5E3"/>
              <w:left w:val="single" w:sz="6" w:space="0" w:color="CAD5E3"/>
              <w:bottom w:val="single" w:sz="6" w:space="0" w:color="CAD5E3"/>
              <w:right w:val="single" w:sz="6" w:space="0" w:color="CAD5E3"/>
            </w:tcBorders>
            <w:tcMar>
              <w:top w:w="125" w:type="dxa"/>
              <w:bottom w:w="125" w:type="dxa"/>
              <w:start w:w="160" w:type="dxa"/>
              <w:end w:w="160" w:type="dxa"/>
            </w:tcMar>
          </w:tcPr>
          <w:p>
            <w:pPr>
              <w:spacing w:after="0" w:line="276" w:lineRule="auto" w:before="0"/>
            </w:pPr>
            <w:r>
              <w:rPr>
                <w:rFonts w:ascii="Aptos" w:hAnsi="Aptos"/>
                <w:sz w:val="22"/>
              </w:rPr>
            </w:r>
            <w:r>
              <w:rPr>
                <w:rFonts w:ascii="Aptos" w:hAnsi="Aptos"/>
                <w:b/>
                <w:color w:val="002855"/>
                <w:sz w:val="22"/>
              </w:rPr>
              <w:t>Demo access for grading</w:t>
            </w:r>
          </w:p>
          <w:p>
            <w:pPr>
              <w:spacing w:after="0" w:line="276" w:lineRule="auto" w:before="0"/>
            </w:pPr>
            <w:r>
              <w:rPr>
                <w:rFonts w:ascii="Aptos" w:hAnsi="Aptos"/>
                <w:color w:val="001B3F"/>
                <w:sz w:val="22"/>
              </w:rPr>
              <w:t>Admin: admin@arenasync.com / Admin123!    Manager: manager@arenasync.com / Manager123!    Viewer: viewer@arenasync.com / Viewer123!</w:t>
            </w:r>
          </w:p>
        </w:tc>
      </w:tr>
    </w:tbl>
    <w:p>
      <w:pPr>
        <w:spacing w:after="40" w:line="240" w:lineRule="auto" w:before="0"/>
      </w:pPr>
    </w:p>
    <w:p>
      <w:pPr>
        <w:spacing w:before="40" w:line="360" w:lineRule="auto" w:after="100"/>
        <w:jc w:val="center"/>
      </w:pPr>
      <w:r>
        <w:rPr>
          <w:rFonts w:ascii="Aptos" w:hAnsi="Aptos"/>
          <w:color w:val="5C6B82"/>
          <w:sz w:val="22"/>
        </w:rPr>
        <w:t>A deployed operations console for scheduling, facilities, teams, attendees, vendors, requests, reports, and admin access.</w:t>
      </w:r>
    </w:p>
    <w:p>
      <w:pPr>
        <w:spacing w:line="240" w:lineRule="auto" w:before="0" w:after="40"/>
      </w:pPr>
      <w:r>
        <w:rPr>
          <w:rFonts w:ascii="Aptos" w:hAnsi="Aptos"/>
          <w:sz w:val="4"/>
        </w:rPr>
        <w:br w:type="page"/>
      </w:r>
    </w:p>
    <w:p>
      <w:pPr>
        <w:spacing w:after="280" w:line="288" w:lineRule="auto" w:before="0"/>
      </w:pPr>
      <w:r>
        <w:rPr>
          <w:rFonts w:ascii="Aptos" w:hAnsi="Aptos"/>
          <w:b/>
          <w:i w:val="0"/>
          <w:color w:val="C88A00"/>
          <w:sz w:val="24"/>
        </w:rPr>
        <w:t>01 OVERVIEW</w:t>
      </w:r>
    </w:p>
    <w:p>
      <w:pPr>
        <w:pStyle w:val="Heading1"/>
        <w:spacing w:after="160" w:line="276" w:lineRule="auto" w:before="80"/>
      </w:pPr>
      <w:r>
        <w:rPr>
          <w:rFonts w:ascii="Aptos" w:hAnsi="Aptos"/>
          <w:b/>
          <w:i w:val="0"/>
          <w:color w:val="08325C"/>
          <w:sz w:val="48"/>
        </w:rPr>
        <w:t>Project Purpose and Final Scope</w:t>
      </w:r>
    </w:p>
    <w:p>
      <w:pPr>
        <w:pStyle w:val="Subtitle"/>
        <w:spacing w:after="240" w:line="324" w:lineRule="auto" w:before="0"/>
      </w:pPr>
      <w:r>
        <w:rPr>
          <w:rFonts w:ascii="Aptos" w:hAnsi="Aptos"/>
          <w:b w:val="0"/>
          <w:i/>
          <w:color w:val="5E6F8A"/>
          <w:sz w:val="25"/>
        </w:rPr>
        <w:t>A concise view of the problem, users, and implemented solution.</w:t>
      </w:r>
    </w:p>
    <w:p>
      <w:pPr>
        <w:spacing w:after="40" w:line="240" w:lineRule="auto" w:before="0"/>
        <w:pBdr>
          <w:bottom w:val="single" w:sz="12" w:space="1" w:color="C69214"/>
        </w:pBdr>
      </w:pPr>
    </w:p>
    <w:p>
      <w:pPr>
        <w:pStyle w:val="BodyText"/>
        <w:spacing w:after="100" w:line="360" w:lineRule="auto" w:before="40"/>
      </w:pPr>
      <w:r>
        <w:rPr>
          <w:rFonts w:ascii="Aptos" w:hAnsi="Aptos"/>
          <w:color w:val="001B3F"/>
          <w:sz w:val="22"/>
        </w:rPr>
        <w:t>ArenaSync is a web-based operations platform for arena and sports-event coordination. It replaces scattered scheduling notes with one system that tracks venues, events, teams, attendees, vendors, physical resources, event requests, and operational reports.</w:t>
      </w:r>
    </w:p>
    <w:p>
      <w:pPr>
        <w:pStyle w:val="BodyText"/>
        <w:spacing w:after="100" w:line="360" w:lineRule="auto" w:before="40"/>
      </w:pPr>
      <w:r>
        <w:rPr>
          <w:rFonts w:ascii="Aptos" w:hAnsi="Aptos"/>
          <w:color w:val="001B3F"/>
          <w:sz w:val="22"/>
        </w:rPr>
        <w:t>The final MVP is designed around staff workflows rather than a public marketing site. Users sign in, navigate through operational tables, create or modify records, assign participants and resources, resolve exceptions, and use reports to verify the current state of the arena schedule.</w:t>
      </w:r>
    </w:p>
    <w:p>
      <w:pPr>
        <w:pStyle w:val="Heading2"/>
        <w:spacing w:before="200" w:after="120" w:line="300" w:lineRule="auto"/>
      </w:pPr>
      <w:r>
        <w:rPr>
          <w:rFonts w:ascii="Aptos" w:hAnsi="Aptos"/>
          <w:b/>
          <w:i w:val="0"/>
          <w:color w:val="08325C"/>
          <w:sz w:val="30"/>
        </w:rPr>
        <w:t>Primary users and access intent</w:t>
      </w:r>
    </w:p>
    <w:tbl>
      <w:tblPr>
        <w:tblStyle w:val="TableGrid"/>
        <w:tblW w:type="auto" w:w="0"/>
        <w:jc w:val="center"/>
        <w:tblLook w:firstColumn="1" w:firstRow="1" w:lastColumn="0" w:lastRow="0" w:noHBand="0" w:noVBand="1" w:val="04A0"/>
      </w:tblPr>
      <w:tblGrid>
        <w:gridCol w:w="3389"/>
        <w:gridCol w:w="3389"/>
        <w:gridCol w:w="3389"/>
      </w:tblGrid>
      <w:tr>
        <w:trPr/>
        <w:tc>
          <w:tcPr>
            <w:tcW w:type="dxa" w:w="15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User</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Goal</w:t>
            </w:r>
          </w:p>
        </w:tc>
        <w:tc>
          <w:tcPr>
            <w:tcW w:type="dxa" w:w="40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Access intent</w:t>
            </w:r>
          </w:p>
        </w:tc>
      </w:tr>
      <w:tr>
        <w:trPr/>
        <w:tc>
          <w:tcPr>
            <w:tcW w:type="dxa" w:w="15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Admin</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Operate the whole platform and manage accounts.</w:t>
            </w:r>
          </w:p>
        </w:tc>
        <w:tc>
          <w:tcPr>
            <w:tcW w:type="dxa" w:w="40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Full access, admin user registration, and request approval/denial.</w:t>
            </w:r>
          </w:p>
        </w:tc>
      </w:tr>
      <w:tr>
        <w:trPr/>
        <w:tc>
          <w:tcPr>
            <w:tcW w:type="dxa" w:w="15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Manager</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Maintain daily event, venue, team, attendee, and vendor data.</w:t>
            </w:r>
          </w:p>
        </w:tc>
        <w:tc>
          <w:tcPr>
            <w:tcW w:type="dxa" w:w="40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Operational create/edit access and report visibility.</w:t>
            </w:r>
          </w:p>
        </w:tc>
      </w:tr>
      <w:tr>
        <w:trPr/>
        <w:tc>
          <w:tcPr>
            <w:tcW w:type="dxa" w:w="15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Viewer</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Inspect schedules and reports without changing data.</w:t>
            </w:r>
          </w:p>
        </w:tc>
        <w:tc>
          <w:tcPr>
            <w:tcW w:type="dxa" w:w="40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Read-oriented role foundation for future stricter authorization.</w:t>
            </w:r>
          </w:p>
        </w:tc>
      </w:tr>
    </w:tbl>
    <w:p>
      <w:pPr>
        <w:pStyle w:val="Heading2"/>
        <w:spacing w:before="200" w:after="120" w:line="300" w:lineRule="auto"/>
      </w:pPr>
      <w:r>
        <w:rPr>
          <w:rFonts w:ascii="Aptos" w:hAnsi="Aptos"/>
          <w:b/>
          <w:i w:val="0"/>
          <w:color w:val="08325C"/>
          <w:sz w:val="30"/>
        </w:rPr>
        <w:t>Final feature scope</w:t>
      </w:r>
    </w:p>
    <w:p>
      <w:pPr>
        <w:pStyle w:val="BodyText"/>
        <w:spacing w:after="100" w:line="360" w:lineRule="auto" w:before="40"/>
      </w:pPr>
      <w:r>
        <w:rPr>
          <w:rFonts w:ascii="Aptos" w:hAnsi="Aptos"/>
          <w:color w:val="001B3F"/>
          <w:sz w:val="22"/>
        </w:rPr>
        <w:t>- Core CRUD for venues, events, teams, attendees, vendors, locker rooms, and vendor booths.</w:t>
      </w:r>
    </w:p>
    <w:p>
      <w:pPr>
        <w:pStyle w:val="BodyText"/>
        <w:spacing w:after="100" w:line="360" w:lineRule="auto" w:before="40"/>
      </w:pPr>
      <w:r>
        <w:rPr>
          <w:rFonts w:ascii="Aptos" w:hAnsi="Aptos"/>
          <w:color w:val="001B3F"/>
          <w:sz w:val="22"/>
        </w:rPr>
        <w:t>- Team-event registration, attendee registration, vendor-event participation, team locker assignment, and vendor booth assignment.</w:t>
      </w:r>
    </w:p>
    <w:p>
      <w:pPr>
        <w:pStyle w:val="BodyText"/>
        <w:spacing w:after="100" w:line="360" w:lineRule="auto" w:before="40"/>
      </w:pPr>
      <w:r>
        <w:rPr>
          <w:rFonts w:ascii="Aptos" w:hAnsi="Aptos"/>
          <w:color w:val="001B3F"/>
          <w:sz w:val="22"/>
        </w:rPr>
        <w:t>- Admin request workflow for reassignment, late resignation, and justified overlapping participation.</w:t>
      </w:r>
    </w:p>
    <w:p>
      <w:pPr>
        <w:pStyle w:val="BodyText"/>
        <w:spacing w:after="100" w:line="360" w:lineRule="auto" w:before="40"/>
      </w:pPr>
      <w:r>
        <w:rPr>
          <w:rFonts w:ascii="Aptos" w:hAnsi="Aptos"/>
          <w:color w:val="001B3F"/>
          <w:sz w:val="22"/>
        </w:rPr>
        <w:t>- Dashboard and reports for event rosters, team schedules, venue occupancy, conflict summaries, and CSV export.</w:t>
      </w:r>
    </w:p>
    <w:p>
      <w:pPr>
        <w:pStyle w:val="BodyText"/>
        <w:spacing w:after="100" w:line="360" w:lineRule="auto" w:before="40"/>
      </w:pPr>
      <w:r>
        <w:rPr>
          <w:rFonts w:ascii="Aptos" w:hAnsi="Aptos"/>
          <w:color w:val="001B3F"/>
          <w:sz w:val="22"/>
        </w:rPr>
        <w:t>- ASP.NET Identity authentication, role foundation, validation, error handling, demo seeding, tests, and Azure deployment.</w:t>
      </w:r>
    </w:p>
    <w:tbl>
      <w:tblPr>
        <w:tblW w:type="auto" w:w="0"/>
        <w:jc w:val="center"/>
        <w:tblLook w:firstColumn="1" w:firstRow="1" w:lastColumn="0" w:lastRow="0" w:noHBand="0" w:noVBand="1" w:val="04A0"/>
      </w:tblPr>
      <w:tblGrid>
        <w:gridCol w:w="10166"/>
      </w:tblGrid>
      <w:tr>
        <w:trPr/>
        <w:tc>
          <w:tcPr>
            <w:tcW w:type="dxa" w:w="10166"/>
            <w:shd w:fill="EDF3FB"/>
            <w:tcBorders>
              <w:top w:val="single" w:sz="6" w:space="0" w:color="CAD5E3"/>
              <w:left w:val="single" w:sz="6" w:space="0" w:color="CAD5E3"/>
              <w:bottom w:val="single" w:sz="6" w:space="0" w:color="CAD5E3"/>
              <w:right w:val="single" w:sz="6" w:space="0" w:color="CAD5E3"/>
            </w:tcBorders>
            <w:tcMar>
              <w:top w:w="125" w:type="dxa"/>
              <w:bottom w:w="125" w:type="dxa"/>
              <w:start w:w="160" w:type="dxa"/>
              <w:end w:w="160" w:type="dxa"/>
            </w:tcMar>
          </w:tcPr>
          <w:p>
            <w:pPr>
              <w:spacing w:after="0" w:line="276" w:lineRule="auto" w:before="0"/>
            </w:pPr>
            <w:r>
              <w:rPr>
                <w:rFonts w:ascii="Aptos" w:hAnsi="Aptos"/>
                <w:sz w:val="22"/>
              </w:rPr>
            </w:r>
            <w:r>
              <w:rPr>
                <w:rFonts w:ascii="Aptos" w:hAnsi="Aptos"/>
                <w:b/>
                <w:color w:val="002855"/>
                <w:sz w:val="22"/>
              </w:rPr>
              <w:t>Hosted result</w:t>
            </w:r>
          </w:p>
          <w:p>
            <w:pPr>
              <w:spacing w:after="0" w:line="276" w:lineRule="auto" w:before="0"/>
            </w:pPr>
            <w:r>
              <w:rPr>
                <w:rFonts w:ascii="Aptos" w:hAnsi="Aptos"/>
                <w:color w:val="001B3F"/>
                <w:sz w:val="22"/>
              </w:rPr>
              <w:t>The working website is available at https://arenasync-finals-fpbpd4fme0b7axc2.westus-01.azurewebsites.net/. The app runs on Azure App Service and stores production data in Azure SQL.</w:t>
            </w:r>
          </w:p>
        </w:tc>
      </w:tr>
    </w:tbl>
    <w:p>
      <w:pPr>
        <w:spacing w:after="40" w:line="240" w:lineRule="auto" w:before="0"/>
      </w:pPr>
    </w:p>
    <w:p>
      <w:pPr>
        <w:spacing w:line="240" w:lineRule="auto" w:before="0" w:after="40"/>
      </w:pPr>
      <w:r>
        <w:rPr>
          <w:rFonts w:ascii="Aptos" w:hAnsi="Aptos"/>
          <w:sz w:val="4"/>
        </w:rPr>
        <w:br w:type="page"/>
      </w:r>
    </w:p>
    <w:p>
      <w:pPr>
        <w:spacing w:after="280" w:line="288" w:lineRule="auto" w:before="0"/>
      </w:pPr>
      <w:r>
        <w:rPr>
          <w:rFonts w:ascii="Aptos" w:hAnsi="Aptos"/>
          <w:b/>
          <w:i w:val="0"/>
          <w:color w:val="C88A00"/>
          <w:sz w:val="24"/>
        </w:rPr>
        <w:t>02 REQUIREMENTS</w:t>
      </w:r>
    </w:p>
    <w:p>
      <w:pPr>
        <w:pStyle w:val="Heading1"/>
        <w:spacing w:after="160" w:line="276" w:lineRule="auto" w:before="80"/>
      </w:pPr>
      <w:r>
        <w:rPr>
          <w:rFonts w:ascii="Aptos" w:hAnsi="Aptos"/>
          <w:b/>
          <w:i w:val="0"/>
          <w:color w:val="08325C"/>
          <w:sz w:val="48"/>
        </w:rPr>
        <w:t>Functional Requirements and User Stories</w:t>
      </w:r>
    </w:p>
    <w:p>
      <w:pPr>
        <w:pStyle w:val="Subtitle"/>
        <w:spacing w:after="240" w:line="324" w:lineRule="auto" w:before="0"/>
      </w:pPr>
      <w:r>
        <w:rPr>
          <w:rFonts w:ascii="Aptos" w:hAnsi="Aptos"/>
          <w:b w:val="0"/>
          <w:i/>
          <w:color w:val="5E6F8A"/>
          <w:sz w:val="25"/>
        </w:rPr>
        <w:t>The functional requirements are expressed as user stories and mapped to implemented behavior.</w:t>
      </w:r>
    </w:p>
    <w:p>
      <w:pPr>
        <w:spacing w:after="40" w:line="240" w:lineRule="auto" w:before="0"/>
        <w:pBdr>
          <w:bottom w:val="single" w:sz="12" w:space="1" w:color="C69214"/>
        </w:pBdr>
      </w:pPr>
    </w:p>
    <w:tbl>
      <w:tblPr>
        <w:tblStyle w:val="TableGrid"/>
        <w:tblW w:type="auto" w:w="0"/>
        <w:jc w:val="center"/>
        <w:tblLook w:firstColumn="1" w:firstRow="1" w:lastColumn="0" w:lastRow="0" w:noHBand="0" w:noVBand="1" w:val="04A0"/>
      </w:tblPr>
      <w:tblGrid>
        <w:gridCol w:w="2541"/>
        <w:gridCol w:w="2541"/>
        <w:gridCol w:w="2541"/>
        <w:gridCol w:w="2541"/>
      </w:tblGrid>
      <w:tr>
        <w:trPr/>
        <w:tc>
          <w:tcPr>
            <w:tcW w:type="dxa" w:w="79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ID</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Functional requirement</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User story</w:t>
            </w:r>
          </w:p>
        </w:tc>
        <w:tc>
          <w:tcPr>
            <w:tcW w:type="dxa" w:w="27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Implementation evidence</w:t>
            </w:r>
          </w:p>
        </w:tc>
      </w:tr>
      <w:tr>
        <w:trPr/>
        <w:tc>
          <w:tcPr>
            <w:tcW w:type="dxa" w:w="79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FR-1</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Venue and facility management</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As operations staff, I can create venues and define locker rooms/vendor booths so events have real physical resources.</w:t>
            </w:r>
          </w:p>
        </w:tc>
        <w:tc>
          <w:tcPr>
            <w:tcW w:type="dxa" w:w="27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VenueService, FacilityService, Venues pages, LockerRoom/VendorBooth models.</w:t>
            </w:r>
          </w:p>
        </w:tc>
      </w:tr>
      <w:tr>
        <w:trPr/>
        <w:tc>
          <w:tcPr>
            <w:tcW w:type="dxa" w:w="79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FR-2</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Event scheduling</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As a manager, I can schedule events at venues with valid dates/times so the arena calendar is reliable.</w:t>
            </w:r>
          </w:p>
        </w:tc>
        <w:tc>
          <w:tcPr>
            <w:tcW w:type="dxa" w:w="27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EventService, ValidationService, EventCreate/Edit pages, Events table.</w:t>
            </w:r>
          </w:p>
        </w:tc>
      </w:tr>
      <w:tr>
        <w:trPr/>
        <w:tc>
          <w:tcPr>
            <w:tcW w:type="dxa" w:w="79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FR-3</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Team management and participation</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As staff, I can manage teams and register them for events while preventing duplicates and unjustified overlaps.</w:t>
            </w:r>
          </w:p>
        </w:tc>
        <w:tc>
          <w:tcPr>
            <w:tcW w:type="dxa" w:w="27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TeamService, ParticipatesIn table, Team details workflows.</w:t>
            </w:r>
          </w:p>
        </w:tc>
      </w:tr>
      <w:tr>
        <w:trPr/>
        <w:tc>
          <w:tcPr>
            <w:tcW w:type="dxa" w:w="79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FR-4</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Team event exceptions</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As a team manager/admin, I can request reassignment, late resignation, or overlap participation with an explanation.</w:t>
            </w:r>
          </w:p>
        </w:tc>
        <w:tc>
          <w:tcPr>
            <w:tcW w:type="dxa" w:w="27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TeamEventRequest model, admin pending requests page, approval/denial methods.</w:t>
            </w:r>
          </w:p>
        </w:tc>
      </w:tr>
      <w:tr>
        <w:trPr/>
        <w:tc>
          <w:tcPr>
            <w:tcW w:type="dxa" w:w="79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FR-5</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Attendee registration</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As staff, I can register attendees for events and prevent duplicate or over-capacity registration.</w:t>
            </w:r>
          </w:p>
        </w:tc>
        <w:tc>
          <w:tcPr>
            <w:tcW w:type="dxa" w:w="27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AttendeeService, RegistersFor table, ValidationService capacity check.</w:t>
            </w:r>
          </w:p>
        </w:tc>
      </w:tr>
      <w:tr>
        <w:trPr/>
        <w:tc>
          <w:tcPr>
            <w:tcW w:type="dxa" w:w="79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FR-6</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Vendor coordination</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As staff, I can connect vendors to events and assign booths at the correct venue.</w:t>
            </w:r>
          </w:p>
        </w:tc>
        <w:tc>
          <w:tcPr>
            <w:tcW w:type="dxa" w:w="27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VendorService, AssignmentService, SuppliesAt, VendorAssignments.</w:t>
            </w:r>
          </w:p>
        </w:tc>
      </w:tr>
      <w:tr>
        <w:trPr/>
        <w:tc>
          <w:tcPr>
            <w:tcW w:type="dxa" w:w="79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FR-7</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Reporting and export</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As staff, I can review rosters, schedules, venue usage, conflicts, and export data for communication.</w:t>
            </w:r>
          </w:p>
        </w:tc>
        <w:tc>
          <w:tcPr>
            <w:tcW w:type="dxa" w:w="27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ReportingService, report DTOs, Reports pages.</w:t>
            </w:r>
          </w:p>
        </w:tc>
      </w:tr>
      <w:tr>
        <w:trPr/>
        <w:tc>
          <w:tcPr>
            <w:tcW w:type="dxa" w:w="79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FR-8</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Authentication and administration</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As an admin, I can create accounts and control protected access to the platform.</w:t>
            </w:r>
          </w:p>
        </w:tc>
        <w:tc>
          <w:tcPr>
            <w:tcW w:type="dxa" w:w="27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ASP.NET Identity, Routes.razor authorization, Register page admin scope.</w:t>
            </w:r>
          </w:p>
        </w:tc>
      </w:tr>
    </w:tbl>
    <w:p>
      <w:pPr>
        <w:pStyle w:val="Heading2"/>
        <w:spacing w:before="200" w:after="120" w:line="300" w:lineRule="auto"/>
      </w:pPr>
      <w:r>
        <w:rPr>
          <w:rFonts w:ascii="Aptos" w:hAnsi="Aptos"/>
          <w:b/>
          <w:i w:val="0"/>
          <w:color w:val="08325C"/>
          <w:sz w:val="30"/>
        </w:rPr>
        <w:t>Requirement coverage summary</w:t>
      </w:r>
    </w:p>
    <w:p>
      <w:pPr>
        <w:pStyle w:val="BodyText"/>
        <w:spacing w:after="100" w:line="360" w:lineRule="auto" w:before="40"/>
      </w:pPr>
      <w:r>
        <w:rPr>
          <w:rFonts w:ascii="Aptos" w:hAnsi="Aptos"/>
          <w:color w:val="001B3F"/>
          <w:sz w:val="22"/>
        </w:rPr>
        <w:t>Each major user story maps to a service class and one or more EF Core tables. This was intentional: UI pages provide the workflow surface, DTOs and DataAnnotations handle form-level validation, services apply business rules, and EF Core/database constraints preserve relational integrity.</w:t>
      </w:r>
    </w:p>
    <w:tbl>
      <w:tblPr>
        <w:tblW w:type="auto" w:w="0"/>
        <w:jc w:val="center"/>
        <w:tblLook w:firstColumn="1" w:firstRow="1" w:lastColumn="0" w:lastRow="0" w:noHBand="0" w:noVBand="1" w:val="04A0"/>
      </w:tblPr>
      <w:tblGrid>
        <w:gridCol w:w="10166"/>
      </w:tblGrid>
      <w:tr>
        <w:trPr/>
        <w:tc>
          <w:tcPr>
            <w:tcW w:type="dxa" w:w="10166"/>
            <w:shd w:fill="FFF7E4"/>
            <w:tcBorders>
              <w:top w:val="single" w:sz="6" w:space="0" w:color="CAD5E3"/>
              <w:left w:val="single" w:sz="6" w:space="0" w:color="CAD5E3"/>
              <w:bottom w:val="single" w:sz="6" w:space="0" w:color="CAD5E3"/>
              <w:right w:val="single" w:sz="6" w:space="0" w:color="CAD5E3"/>
            </w:tcBorders>
            <w:tcMar>
              <w:top w:w="125" w:type="dxa"/>
              <w:bottom w:w="125" w:type="dxa"/>
              <w:start w:w="160" w:type="dxa"/>
              <w:end w:w="160" w:type="dxa"/>
            </w:tcMar>
          </w:tcPr>
          <w:p>
            <w:pPr>
              <w:spacing w:after="0" w:line="276" w:lineRule="auto" w:before="0"/>
            </w:pPr>
            <w:r>
              <w:rPr>
                <w:rFonts w:ascii="Aptos" w:hAnsi="Aptos"/>
                <w:sz w:val="22"/>
              </w:rPr>
            </w:r>
            <w:r>
              <w:rPr>
                <w:rFonts w:ascii="Aptos" w:hAnsi="Aptos"/>
                <w:b/>
                <w:color w:val="002855"/>
                <w:sz w:val="22"/>
              </w:rPr>
              <w:t>Traceability</w:t>
            </w:r>
          </w:p>
          <w:p>
            <w:pPr>
              <w:spacing w:after="0" w:line="276" w:lineRule="auto" w:before="0"/>
            </w:pPr>
            <w:r>
              <w:rPr>
                <w:rFonts w:ascii="Aptos" w:hAnsi="Aptos"/>
                <w:color w:val="001B3F"/>
                <w:sz w:val="22"/>
              </w:rPr>
              <w:t>The project log at the end follows the same structure: each batch added a coherent group of user stories, then connected those stories to models, services, pages, and tests.</w:t>
            </w:r>
          </w:p>
        </w:tc>
      </w:tr>
    </w:tbl>
    <w:p>
      <w:pPr>
        <w:spacing w:after="40" w:line="240" w:lineRule="auto" w:before="0"/>
      </w:pPr>
    </w:p>
    <w:p>
      <w:pPr>
        <w:spacing w:line="240" w:lineRule="auto" w:before="0" w:after="40"/>
      </w:pPr>
      <w:r>
        <w:rPr>
          <w:rFonts w:ascii="Aptos" w:hAnsi="Aptos"/>
          <w:sz w:val="4"/>
        </w:rPr>
        <w:br w:type="page"/>
      </w:r>
    </w:p>
    <w:p>
      <w:pPr>
        <w:spacing w:after="280" w:line="288" w:lineRule="auto" w:before="0"/>
      </w:pPr>
      <w:r>
        <w:rPr>
          <w:rFonts w:ascii="Aptos" w:hAnsi="Aptos"/>
          <w:b/>
          <w:i w:val="0"/>
          <w:color w:val="C88A00"/>
          <w:sz w:val="24"/>
        </w:rPr>
        <w:t>03 ARCHITECTURE</w:t>
      </w:r>
    </w:p>
    <w:p>
      <w:pPr>
        <w:pStyle w:val="Heading1"/>
        <w:spacing w:after="160" w:line="276" w:lineRule="auto" w:before="80"/>
      </w:pPr>
      <w:r>
        <w:rPr>
          <w:rFonts w:ascii="Aptos" w:hAnsi="Aptos"/>
          <w:b/>
          <w:i w:val="0"/>
          <w:color w:val="08325C"/>
          <w:sz w:val="48"/>
        </w:rPr>
        <w:t>Database-to-UI Integration</w:t>
      </w:r>
    </w:p>
    <w:p>
      <w:pPr>
        <w:pStyle w:val="Subtitle"/>
        <w:spacing w:after="240" w:line="324" w:lineRule="auto" w:before="0"/>
      </w:pPr>
      <w:r>
        <w:rPr>
          <w:rFonts w:ascii="Aptos" w:hAnsi="Aptos"/>
          <w:b w:val="0"/>
          <w:i/>
          <w:color w:val="5E6F8A"/>
          <w:sz w:val="25"/>
        </w:rPr>
        <w:t>ArenaSync uses one Blazor Server app with services over EF Core and SQL Server.</w:t>
      </w:r>
    </w:p>
    <w:p>
      <w:pPr>
        <w:spacing w:after="40" w:line="240" w:lineRule="auto" w:before="0"/>
        <w:pBdr>
          <w:bottom w:val="single" w:sz="12" w:space="1" w:color="C69214"/>
        </w:pBdr>
      </w:pPr>
    </w:p>
    <w:tbl>
      <w:tblPr>
        <w:tblStyle w:val="TableGrid"/>
        <w:tblW w:type="auto" w:w="0"/>
        <w:jc w:val="center"/>
        <w:tblLook w:firstColumn="1" w:firstRow="1" w:lastColumn="0" w:lastRow="0" w:noHBand="0" w:noVBand="1" w:val="04A0"/>
      </w:tblPr>
      <w:tblGrid>
        <w:gridCol w:w="2033"/>
        <w:gridCol w:w="2033"/>
        <w:gridCol w:w="2033"/>
        <w:gridCol w:w="2033"/>
        <w:gridCol w:w="2033"/>
      </w:tblGrid>
      <w:tr>
        <w:trPr/>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UI</w:t>
            </w:r>
          </w:p>
        </w:tc>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DTO/Form Model</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Service Layer</w:t>
            </w:r>
          </w:p>
        </w:tc>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EF Core</w:t>
            </w:r>
          </w:p>
        </w:tc>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Database</w:t>
            </w:r>
          </w:p>
        </w:tc>
      </w:tr>
      <w:tr>
        <w:trPr/>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Razor pages and shared components</w:t>
            </w:r>
          </w:p>
        </w:tc>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DataAnnotations and SSR form binding</w:t>
            </w:r>
          </w:p>
        </w:tc>
        <w:tc>
          <w:tcPr>
            <w:tcW w:type="dxa" w:w="223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Business rules and workflow decisions</w:t>
            </w:r>
          </w:p>
        </w:tc>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ApplicationDbContext and configurations</w:t>
            </w:r>
          </w:p>
        </w:tc>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Azure SQL / SQL Server tables</w:t>
            </w:r>
          </w:p>
        </w:tc>
      </w:tr>
    </w:tbl>
    <w:p>
      <w:pPr>
        <w:pStyle w:val="BodyText"/>
        <w:spacing w:after="100" w:line="360" w:lineRule="auto" w:before="40"/>
      </w:pPr>
      <w:r>
        <w:rPr>
          <w:rFonts w:ascii="Aptos" w:hAnsi="Aptos"/>
          <w:color w:val="001B3F"/>
          <w:sz w:val="22"/>
        </w:rPr>
        <w:t>The UI does not talk directly to raw SQL. A Razor page receives input through a form model, calls the appropriate scoped service, and the service uses ApplicationDbContext to read or update entities. This gives the app a clear path from database integration to backend behavior to visible UI state.</w:t>
      </w:r>
    </w:p>
    <w:p>
      <w:pPr>
        <w:pStyle w:val="Heading2"/>
        <w:spacing w:before="200" w:after="120" w:line="300" w:lineRule="auto"/>
      </w:pPr>
      <w:r>
        <w:rPr>
          <w:rFonts w:ascii="Aptos" w:hAnsi="Aptos"/>
          <w:b/>
          <w:i w:val="0"/>
          <w:color w:val="08325C"/>
          <w:sz w:val="30"/>
        </w:rPr>
        <w:t>Core data model</w:t>
      </w:r>
    </w:p>
    <w:tbl>
      <w:tblPr>
        <w:tblStyle w:val="TableGrid"/>
        <w:tblW w:type="auto" w:w="0"/>
        <w:jc w:val="center"/>
        <w:tblLook w:firstColumn="1" w:firstRow="1" w:lastColumn="0" w:lastRow="0" w:noHBand="0" w:noVBand="1" w:val="04A0"/>
      </w:tblPr>
      <w:tblGrid>
        <w:gridCol w:w="3389"/>
        <w:gridCol w:w="3389"/>
        <w:gridCol w:w="3389"/>
      </w:tblGrid>
      <w:tr>
        <w:trPr/>
        <w:tc>
          <w:tcPr>
            <w:tcW w:type="dxa" w:w="16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Area</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Tables/models</w:t>
            </w:r>
          </w:p>
        </w:tc>
        <w:tc>
          <w:tcPr>
            <w:tcW w:type="dxa" w:w="511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Relationship purpose</w:t>
            </w:r>
          </w:p>
        </w:tc>
      </w:tr>
      <w:tr>
        <w:trPr/>
        <w:tc>
          <w:tcPr>
            <w:tcW w:type="dxa" w:w="16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Scheduling</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Venues, Events</w:t>
            </w:r>
          </w:p>
        </w:tc>
        <w:tc>
          <w:tcPr>
            <w:tcW w:type="dxa" w:w="511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Events belong to venues and inherit venue capacity/resource context.</w:t>
            </w:r>
          </w:p>
        </w:tc>
      </w:tr>
      <w:tr>
        <w:trPr/>
        <w:tc>
          <w:tcPr>
            <w:tcW w:type="dxa" w:w="16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Facilities</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LockerRooms, VendorBooths</w:t>
            </w:r>
          </w:p>
        </w:tc>
        <w:tc>
          <w:tcPr>
            <w:tcW w:type="dxa" w:w="511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Physical spaces attached to venues and used by assignment tables.</w:t>
            </w:r>
          </w:p>
        </w:tc>
      </w:tr>
      <w:tr>
        <w:trPr/>
        <w:tc>
          <w:tcPr>
            <w:tcW w:type="dxa" w:w="16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Participants</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Teams, Attendees, Vendors</w:t>
            </w:r>
          </w:p>
        </w:tc>
        <w:tc>
          <w:tcPr>
            <w:tcW w:type="dxa" w:w="511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Main actors that can participate in events.</w:t>
            </w:r>
          </w:p>
        </w:tc>
      </w:tr>
      <w:tr>
        <w:trPr/>
        <w:tc>
          <w:tcPr>
            <w:tcW w:type="dxa" w:w="16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Join tables</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ParticipatesIn, RegistersFor, SuppliesAt</w:t>
            </w:r>
          </w:p>
        </w:tc>
        <w:tc>
          <w:tcPr>
            <w:tcW w:type="dxa" w:w="511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Many-to-many links for teams, attendees, and vendors at events.</w:t>
            </w:r>
          </w:p>
        </w:tc>
      </w:tr>
      <w:tr>
        <w:trPr/>
        <w:tc>
          <w:tcPr>
            <w:tcW w:type="dxa" w:w="16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Assignments</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TeamAssignments, VendorAssignments</w:t>
            </w:r>
          </w:p>
        </w:tc>
        <w:tc>
          <w:tcPr>
            <w:tcW w:type="dxa" w:w="511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Event-specific placement into locker rooms and booths.</w:t>
            </w:r>
          </w:p>
        </w:tc>
      </w:tr>
      <w:tr>
        <w:trPr/>
        <w:tc>
          <w:tcPr>
            <w:tcW w:type="dxa" w:w="16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Requests/Auth</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TeamEventRequests, AspNetUsers, AspNetRoles, AspNetUserRoles</w:t>
            </w:r>
          </w:p>
        </w:tc>
        <w:tc>
          <w:tcPr>
            <w:tcW w:type="dxa" w:w="511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Exception workflow and user/role management.</w:t>
            </w:r>
          </w:p>
        </w:tc>
      </w:tr>
    </w:tbl>
    <w:p>
      <w:pPr>
        <w:pStyle w:val="Heading2"/>
        <w:spacing w:before="200" w:after="120" w:line="300" w:lineRule="auto"/>
      </w:pPr>
      <w:r>
        <w:rPr>
          <w:rFonts w:ascii="Aptos" w:hAnsi="Aptos"/>
          <w:b/>
          <w:i w:val="0"/>
          <w:color w:val="08325C"/>
          <w:sz w:val="30"/>
        </w:rPr>
        <w:t>Why this structure works</w:t>
      </w:r>
    </w:p>
    <w:p>
      <w:pPr>
        <w:pStyle w:val="BodyText"/>
        <w:spacing w:after="100" w:line="360" w:lineRule="auto" w:before="40"/>
      </w:pPr>
      <w:r>
        <w:rPr>
          <w:rFonts w:ascii="Aptos" w:hAnsi="Aptos"/>
          <w:color w:val="001B3F"/>
          <w:sz w:val="22"/>
        </w:rPr>
        <w:t>- The model mirrors the real venue domain: a venue owns rooms/booths, events happen at venues, and participants attach to events.</w:t>
      </w:r>
    </w:p>
    <w:p>
      <w:pPr>
        <w:pStyle w:val="BodyText"/>
        <w:spacing w:after="100" w:line="360" w:lineRule="auto" w:before="40"/>
      </w:pPr>
      <w:r>
        <w:rPr>
          <w:rFonts w:ascii="Aptos" w:hAnsi="Aptos"/>
          <w:color w:val="001B3F"/>
          <w:sz w:val="22"/>
        </w:rPr>
        <w:t>- Assignments are separate from participation because a team can be registered before a locker is assigned, and a vendor can supply an event before a booth is assigned.</w:t>
      </w:r>
    </w:p>
    <w:p>
      <w:pPr>
        <w:pStyle w:val="BodyText"/>
        <w:spacing w:after="100" w:line="360" w:lineRule="auto" w:before="40"/>
      </w:pPr>
      <w:r>
        <w:rPr>
          <w:rFonts w:ascii="Aptos" w:hAnsi="Aptos"/>
          <w:color w:val="001B3F"/>
          <w:sz w:val="22"/>
        </w:rPr>
        <w:t>- Requests are separate from direct participation changes, allowing admins to review exceptions before data changes are applied.</w:t>
      </w:r>
    </w:p>
    <w:p>
      <w:pPr>
        <w:spacing w:line="240" w:lineRule="auto" w:before="0" w:after="40"/>
      </w:pPr>
      <w:r>
        <w:rPr>
          <w:rFonts w:ascii="Aptos" w:hAnsi="Aptos"/>
          <w:sz w:val="4"/>
        </w:rPr>
        <w:br w:type="page"/>
      </w:r>
    </w:p>
    <w:p>
      <w:pPr>
        <w:spacing w:after="280" w:line="288" w:lineRule="auto" w:before="0"/>
      </w:pPr>
      <w:r>
        <w:rPr>
          <w:rFonts w:ascii="Aptos" w:hAnsi="Aptos"/>
          <w:b/>
          <w:i w:val="0"/>
          <w:color w:val="C88A00"/>
          <w:sz w:val="24"/>
        </w:rPr>
        <w:t>04 BUSINESS RULES</w:t>
      </w:r>
    </w:p>
    <w:p>
      <w:pPr>
        <w:pStyle w:val="Heading1"/>
        <w:spacing w:after="160" w:line="276" w:lineRule="auto" w:before="80"/>
      </w:pPr>
      <w:r>
        <w:rPr>
          <w:rFonts w:ascii="Aptos" w:hAnsi="Aptos"/>
          <w:b/>
          <w:i w:val="0"/>
          <w:color w:val="08325C"/>
          <w:sz w:val="48"/>
        </w:rPr>
        <w:t>Rules Enforced in the Database and Platform</w:t>
      </w:r>
    </w:p>
    <w:p>
      <w:pPr>
        <w:pStyle w:val="Subtitle"/>
        <w:spacing w:after="240" w:line="324" w:lineRule="auto" w:before="0"/>
      </w:pPr>
      <w:r>
        <w:rPr>
          <w:rFonts w:ascii="Aptos" w:hAnsi="Aptos"/>
          <w:b w:val="0"/>
          <w:i/>
          <w:color w:val="5E6F8A"/>
          <w:sz w:val="25"/>
        </w:rPr>
        <w:t>ArenaSync uses both database constraints and service-level checks because some rules are structural and others depend on workflow context.</w:t>
      </w:r>
    </w:p>
    <w:p>
      <w:pPr>
        <w:spacing w:after="40" w:line="240" w:lineRule="auto" w:before="0"/>
        <w:pBdr>
          <w:bottom w:val="single" w:sz="12" w:space="1" w:color="C69214"/>
        </w:pBdr>
      </w:pPr>
    </w:p>
    <w:p>
      <w:pPr>
        <w:pStyle w:val="Heading2"/>
        <w:spacing w:before="200" w:after="120" w:line="300" w:lineRule="auto"/>
      </w:pPr>
      <w:r>
        <w:rPr>
          <w:rFonts w:ascii="Aptos" w:hAnsi="Aptos"/>
          <w:b/>
          <w:i w:val="0"/>
          <w:color w:val="08325C"/>
          <w:sz w:val="30"/>
        </w:rPr>
        <w:t>Database-level rules</w:t>
      </w:r>
    </w:p>
    <w:tbl>
      <w:tblPr>
        <w:tblStyle w:val="TableGrid"/>
        <w:tblW w:type="auto" w:w="0"/>
        <w:jc w:val="center"/>
        <w:tblLook w:firstColumn="1" w:firstRow="1" w:lastColumn="0" w:lastRow="0" w:noHBand="0" w:noVBand="1" w:val="04A0"/>
      </w:tblPr>
      <w:tblGrid>
        <w:gridCol w:w="3389"/>
        <w:gridCol w:w="3389"/>
        <w:gridCol w:w="3389"/>
      </w:tblGrid>
      <w:tr>
        <w:trPr/>
        <w:tc>
          <w:tcPr>
            <w:tcW w:type="dxa" w:w="244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Rule</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Where enforced</w:t>
            </w:r>
          </w:p>
        </w:tc>
        <w:tc>
          <w:tcPr>
            <w:tcW w:type="dxa" w:w="410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Why it matters</w:t>
            </w:r>
          </w:p>
        </w:tc>
      </w:tr>
      <w:tr>
        <w:trPr/>
        <w:tc>
          <w:tcPr>
            <w:tcW w:type="dxa" w:w="244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Required fields and max lengths</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EF configurations for Event, Venue, Team, Attendee, Vendor, TeamEventRequest</w:t>
            </w:r>
          </w:p>
        </w:tc>
        <w:tc>
          <w:tcPr>
            <w:tcW w:type="dxa" w:w="410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Prevents incomplete or oversized records from being persisted.</w:t>
            </w:r>
          </w:p>
        </w:tc>
      </w:tr>
      <w:tr>
        <w:trPr/>
        <w:tc>
          <w:tcPr>
            <w:tcW w:type="dxa" w:w="244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Composite keys for joins</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ParticipatesIn, RegistersFor, SuppliesAt</w:t>
            </w:r>
          </w:p>
        </w:tc>
        <w:tc>
          <w:tcPr>
            <w:tcW w:type="dxa" w:w="410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 team/attendee/vendor can only be linked once to the same event.</w:t>
            </w:r>
          </w:p>
        </w:tc>
      </w:tr>
      <w:tr>
        <w:trPr/>
        <w:tc>
          <w:tcPr>
            <w:tcW w:type="dxa" w:w="244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Unique team locker constraints</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TeamAssignments unique indexes on event+team and event+locker</w:t>
            </w:r>
          </w:p>
        </w:tc>
        <w:tc>
          <w:tcPr>
            <w:tcW w:type="dxa" w:w="410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 team cannot have two lockers for one event; a locker cannot be double-booked for the event.</w:t>
            </w:r>
          </w:p>
        </w:tc>
      </w:tr>
      <w:tr>
        <w:trPr/>
        <w:tc>
          <w:tcPr>
            <w:tcW w:type="dxa" w:w="244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Unique vendor booth constraints</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VendorAssignments unique indexes on event+vendor and event+booth</w:t>
            </w:r>
          </w:p>
        </w:tc>
        <w:tc>
          <w:tcPr>
            <w:tcW w:type="dxa" w:w="410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 vendor cannot have two booths for one event; a booth cannot be double-booked.</w:t>
            </w:r>
          </w:p>
        </w:tc>
      </w:tr>
      <w:tr>
        <w:trPr/>
        <w:tc>
          <w:tcPr>
            <w:tcW w:type="dxa" w:w="244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Restrict delete behavior</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Entity configurations use DeleteBehavior.Restrict</w:t>
            </w:r>
          </w:p>
        </w:tc>
        <w:tc>
          <w:tcPr>
            <w:tcW w:type="dxa" w:w="410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The database refuses unsafe deletes that would leave orphaned references.</w:t>
            </w:r>
          </w:p>
        </w:tc>
      </w:tr>
      <w:tr>
        <w:trPr/>
        <w:tc>
          <w:tcPr>
            <w:tcW w:type="dxa" w:w="244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Identity tables</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AspNetUsers, AspNetRoles, AspNetUserRoles</w:t>
            </w:r>
          </w:p>
        </w:tc>
        <w:tc>
          <w:tcPr>
            <w:tcW w:type="dxa" w:w="410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User accounts and role membership are persisted with ASP.NET Identity.</w:t>
            </w:r>
          </w:p>
        </w:tc>
      </w:tr>
    </w:tbl>
    <w:p>
      <w:pPr>
        <w:pStyle w:val="Heading2"/>
        <w:spacing w:before="200" w:after="120" w:line="300" w:lineRule="auto"/>
      </w:pPr>
      <w:r>
        <w:rPr>
          <w:rFonts w:ascii="Aptos" w:hAnsi="Aptos"/>
          <w:b/>
          <w:i w:val="0"/>
          <w:color w:val="08325C"/>
          <w:sz w:val="30"/>
        </w:rPr>
        <w:t>Service/platform rules</w:t>
      </w:r>
    </w:p>
    <w:tbl>
      <w:tblPr>
        <w:tblStyle w:val="TableGrid"/>
        <w:tblW w:type="auto" w:w="0"/>
        <w:jc w:val="center"/>
        <w:tblLook w:firstColumn="1" w:firstRow="1" w:lastColumn="0" w:lastRow="0" w:noHBand="0" w:noVBand="1" w:val="04A0"/>
      </w:tblPr>
      <w:tblGrid>
        <w:gridCol w:w="3389"/>
        <w:gridCol w:w="3389"/>
        <w:gridCol w:w="3389"/>
      </w:tblGrid>
      <w:tr>
        <w:trPr/>
        <w:tc>
          <w:tcPr>
            <w:tcW w:type="dxa" w:w="208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Workflow</w:t>
            </w:r>
          </w:p>
        </w:tc>
        <w:tc>
          <w:tcPr>
            <w:tcW w:type="dxa" w:w="482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Rule</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User-visible effect</w:t>
            </w:r>
          </w:p>
        </w:tc>
      </w:tr>
      <w:tr>
        <w:trPr/>
        <w:tc>
          <w:tcPr>
            <w:tcW w:type="dxa" w:w="208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Event scheduling</w:t>
            </w:r>
          </w:p>
        </w:tc>
        <w:tc>
          <w:tcPr>
            <w:tcW w:type="dxa" w:w="482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End time must be after start time; start cannot be in the past; venue cannot have overlapping events.</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Invalid schedules are rejected before saving.</w:t>
            </w:r>
          </w:p>
        </w:tc>
      </w:tr>
      <w:tr>
        <w:trPr/>
        <w:tc>
          <w:tcPr>
            <w:tcW w:type="dxa" w:w="208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Team registration</w:t>
            </w:r>
          </w:p>
        </w:tc>
        <w:tc>
          <w:tcPr>
            <w:tcW w:type="dxa" w:w="482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 team cannot register twice for the same event; overlapping event participation requires explanation and admin approval.</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Routine cases are direct; exceptions enter the request queue.</w:t>
            </w:r>
          </w:p>
        </w:tc>
      </w:tr>
      <w:tr>
        <w:trPr/>
        <w:tc>
          <w:tcPr>
            <w:tcW w:type="dxa" w:w="208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Resignation</w:t>
            </w:r>
          </w:p>
        </w:tc>
        <w:tc>
          <w:tcPr>
            <w:tcW w:type="dxa" w:w="482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 team can resign directly only when the event is more than 48 hours away.</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Late resignations require a reason and admin approval.</w:t>
            </w:r>
          </w:p>
        </w:tc>
      </w:tr>
      <w:tr>
        <w:trPr/>
        <w:tc>
          <w:tcPr>
            <w:tcW w:type="dxa" w:w="208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Locker/booth assignment</w:t>
            </w:r>
          </w:p>
        </w:tc>
        <w:tc>
          <w:tcPr>
            <w:tcW w:type="dxa" w:w="482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Selected locker/booth must belong to the event venue and be available for that event.</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Prevents cross-venue and double-booked resource assignments.</w:t>
            </w:r>
          </w:p>
        </w:tc>
      </w:tr>
      <w:tr>
        <w:trPr/>
        <w:tc>
          <w:tcPr>
            <w:tcW w:type="dxa" w:w="208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Attendee registration</w:t>
            </w:r>
          </w:p>
        </w:tc>
        <w:tc>
          <w:tcPr>
            <w:tcW w:type="dxa" w:w="482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Attendee and event must exist, registration cannot duplicate, venue capacity cannot be exceeded.</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Registration stays consistent with venue capacity.</w:t>
            </w:r>
          </w:p>
        </w:tc>
      </w:tr>
      <w:tr>
        <w:trPr/>
        <w:tc>
          <w:tcPr>
            <w:tcW w:type="dxa" w:w="208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Deletion</w:t>
            </w:r>
          </w:p>
        </w:tc>
        <w:tc>
          <w:tcPr>
            <w:tcW w:type="dxa" w:w="482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Venue/team/vendor/attendee deletion is refused when dependencies exist; event deletion cleans event-specific child rows first.</w:t>
            </w:r>
          </w:p>
        </w:tc>
        <w:tc>
          <w:tcPr>
            <w:tcW w:type="dxa" w:w="316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Users see controlled failures instead of raw database errors.</w:t>
            </w:r>
          </w:p>
        </w:tc>
      </w:tr>
    </w:tbl>
    <w:tbl>
      <w:tblPr>
        <w:tblW w:type="auto" w:w="0"/>
        <w:jc w:val="center"/>
        <w:tblLook w:firstColumn="1" w:firstRow="1" w:lastColumn="0" w:lastRow="0" w:noHBand="0" w:noVBand="1" w:val="04A0"/>
      </w:tblPr>
      <w:tblGrid>
        <w:gridCol w:w="10166"/>
      </w:tblGrid>
      <w:tr>
        <w:trPr/>
        <w:tc>
          <w:tcPr>
            <w:tcW w:type="dxa" w:w="10166"/>
            <w:shd w:fill="FFF7E4"/>
            <w:tcBorders>
              <w:top w:val="single" w:sz="6" w:space="0" w:color="CAD5E3"/>
              <w:left w:val="single" w:sz="6" w:space="0" w:color="CAD5E3"/>
              <w:bottom w:val="single" w:sz="6" w:space="0" w:color="CAD5E3"/>
              <w:right w:val="single" w:sz="6" w:space="0" w:color="CAD5E3"/>
            </w:tcBorders>
            <w:tcMar>
              <w:top w:w="125" w:type="dxa"/>
              <w:bottom w:w="125" w:type="dxa"/>
              <w:start w:w="160" w:type="dxa"/>
              <w:end w:w="160" w:type="dxa"/>
            </w:tcMar>
          </w:tcPr>
          <w:p>
            <w:pPr>
              <w:spacing w:after="0" w:line="276" w:lineRule="auto" w:before="0"/>
            </w:pPr>
            <w:r>
              <w:rPr>
                <w:rFonts w:ascii="Aptos" w:hAnsi="Aptos"/>
                <w:sz w:val="22"/>
              </w:rPr>
            </w:r>
            <w:r>
              <w:rPr>
                <w:rFonts w:ascii="Aptos" w:hAnsi="Aptos"/>
                <w:b/>
                <w:color w:val="002855"/>
                <w:sz w:val="22"/>
              </w:rPr>
              <w:t>Layered validation</w:t>
            </w:r>
          </w:p>
          <w:p>
            <w:pPr>
              <w:spacing w:after="0" w:line="276" w:lineRule="auto" w:before="0"/>
            </w:pPr>
            <w:r>
              <w:rPr>
                <w:rFonts w:ascii="Aptos" w:hAnsi="Aptos"/>
                <w:color w:val="001B3F"/>
                <w:sz w:val="22"/>
              </w:rPr>
              <w:t>DataAnnotations catch form shape problems, services catch workflow problems, and database constraints protect final integrity. This gives ArenaSync multiple lines of defense.</w:t>
            </w:r>
          </w:p>
        </w:tc>
      </w:tr>
    </w:tbl>
    <w:p>
      <w:pPr>
        <w:spacing w:after="40" w:line="240" w:lineRule="auto" w:before="0"/>
      </w:pPr>
    </w:p>
    <w:p>
      <w:pPr>
        <w:spacing w:line="240" w:lineRule="auto" w:before="0" w:after="40"/>
      </w:pPr>
      <w:r>
        <w:rPr>
          <w:rFonts w:ascii="Aptos" w:hAnsi="Aptos"/>
          <w:sz w:val="4"/>
        </w:rPr>
        <w:br w:type="page"/>
      </w:r>
    </w:p>
    <w:p>
      <w:pPr>
        <w:spacing w:after="280" w:line="288" w:lineRule="auto" w:before="0"/>
      </w:pPr>
      <w:r>
        <w:rPr>
          <w:rFonts w:ascii="Aptos" w:hAnsi="Aptos"/>
          <w:b/>
          <w:i w:val="0"/>
          <w:color w:val="C88A00"/>
          <w:sz w:val="24"/>
        </w:rPr>
        <w:t>05 VENUE AND EVENT WORKFLOWS</w:t>
      </w:r>
    </w:p>
    <w:p>
      <w:pPr>
        <w:pStyle w:val="Heading1"/>
        <w:spacing w:after="160" w:line="276" w:lineRule="auto" w:before="80"/>
      </w:pPr>
      <w:r>
        <w:rPr>
          <w:rFonts w:ascii="Aptos" w:hAnsi="Aptos"/>
          <w:b/>
          <w:i w:val="0"/>
          <w:color w:val="08325C"/>
          <w:sz w:val="48"/>
        </w:rPr>
        <w:t>Supported Operations on Scheduling Models</w:t>
      </w:r>
    </w:p>
    <w:p>
      <w:pPr>
        <w:pStyle w:val="Subtitle"/>
        <w:spacing w:after="240" w:line="324" w:lineRule="auto" w:before="0"/>
      </w:pPr>
      <w:r>
        <w:rPr>
          <w:rFonts w:ascii="Aptos" w:hAnsi="Aptos"/>
          <w:b w:val="0"/>
          <w:i/>
          <w:color w:val="5E6F8A"/>
          <w:sz w:val="25"/>
        </w:rPr>
        <w:t>These workflows cover the core scheduling surface of the platform.</w:t>
      </w:r>
    </w:p>
    <w:p>
      <w:pPr>
        <w:spacing w:after="40" w:line="240" w:lineRule="auto" w:before="0"/>
        <w:pBdr>
          <w:bottom w:val="single" w:sz="12" w:space="1" w:color="C69214"/>
        </w:pBdr>
      </w:pPr>
    </w:p>
    <w:p>
      <w:pPr>
        <w:pStyle w:val="Heading2"/>
        <w:spacing w:before="200" w:after="120" w:line="300" w:lineRule="auto"/>
      </w:pPr>
      <w:r>
        <w:rPr>
          <w:rFonts w:ascii="Aptos" w:hAnsi="Aptos"/>
          <w:b/>
          <w:i w:val="0"/>
          <w:color w:val="08325C"/>
          <w:sz w:val="30"/>
        </w:rPr>
        <w:t>Venue workflow</w:t>
      </w:r>
    </w:p>
    <w:p>
      <w:pPr>
        <w:pStyle w:val="BodyText"/>
        <w:spacing w:after="100" w:line="360" w:lineRule="auto" w:before="40"/>
      </w:pPr>
      <w:r>
        <w:rPr>
          <w:rFonts w:ascii="Aptos" w:hAnsi="Aptos"/>
          <w:color w:val="001B3F"/>
          <w:sz w:val="22"/>
        </w:rPr>
        <w:t>1. User opens Venues and reviews venue name, address, capacity, event count, and actions.</w:t>
      </w:r>
    </w:p>
    <w:p>
      <w:pPr>
        <w:pStyle w:val="BodyText"/>
        <w:spacing w:after="100" w:line="360" w:lineRule="auto" w:before="40"/>
      </w:pPr>
      <w:r>
        <w:rPr>
          <w:rFonts w:ascii="Aptos" w:hAnsi="Aptos"/>
          <w:color w:val="001B3F"/>
          <w:sz w:val="22"/>
        </w:rPr>
        <w:t>2. Create Venue posts a form model to the venue page; VenueService creates the Venue record.</w:t>
      </w:r>
    </w:p>
    <w:p>
      <w:pPr>
        <w:pStyle w:val="BodyText"/>
        <w:spacing w:after="100" w:line="360" w:lineRule="auto" w:before="40"/>
      </w:pPr>
      <w:r>
        <w:rPr>
          <w:rFonts w:ascii="Aptos" w:hAnsi="Aptos"/>
          <w:color w:val="001B3F"/>
          <w:sz w:val="22"/>
        </w:rPr>
        <w:t>3. Edit Venue loads the existing venue, updates name/address/capacity, and saves through VenueService.</w:t>
      </w:r>
    </w:p>
    <w:p>
      <w:pPr>
        <w:pStyle w:val="BodyText"/>
        <w:spacing w:after="100" w:line="360" w:lineRule="auto" w:before="40"/>
      </w:pPr>
      <w:r>
        <w:rPr>
          <w:rFonts w:ascii="Aptos" w:hAnsi="Aptos"/>
          <w:color w:val="001B3F"/>
          <w:sz w:val="22"/>
        </w:rPr>
        <w:t>4. Locker Rooms and Booths actions open facility management screens scoped to the selected venue.</w:t>
      </w:r>
    </w:p>
    <w:p>
      <w:pPr>
        <w:pStyle w:val="BodyText"/>
        <w:spacing w:after="100" w:line="360" w:lineRule="auto" w:before="40"/>
      </w:pPr>
      <w:r>
        <w:rPr>
          <w:rFonts w:ascii="Aptos" w:hAnsi="Aptos"/>
          <w:color w:val="001B3F"/>
          <w:sz w:val="22"/>
        </w:rPr>
        <w:t>5. Delete Venue checks dependent Events, LockerRooms, and VendorBooths. If any exist, deletion is refused so the user can clear dependencies intentionally.</w:t>
      </w:r>
    </w:p>
    <w:p>
      <w:pPr>
        <w:pStyle w:val="Heading2"/>
        <w:spacing w:before="200" w:after="120" w:line="300" w:lineRule="auto"/>
      </w:pPr>
      <w:r>
        <w:rPr>
          <w:rFonts w:ascii="Aptos" w:hAnsi="Aptos"/>
          <w:b/>
          <w:i w:val="0"/>
          <w:color w:val="08325C"/>
          <w:sz w:val="30"/>
        </w:rPr>
        <w:t>Locker room and vendor booth workflow</w:t>
      </w:r>
    </w:p>
    <w:p>
      <w:pPr>
        <w:pStyle w:val="BodyText"/>
        <w:spacing w:after="100" w:line="360" w:lineRule="auto" w:before="40"/>
      </w:pPr>
      <w:r>
        <w:rPr>
          <w:rFonts w:ascii="Aptos" w:hAnsi="Aptos"/>
          <w:color w:val="001B3F"/>
          <w:sz w:val="22"/>
        </w:rPr>
        <w:t>1. User opens a venue's Locker Rooms or Booths page.</w:t>
      </w:r>
    </w:p>
    <w:p>
      <w:pPr>
        <w:pStyle w:val="BodyText"/>
        <w:spacing w:after="100" w:line="360" w:lineRule="auto" w:before="40"/>
      </w:pPr>
      <w:r>
        <w:rPr>
          <w:rFonts w:ascii="Aptos" w:hAnsi="Aptos"/>
          <w:color w:val="001B3F"/>
          <w:sz w:val="22"/>
        </w:rPr>
        <w:t>2. FacilityService lists resources for that venue and includes assignment counts.</w:t>
      </w:r>
    </w:p>
    <w:p>
      <w:pPr>
        <w:pStyle w:val="BodyText"/>
        <w:spacing w:after="100" w:line="360" w:lineRule="auto" w:before="40"/>
      </w:pPr>
      <w:r>
        <w:rPr>
          <w:rFonts w:ascii="Aptos" w:hAnsi="Aptos"/>
          <w:color w:val="001B3F"/>
          <w:sz w:val="22"/>
        </w:rPr>
        <w:t>3. Create/update checks that the parent venue exists and that room/booth number is not duplicated inside the same venue.</w:t>
      </w:r>
    </w:p>
    <w:p>
      <w:pPr>
        <w:pStyle w:val="BodyText"/>
        <w:spacing w:after="100" w:line="360" w:lineRule="auto" w:before="40"/>
      </w:pPr>
      <w:r>
        <w:rPr>
          <w:rFonts w:ascii="Aptos" w:hAnsi="Aptos"/>
          <w:color w:val="001B3F"/>
          <w:sz w:val="22"/>
        </w:rPr>
        <w:t>4. Delete is refused when a locker room or booth is already used by a team/vendor assignment.</w:t>
      </w:r>
    </w:p>
    <w:p>
      <w:pPr>
        <w:pStyle w:val="Heading2"/>
        <w:spacing w:before="200" w:after="120" w:line="300" w:lineRule="auto"/>
      </w:pPr>
      <w:r>
        <w:rPr>
          <w:rFonts w:ascii="Aptos" w:hAnsi="Aptos"/>
          <w:b/>
          <w:i w:val="0"/>
          <w:color w:val="08325C"/>
          <w:sz w:val="30"/>
        </w:rPr>
        <w:t>Event workflow</w:t>
      </w:r>
    </w:p>
    <w:p>
      <w:pPr>
        <w:pStyle w:val="BodyText"/>
        <w:spacing w:after="100" w:line="360" w:lineRule="auto" w:before="40"/>
      </w:pPr>
      <w:r>
        <w:rPr>
          <w:rFonts w:ascii="Aptos" w:hAnsi="Aptos"/>
          <w:color w:val="001B3F"/>
          <w:sz w:val="22"/>
        </w:rPr>
        <w:t>1. User opens Events and reviews scheduled sessions sorted by start time.</w:t>
      </w:r>
    </w:p>
    <w:p>
      <w:pPr>
        <w:pStyle w:val="BodyText"/>
        <w:spacing w:after="100" w:line="360" w:lineRule="auto" w:before="40"/>
      </w:pPr>
      <w:r>
        <w:rPr>
          <w:rFonts w:ascii="Aptos" w:hAnsi="Aptos"/>
          <w:color w:val="001B3F"/>
          <w:sz w:val="22"/>
        </w:rPr>
        <w:t>2. Create Event collects name, description, venue, date, and time fields. Validation rejects invalid date ranges, past starts, and venue overlap.</w:t>
      </w:r>
    </w:p>
    <w:p>
      <w:pPr>
        <w:pStyle w:val="BodyText"/>
        <w:spacing w:after="100" w:line="360" w:lineRule="auto" w:before="40"/>
      </w:pPr>
      <w:r>
        <w:rPr>
          <w:rFonts w:ascii="Aptos" w:hAnsi="Aptos"/>
          <w:color w:val="001B3F"/>
          <w:sz w:val="22"/>
        </w:rPr>
        <w:t>3. Edit Event loads an existing event, applies the same validation, then updates the event record.</w:t>
      </w:r>
    </w:p>
    <w:p>
      <w:pPr>
        <w:pStyle w:val="BodyText"/>
        <w:spacing w:after="100" w:line="360" w:lineRule="auto" w:before="40"/>
      </w:pPr>
      <w:r>
        <w:rPr>
          <w:rFonts w:ascii="Aptos" w:hAnsi="Aptos"/>
          <w:color w:val="001B3F"/>
          <w:sz w:val="22"/>
        </w:rPr>
        <w:t>4. Details and assignment actions expose teams, vendors, lockers, booths, attendees, and reports tied to the selected event.</w:t>
      </w:r>
    </w:p>
    <w:p>
      <w:pPr>
        <w:pStyle w:val="BodyText"/>
        <w:spacing w:after="100" w:line="360" w:lineRule="auto" w:before="40"/>
      </w:pPr>
      <w:r>
        <w:rPr>
          <w:rFonts w:ascii="Aptos" w:hAnsi="Aptos"/>
          <w:color w:val="001B3F"/>
          <w:sz w:val="22"/>
        </w:rPr>
        <w:t>5. Delete Event removes event-specific participation, registration, assignment, supplier, and request rows before removing the event itself.</w:t>
      </w:r>
    </w:p>
    <w:tbl>
      <w:tblPr>
        <w:tblW w:type="auto" w:w="0"/>
        <w:jc w:val="center"/>
        <w:tblLook w:firstColumn="1" w:firstRow="1" w:lastColumn="0" w:lastRow="0" w:noHBand="0" w:noVBand="1" w:val="04A0"/>
      </w:tblPr>
      <w:tblGrid>
        <w:gridCol w:w="10166"/>
      </w:tblGrid>
      <w:tr>
        <w:trPr/>
        <w:tc>
          <w:tcPr>
            <w:tcW w:type="dxa" w:w="10166"/>
            <w:shd w:fill="EDF3FB"/>
            <w:tcBorders>
              <w:top w:val="single" w:sz="6" w:space="0" w:color="CAD5E3"/>
              <w:left w:val="single" w:sz="6" w:space="0" w:color="CAD5E3"/>
              <w:bottom w:val="single" w:sz="6" w:space="0" w:color="CAD5E3"/>
              <w:right w:val="single" w:sz="6" w:space="0" w:color="CAD5E3"/>
            </w:tcBorders>
            <w:tcMar>
              <w:top w:w="125" w:type="dxa"/>
              <w:bottom w:w="125" w:type="dxa"/>
              <w:start w:w="160" w:type="dxa"/>
              <w:end w:w="160" w:type="dxa"/>
            </w:tcMar>
          </w:tcPr>
          <w:p>
            <w:pPr>
              <w:spacing w:after="0" w:line="276" w:lineRule="auto" w:before="0"/>
            </w:pPr>
            <w:r>
              <w:rPr>
                <w:rFonts w:ascii="Aptos" w:hAnsi="Aptos"/>
                <w:sz w:val="22"/>
              </w:rPr>
            </w:r>
            <w:r>
              <w:rPr>
                <w:rFonts w:ascii="Aptos" w:hAnsi="Aptos"/>
                <w:b/>
                <w:color w:val="002855"/>
                <w:sz w:val="22"/>
              </w:rPr>
              <w:t>Domain decision</w:t>
            </w:r>
          </w:p>
          <w:p>
            <w:pPr>
              <w:spacing w:after="0" w:line="276" w:lineRule="auto" w:before="0"/>
            </w:pPr>
            <w:r>
              <w:rPr>
                <w:rFonts w:ascii="Aptos" w:hAnsi="Aptos"/>
                <w:color w:val="001B3F"/>
                <w:sz w:val="22"/>
              </w:rPr>
              <w:t>Venue deletion is intentionally conservative because venues are structural. Event deletion is allowed with cleanup because admins may need to remove a test or cancelled event while preserving database integrity.</w:t>
            </w:r>
          </w:p>
        </w:tc>
      </w:tr>
    </w:tbl>
    <w:p>
      <w:pPr>
        <w:spacing w:after="40" w:line="240" w:lineRule="auto" w:before="0"/>
      </w:pPr>
    </w:p>
    <w:p>
      <w:pPr>
        <w:spacing w:line="240" w:lineRule="auto" w:before="0" w:after="40"/>
      </w:pPr>
      <w:r>
        <w:rPr>
          <w:rFonts w:ascii="Aptos" w:hAnsi="Aptos"/>
          <w:sz w:val="4"/>
        </w:rPr>
        <w:br w:type="page"/>
      </w:r>
    </w:p>
    <w:p>
      <w:pPr>
        <w:spacing w:after="280" w:line="288" w:lineRule="auto" w:before="0"/>
      </w:pPr>
      <w:r>
        <w:rPr>
          <w:rFonts w:ascii="Aptos" w:hAnsi="Aptos"/>
          <w:b/>
          <w:i w:val="0"/>
          <w:color w:val="C88A00"/>
          <w:sz w:val="24"/>
        </w:rPr>
        <w:t>06 TEAM AND REQUEST WORKFLOWS</w:t>
      </w:r>
    </w:p>
    <w:p>
      <w:pPr>
        <w:pStyle w:val="Heading1"/>
        <w:spacing w:after="160" w:line="276" w:lineRule="auto" w:before="80"/>
      </w:pPr>
      <w:r>
        <w:rPr>
          <w:rFonts w:ascii="Aptos" w:hAnsi="Aptos"/>
          <w:b/>
          <w:i w:val="0"/>
          <w:color w:val="08325C"/>
          <w:sz w:val="48"/>
        </w:rPr>
        <w:t>Supported Operations on Team Models</w:t>
      </w:r>
    </w:p>
    <w:p>
      <w:pPr>
        <w:pStyle w:val="Subtitle"/>
        <w:spacing w:after="240" w:line="324" w:lineRule="auto" w:before="0"/>
      </w:pPr>
      <w:r>
        <w:rPr>
          <w:rFonts w:ascii="Aptos" w:hAnsi="Aptos"/>
          <w:b w:val="0"/>
          <w:i/>
          <w:color w:val="5E6F8A"/>
          <w:sz w:val="25"/>
        </w:rPr>
        <w:t>Teams have both direct operations and exception workflows that require admin review.</w:t>
      </w:r>
    </w:p>
    <w:p>
      <w:pPr>
        <w:spacing w:after="40" w:line="240" w:lineRule="auto" w:before="0"/>
        <w:pBdr>
          <w:bottom w:val="single" w:sz="12" w:space="1" w:color="C69214"/>
        </w:pBdr>
      </w:pPr>
    </w:p>
    <w:p>
      <w:pPr>
        <w:pStyle w:val="Heading2"/>
        <w:spacing w:before="200" w:after="120" w:line="300" w:lineRule="auto"/>
      </w:pPr>
      <w:r>
        <w:rPr>
          <w:rFonts w:ascii="Aptos" w:hAnsi="Aptos"/>
          <w:b/>
          <w:i w:val="0"/>
          <w:color w:val="08325C"/>
          <w:sz w:val="30"/>
        </w:rPr>
        <w:t>Team CRUD and registration</w:t>
      </w:r>
    </w:p>
    <w:p>
      <w:pPr>
        <w:pStyle w:val="BodyText"/>
        <w:spacing w:after="100" w:line="360" w:lineRule="auto" w:before="40"/>
      </w:pPr>
      <w:r>
        <w:rPr>
          <w:rFonts w:ascii="Aptos" w:hAnsi="Aptos"/>
          <w:color w:val="001B3F"/>
          <w:sz w:val="22"/>
        </w:rPr>
        <w:t>1. User opens Teams to review team records sorted by name.</w:t>
      </w:r>
    </w:p>
    <w:p>
      <w:pPr>
        <w:pStyle w:val="BodyText"/>
        <w:spacing w:after="100" w:line="360" w:lineRule="auto" w:before="40"/>
      </w:pPr>
      <w:r>
        <w:rPr>
          <w:rFonts w:ascii="Aptos" w:hAnsi="Aptos"/>
          <w:color w:val="001B3F"/>
          <w:sz w:val="22"/>
        </w:rPr>
        <w:t>2. Create Team captures team name, manager, email, phone, and player count; duplicate team names are rejected.</w:t>
      </w:r>
    </w:p>
    <w:p>
      <w:pPr>
        <w:pStyle w:val="BodyText"/>
        <w:spacing w:after="100" w:line="360" w:lineRule="auto" w:before="40"/>
      </w:pPr>
      <w:r>
        <w:rPr>
          <w:rFonts w:ascii="Aptos" w:hAnsi="Aptos"/>
          <w:color w:val="001B3F"/>
          <w:sz w:val="22"/>
        </w:rPr>
        <w:t>3. Team Details loads team information, current event registrations, locker assignment info, and pending event requests.</w:t>
      </w:r>
    </w:p>
    <w:p>
      <w:pPr>
        <w:pStyle w:val="BodyText"/>
        <w:spacing w:after="100" w:line="360" w:lineRule="auto" w:before="40"/>
      </w:pPr>
      <w:r>
        <w:rPr>
          <w:rFonts w:ascii="Aptos" w:hAnsi="Aptos"/>
          <w:color w:val="001B3F"/>
          <w:sz w:val="22"/>
        </w:rPr>
        <w:t>4. Direct registration creates a ParticipatesIn row when the team is not already registered and has no unapproved overlap.</w:t>
      </w:r>
    </w:p>
    <w:p>
      <w:pPr>
        <w:pStyle w:val="BodyText"/>
        <w:spacing w:after="100" w:line="360" w:lineRule="auto" w:before="40"/>
      </w:pPr>
      <w:r>
        <w:rPr>
          <w:rFonts w:ascii="Aptos" w:hAnsi="Aptos"/>
          <w:color w:val="001B3F"/>
          <w:sz w:val="22"/>
        </w:rPr>
        <w:t>5. Delete Team is refused when the team still has participation, locker assignment, or event request dependencies.</w:t>
      </w:r>
    </w:p>
    <w:p>
      <w:pPr>
        <w:pStyle w:val="Heading2"/>
        <w:spacing w:before="200" w:after="120" w:line="300" w:lineRule="auto"/>
      </w:pPr>
      <w:r>
        <w:rPr>
          <w:rFonts w:ascii="Aptos" w:hAnsi="Aptos"/>
          <w:b/>
          <w:i w:val="0"/>
          <w:color w:val="08325C"/>
          <w:sz w:val="30"/>
        </w:rPr>
        <w:t>Reassignment workflow</w:t>
      </w:r>
    </w:p>
    <w:p>
      <w:pPr>
        <w:pStyle w:val="BodyText"/>
        <w:spacing w:after="100" w:line="360" w:lineRule="auto" w:before="40"/>
      </w:pPr>
      <w:r>
        <w:rPr>
          <w:rFonts w:ascii="Aptos" w:hAnsi="Aptos"/>
          <w:color w:val="001B3F"/>
          <w:sz w:val="22"/>
        </w:rPr>
        <w:t>1. A team must already be registered for a source event before it can request reassignment.</w:t>
      </w:r>
    </w:p>
    <w:p>
      <w:pPr>
        <w:pStyle w:val="BodyText"/>
        <w:spacing w:after="100" w:line="360" w:lineRule="auto" w:before="40"/>
      </w:pPr>
      <w:r>
        <w:rPr>
          <w:rFonts w:ascii="Aptos" w:hAnsi="Aptos"/>
          <w:color w:val="001B3F"/>
          <w:sz w:val="22"/>
        </w:rPr>
        <w:t>2. The requester chooses a different target event and provides a reason.</w:t>
      </w:r>
    </w:p>
    <w:p>
      <w:pPr>
        <w:pStyle w:val="BodyText"/>
        <w:spacing w:after="100" w:line="360" w:lineRule="auto" w:before="40"/>
      </w:pPr>
      <w:r>
        <w:rPr>
          <w:rFonts w:ascii="Aptos" w:hAnsi="Aptos"/>
          <w:color w:val="001B3F"/>
          <w:sz w:val="22"/>
        </w:rPr>
        <w:t>3. TeamService stores a pending TeamEventRequest with type Reassignment, source event, target event, reason, and timestamp.</w:t>
      </w:r>
    </w:p>
    <w:p>
      <w:pPr>
        <w:pStyle w:val="BodyText"/>
        <w:spacing w:after="100" w:line="360" w:lineRule="auto" w:before="40"/>
      </w:pPr>
      <w:r>
        <w:rPr>
          <w:rFonts w:ascii="Aptos" w:hAnsi="Aptos"/>
          <w:color w:val="001B3F"/>
          <w:sz w:val="22"/>
        </w:rPr>
        <w:t>4. Admin opens Requests, views request details, then approves or denies.</w:t>
      </w:r>
    </w:p>
    <w:p>
      <w:pPr>
        <w:pStyle w:val="BodyText"/>
        <w:spacing w:after="100" w:line="360" w:lineRule="auto" w:before="40"/>
      </w:pPr>
      <w:r>
        <w:rPr>
          <w:rFonts w:ascii="Aptos" w:hAnsi="Aptos"/>
          <w:color w:val="001B3F"/>
          <w:sz w:val="22"/>
        </w:rPr>
        <w:t>5. On approval, source participation and source locker assignment are removed; target participation is created if needed. On denial, no participation changes occur.</w:t>
      </w:r>
    </w:p>
    <w:p>
      <w:pPr>
        <w:pStyle w:val="Heading2"/>
        <w:spacing w:before="200" w:after="120" w:line="300" w:lineRule="auto"/>
      </w:pPr>
      <w:r>
        <w:rPr>
          <w:rFonts w:ascii="Aptos" w:hAnsi="Aptos"/>
          <w:b/>
          <w:i w:val="0"/>
          <w:color w:val="08325C"/>
          <w:sz w:val="30"/>
        </w:rPr>
        <w:t>Resignation and overlap workflows</w:t>
      </w:r>
    </w:p>
    <w:p>
      <w:pPr>
        <w:pStyle w:val="BodyText"/>
        <w:spacing w:after="100" w:line="360" w:lineRule="auto" w:before="40"/>
      </w:pPr>
      <w:r>
        <w:rPr>
          <w:rFonts w:ascii="Aptos" w:hAnsi="Aptos"/>
          <w:color w:val="001B3F"/>
          <w:sz w:val="22"/>
        </w:rPr>
        <w:t>1. Direct resignation is allowed only when the event is more than 48 hours away; it removes participation and locker assignment.</w:t>
      </w:r>
    </w:p>
    <w:p>
      <w:pPr>
        <w:pStyle w:val="BodyText"/>
        <w:spacing w:after="100" w:line="360" w:lineRule="auto" w:before="40"/>
      </w:pPr>
      <w:r>
        <w:rPr>
          <w:rFonts w:ascii="Aptos" w:hAnsi="Aptos"/>
          <w:color w:val="001B3F"/>
          <w:sz w:val="22"/>
        </w:rPr>
        <w:t>2. Inside the 48-hour cutoff, the team must submit a LateResignation request with a reason.</w:t>
      </w:r>
    </w:p>
    <w:p>
      <w:pPr>
        <w:pStyle w:val="BodyText"/>
        <w:spacing w:after="100" w:line="360" w:lineRule="auto" w:before="40"/>
      </w:pPr>
      <w:r>
        <w:rPr>
          <w:rFonts w:ascii="Aptos" w:hAnsi="Aptos"/>
          <w:color w:val="001B3F"/>
          <w:sz w:val="22"/>
        </w:rPr>
        <w:t>3. If a target event overlaps the team's existing schedule, direct registration is blocked and the user submits an OverlapParticipation request.</w:t>
      </w:r>
    </w:p>
    <w:p>
      <w:pPr>
        <w:pStyle w:val="BodyText"/>
        <w:spacing w:after="100" w:line="360" w:lineRule="auto" w:before="40"/>
      </w:pPr>
      <w:r>
        <w:rPr>
          <w:rFonts w:ascii="Aptos" w:hAnsi="Aptos"/>
          <w:color w:val="001B3F"/>
          <w:sz w:val="22"/>
        </w:rPr>
        <w:t>4. Admin approval applies the requested change; denial simply marks the request denied and keeps current data unchanged.</w:t>
      </w:r>
    </w:p>
    <w:p>
      <w:pPr>
        <w:spacing w:line="240" w:lineRule="auto" w:before="0" w:after="40"/>
      </w:pPr>
      <w:r>
        <w:rPr>
          <w:rFonts w:ascii="Aptos" w:hAnsi="Aptos"/>
          <w:sz w:val="4"/>
        </w:rPr>
        <w:br w:type="page"/>
      </w:r>
    </w:p>
    <w:p>
      <w:pPr>
        <w:spacing w:after="280" w:line="288" w:lineRule="auto" w:before="0"/>
      </w:pPr>
      <w:r>
        <w:rPr>
          <w:rFonts w:ascii="Aptos" w:hAnsi="Aptos"/>
          <w:b/>
          <w:i w:val="0"/>
          <w:color w:val="C88A00"/>
          <w:sz w:val="24"/>
        </w:rPr>
        <w:t>07 ATTENDEE, VENDOR, AND ASSIGNMENT WORKFLOWS</w:t>
      </w:r>
    </w:p>
    <w:p>
      <w:pPr>
        <w:pStyle w:val="Heading1"/>
        <w:spacing w:after="160" w:line="276" w:lineRule="auto" w:before="80"/>
      </w:pPr>
      <w:r>
        <w:rPr>
          <w:rFonts w:ascii="Aptos" w:hAnsi="Aptos"/>
          <w:b/>
          <w:i w:val="0"/>
          <w:color w:val="08325C"/>
          <w:sz w:val="48"/>
        </w:rPr>
        <w:t>Supported Operations on Participation and Resource Models</w:t>
      </w:r>
    </w:p>
    <w:p>
      <w:pPr>
        <w:pStyle w:val="Subtitle"/>
        <w:spacing w:after="240" w:line="324" w:lineRule="auto" w:before="0"/>
      </w:pPr>
      <w:r>
        <w:rPr>
          <w:rFonts w:ascii="Aptos" w:hAnsi="Aptos"/>
          <w:b w:val="0"/>
          <w:i/>
          <w:color w:val="5E6F8A"/>
          <w:sz w:val="25"/>
        </w:rPr>
        <w:t>These workflows connect people and vendors to scheduled events.</w:t>
      </w:r>
    </w:p>
    <w:p>
      <w:pPr>
        <w:spacing w:after="40" w:line="240" w:lineRule="auto" w:before="0"/>
        <w:pBdr>
          <w:bottom w:val="single" w:sz="12" w:space="1" w:color="C69214"/>
        </w:pBdr>
      </w:pPr>
    </w:p>
    <w:p>
      <w:pPr>
        <w:pStyle w:val="Heading2"/>
        <w:spacing w:before="200" w:after="120" w:line="300" w:lineRule="auto"/>
      </w:pPr>
      <w:r>
        <w:rPr>
          <w:rFonts w:ascii="Aptos" w:hAnsi="Aptos"/>
          <w:b/>
          <w:i w:val="0"/>
          <w:color w:val="08325C"/>
          <w:sz w:val="30"/>
        </w:rPr>
        <w:t>Attendee workflow</w:t>
      </w:r>
    </w:p>
    <w:p>
      <w:pPr>
        <w:pStyle w:val="BodyText"/>
        <w:spacing w:after="100" w:line="360" w:lineRule="auto" w:before="40"/>
      </w:pPr>
      <w:r>
        <w:rPr>
          <w:rFonts w:ascii="Aptos" w:hAnsi="Aptos"/>
          <w:color w:val="001B3F"/>
          <w:sz w:val="22"/>
        </w:rPr>
        <w:t>1. User opens Attendees and reviews attendee records.</w:t>
      </w:r>
    </w:p>
    <w:p>
      <w:pPr>
        <w:pStyle w:val="BodyText"/>
        <w:spacing w:after="100" w:line="360" w:lineRule="auto" w:before="40"/>
      </w:pPr>
      <w:r>
        <w:rPr>
          <w:rFonts w:ascii="Aptos" w:hAnsi="Aptos"/>
          <w:color w:val="001B3F"/>
          <w:sz w:val="22"/>
        </w:rPr>
        <w:t>2. Create Attendee stores name, email, and phone; duplicate email creation is rejected.</w:t>
      </w:r>
    </w:p>
    <w:p>
      <w:pPr>
        <w:pStyle w:val="BodyText"/>
        <w:spacing w:after="100" w:line="360" w:lineRule="auto" w:before="40"/>
      </w:pPr>
      <w:r>
        <w:rPr>
          <w:rFonts w:ascii="Aptos" w:hAnsi="Aptos"/>
          <w:color w:val="001B3F"/>
          <w:sz w:val="22"/>
        </w:rPr>
        <w:t>3. Edit Attendee updates contact fields.</w:t>
      </w:r>
    </w:p>
    <w:p>
      <w:pPr>
        <w:pStyle w:val="BodyText"/>
        <w:spacing w:after="100" w:line="360" w:lineRule="auto" w:before="40"/>
      </w:pPr>
      <w:r>
        <w:rPr>
          <w:rFonts w:ascii="Aptos" w:hAnsi="Aptos"/>
          <w:color w:val="001B3F"/>
          <w:sz w:val="22"/>
        </w:rPr>
        <w:t>4. Register for Event creates a RegistersFor row if the attendee and event exist, the registration is not duplicated, and venue capacity is not exceeded.</w:t>
      </w:r>
    </w:p>
    <w:p>
      <w:pPr>
        <w:pStyle w:val="BodyText"/>
        <w:spacing w:after="100" w:line="360" w:lineRule="auto" w:before="40"/>
      </w:pPr>
      <w:r>
        <w:rPr>
          <w:rFonts w:ascii="Aptos" w:hAnsi="Aptos"/>
          <w:color w:val="001B3F"/>
          <w:sz w:val="22"/>
        </w:rPr>
        <w:t>5. Unregister removes the specific RegistersFor row. Delete Attendee is refused while registrations still exist.</w:t>
      </w:r>
    </w:p>
    <w:p>
      <w:pPr>
        <w:pStyle w:val="Heading2"/>
        <w:spacing w:before="200" w:after="120" w:line="300" w:lineRule="auto"/>
      </w:pPr>
      <w:r>
        <w:rPr>
          <w:rFonts w:ascii="Aptos" w:hAnsi="Aptos"/>
          <w:b/>
          <w:i w:val="0"/>
          <w:color w:val="08325C"/>
          <w:sz w:val="30"/>
        </w:rPr>
        <w:t>Vendor workflow</w:t>
      </w:r>
    </w:p>
    <w:p>
      <w:pPr>
        <w:pStyle w:val="BodyText"/>
        <w:spacing w:after="100" w:line="360" w:lineRule="auto" w:before="40"/>
      </w:pPr>
      <w:r>
        <w:rPr>
          <w:rFonts w:ascii="Aptos" w:hAnsi="Aptos"/>
          <w:color w:val="001B3F"/>
          <w:sz w:val="22"/>
        </w:rPr>
        <w:t>1. User opens Vendors and manages vendor name, type, location, and phone.</w:t>
      </w:r>
    </w:p>
    <w:p>
      <w:pPr>
        <w:pStyle w:val="BodyText"/>
        <w:spacing w:after="100" w:line="360" w:lineRule="auto" w:before="40"/>
      </w:pPr>
      <w:r>
        <w:rPr>
          <w:rFonts w:ascii="Aptos" w:hAnsi="Aptos"/>
          <w:color w:val="001B3F"/>
          <w:sz w:val="22"/>
        </w:rPr>
        <w:t>2. Create/update trims form values and rejects duplicate vendor names.</w:t>
      </w:r>
    </w:p>
    <w:p>
      <w:pPr>
        <w:pStyle w:val="BodyText"/>
        <w:spacing w:after="100" w:line="360" w:lineRule="auto" w:before="40"/>
      </w:pPr>
      <w:r>
        <w:rPr>
          <w:rFonts w:ascii="Aptos" w:hAnsi="Aptos"/>
          <w:color w:val="001B3F"/>
          <w:sz w:val="22"/>
        </w:rPr>
        <w:t>3. Add Vendor to Event creates a SuppliesAt row if vendor/event exist and the relationship does not already exist.</w:t>
      </w:r>
    </w:p>
    <w:p>
      <w:pPr>
        <w:pStyle w:val="BodyText"/>
        <w:spacing w:after="100" w:line="360" w:lineRule="auto" w:before="40"/>
      </w:pPr>
      <w:r>
        <w:rPr>
          <w:rFonts w:ascii="Aptos" w:hAnsi="Aptos"/>
          <w:color w:val="001B3F"/>
          <w:sz w:val="22"/>
        </w:rPr>
        <w:t>4. Assign Vendor to Booth uses AssignmentService to validate booth venue, booth availability, and vendor duplicate assignment.</w:t>
      </w:r>
    </w:p>
    <w:p>
      <w:pPr>
        <w:pStyle w:val="BodyText"/>
        <w:spacing w:after="100" w:line="360" w:lineRule="auto" w:before="40"/>
      </w:pPr>
      <w:r>
        <w:rPr>
          <w:rFonts w:ascii="Aptos" w:hAnsi="Aptos"/>
          <w:color w:val="001B3F"/>
          <w:sz w:val="22"/>
        </w:rPr>
        <w:t>5. Remove Vendor from Event also removes booth assignments for that vendor/event before removing SuppliesAt.</w:t>
      </w:r>
    </w:p>
    <w:p>
      <w:pPr>
        <w:pStyle w:val="BodyText"/>
        <w:spacing w:after="100" w:line="360" w:lineRule="auto" w:before="40"/>
      </w:pPr>
      <w:r>
        <w:rPr>
          <w:rFonts w:ascii="Aptos" w:hAnsi="Aptos"/>
          <w:color w:val="001B3F"/>
          <w:sz w:val="22"/>
        </w:rPr>
        <w:t>6. Delete Vendor is refused while event or booth dependencies exist.</w:t>
      </w:r>
    </w:p>
    <w:p>
      <w:pPr>
        <w:pStyle w:val="Heading2"/>
        <w:spacing w:before="200" w:after="120" w:line="300" w:lineRule="auto"/>
      </w:pPr>
      <w:r>
        <w:rPr>
          <w:rFonts w:ascii="Aptos" w:hAnsi="Aptos"/>
          <w:b/>
          <w:i w:val="0"/>
          <w:color w:val="08325C"/>
          <w:sz w:val="30"/>
        </w:rPr>
        <w:t>Team locker and vendor booth assignment</w:t>
      </w:r>
    </w:p>
    <w:tbl>
      <w:tblPr>
        <w:tblStyle w:val="TableGrid"/>
        <w:tblW w:type="auto" w:w="0"/>
        <w:jc w:val="center"/>
        <w:tblLook w:firstColumn="1" w:firstRow="1" w:lastColumn="0" w:lastRow="0" w:noHBand="0" w:noVBand="1" w:val="04A0"/>
      </w:tblPr>
      <w:tblGrid>
        <w:gridCol w:w="2541"/>
        <w:gridCol w:w="2541"/>
        <w:gridCol w:w="2541"/>
        <w:gridCol w:w="2541"/>
      </w:tblGrid>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Assignment type</w:t>
            </w:r>
          </w:p>
        </w:tc>
        <w:tc>
          <w:tcPr>
            <w:tcW w:type="dxa" w:w="29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Precondition</w:t>
            </w:r>
          </w:p>
        </w:tc>
        <w:tc>
          <w:tcPr>
            <w:tcW w:type="dxa" w:w="37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Conflict checks</w:t>
            </w:r>
          </w:p>
        </w:tc>
        <w:tc>
          <w:tcPr>
            <w:tcW w:type="dxa" w:w="15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Stored row</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Team locker</w:t>
            </w:r>
          </w:p>
        </w:tc>
        <w:tc>
          <w:tcPr>
            <w:tcW w:type="dxa" w:w="29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Team must participate in the event.</w:t>
            </w:r>
          </w:p>
        </w:tc>
        <w:tc>
          <w:tcPr>
            <w:tcW w:type="dxa" w:w="37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Locker exists, belongs to event venue, team not already assigned, locker not occupied.</w:t>
            </w:r>
          </w:p>
        </w:tc>
        <w:tc>
          <w:tcPr>
            <w:tcW w:type="dxa" w:w="15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TeamAssignments.</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Vendor booth</w:t>
            </w:r>
          </w:p>
        </w:tc>
        <w:tc>
          <w:tcPr>
            <w:tcW w:type="dxa" w:w="29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Vendor and event must exist; SuppliesAt is created if needed.</w:t>
            </w:r>
          </w:p>
        </w:tc>
        <w:tc>
          <w:tcPr>
            <w:tcW w:type="dxa" w:w="37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Booth exists, belongs to event venue, vendor not already assigned, booth not occupied.</w:t>
            </w:r>
          </w:p>
        </w:tc>
        <w:tc>
          <w:tcPr>
            <w:tcW w:type="dxa" w:w="15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VendorAssignments.</w:t>
            </w:r>
          </w:p>
        </w:tc>
      </w:tr>
    </w:tbl>
    <w:p>
      <w:pPr>
        <w:spacing w:line="240" w:lineRule="auto" w:before="0" w:after="40"/>
      </w:pPr>
      <w:r>
        <w:rPr>
          <w:rFonts w:ascii="Aptos" w:hAnsi="Aptos"/>
          <w:sz w:val="4"/>
        </w:rPr>
        <w:br w:type="page"/>
      </w:r>
    </w:p>
    <w:p>
      <w:pPr>
        <w:spacing w:after="280" w:line="288" w:lineRule="auto" w:before="0"/>
      </w:pPr>
      <w:r>
        <w:rPr>
          <w:rFonts w:ascii="Aptos" w:hAnsi="Aptos"/>
          <w:b/>
          <w:i w:val="0"/>
          <w:color w:val="C88A00"/>
          <w:sz w:val="24"/>
        </w:rPr>
        <w:t>08 REPORTS, ADMIN, AND AUTHENTICATION</w:t>
      </w:r>
    </w:p>
    <w:p>
      <w:pPr>
        <w:pStyle w:val="Heading1"/>
        <w:spacing w:after="160" w:line="276" w:lineRule="auto" w:before="80"/>
      </w:pPr>
      <w:r>
        <w:rPr>
          <w:rFonts w:ascii="Aptos" w:hAnsi="Aptos"/>
          <w:b/>
          <w:i w:val="0"/>
          <w:color w:val="08325C"/>
          <w:sz w:val="48"/>
        </w:rPr>
        <w:t>Operational Visibility and Protected Access</w:t>
      </w:r>
    </w:p>
    <w:p>
      <w:pPr>
        <w:pStyle w:val="Subtitle"/>
        <w:spacing w:after="240" w:line="324" w:lineRule="auto" w:before="0"/>
      </w:pPr>
      <w:r>
        <w:rPr>
          <w:rFonts w:ascii="Aptos" w:hAnsi="Aptos"/>
          <w:b w:val="0"/>
          <w:i/>
          <w:color w:val="5E6F8A"/>
          <w:sz w:val="25"/>
        </w:rPr>
        <w:t>The platform includes read workflows for decision-making and admin-only workflows for control.</w:t>
      </w:r>
    </w:p>
    <w:p>
      <w:pPr>
        <w:spacing w:after="40" w:line="240" w:lineRule="auto" w:before="0"/>
        <w:pBdr>
          <w:bottom w:val="single" w:sz="12" w:space="1" w:color="C69214"/>
        </w:pBdr>
      </w:pPr>
    </w:p>
    <w:p>
      <w:pPr>
        <w:pStyle w:val="Heading2"/>
        <w:spacing w:before="200" w:after="120" w:line="300" w:lineRule="auto"/>
      </w:pPr>
      <w:r>
        <w:rPr>
          <w:rFonts w:ascii="Aptos" w:hAnsi="Aptos"/>
          <w:b/>
          <w:i w:val="0"/>
          <w:color w:val="08325C"/>
          <w:sz w:val="30"/>
        </w:rPr>
        <w:t>Reporting workflow</w:t>
      </w:r>
    </w:p>
    <w:tbl>
      <w:tblPr>
        <w:tblStyle w:val="TableGrid"/>
        <w:tblW w:type="auto" w:w="0"/>
        <w:jc w:val="center"/>
        <w:tblLook w:firstColumn="1" w:firstRow="1" w:lastColumn="0" w:lastRow="0" w:noHBand="0" w:noVBand="1" w:val="04A0"/>
      </w:tblPr>
      <w:tblGrid>
        <w:gridCol w:w="3389"/>
        <w:gridCol w:w="3389"/>
        <w:gridCol w:w="3389"/>
      </w:tblGrid>
      <w:tr>
        <w:trPr/>
        <w:tc>
          <w:tcPr>
            <w:tcW w:type="dxa" w:w="187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Report</w:t>
            </w:r>
          </w:p>
        </w:tc>
        <w:tc>
          <w:tcPr>
            <w:tcW w:type="dxa" w:w="47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Question answered</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Data used</w:t>
            </w:r>
          </w:p>
        </w:tc>
      </w:tr>
      <w:tr>
        <w:trPr/>
        <w:tc>
          <w:tcPr>
            <w:tcW w:type="dxa" w:w="187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Dashboard</w:t>
            </w:r>
          </w:p>
        </w:tc>
        <w:tc>
          <w:tcPr>
            <w:tcW w:type="dxa" w:w="47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How many events, teams, vendors, attendees, and pending/critical items exist?</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Counts from core tables and request/conflict queries.</w:t>
            </w:r>
          </w:p>
        </w:tc>
      </w:tr>
      <w:tr>
        <w:trPr/>
        <w:tc>
          <w:tcPr>
            <w:tcW w:type="dxa" w:w="187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Event roster</w:t>
            </w:r>
          </w:p>
        </w:tc>
        <w:tc>
          <w:tcPr>
            <w:tcW w:type="dxa" w:w="47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Who is attached to a selected event?</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Teams, attendees, vendors, locker rooms, booths, and event details.</w:t>
            </w:r>
          </w:p>
        </w:tc>
      </w:tr>
      <w:tr>
        <w:trPr/>
        <w:tc>
          <w:tcPr>
            <w:tcW w:type="dxa" w:w="187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Team schedule</w:t>
            </w:r>
          </w:p>
        </w:tc>
        <w:tc>
          <w:tcPr>
            <w:tcW w:type="dxa" w:w="47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Where is a selected team registered and assigned?</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ParticipatesIn, Events, Venues, TeamAssignments.</w:t>
            </w:r>
          </w:p>
        </w:tc>
      </w:tr>
      <w:tr>
        <w:trPr/>
        <w:tc>
          <w:tcPr>
            <w:tcW w:type="dxa" w:w="187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Venue occupancy</w:t>
            </w:r>
          </w:p>
        </w:tc>
        <w:tc>
          <w:tcPr>
            <w:tcW w:type="dxa" w:w="47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How heavily is a venue and its resources being used?</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Venue, Events, LockerRooms, VendorBooths, assignments.</w:t>
            </w:r>
          </w:p>
        </w:tc>
      </w:tr>
      <w:tr>
        <w:trPr/>
        <w:tc>
          <w:tcPr>
            <w:tcW w:type="dxa" w:w="187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Conflict report</w:t>
            </w:r>
          </w:p>
        </w:tc>
        <w:tc>
          <w:tcPr>
            <w:tcW w:type="dxa" w:w="47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Where are operational gaps or assignment conflicts?</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AssignmentService and reporting projections.</w:t>
            </w:r>
          </w:p>
        </w:tc>
      </w:tr>
      <w:tr>
        <w:trPr/>
        <w:tc>
          <w:tcPr>
            <w:tcW w:type="dxa" w:w="187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CSV export</w:t>
            </w:r>
          </w:p>
        </w:tc>
        <w:tc>
          <w:tcPr>
            <w:tcW w:type="dxa" w:w="4752"/>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How can report data be shared outside the app?</w:t>
            </w:r>
          </w:p>
        </w:tc>
        <w:tc>
          <w:tcPr>
            <w:tcW w:type="dxa" w:w="345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ReportingService converts selected report output into CSV.</w:t>
            </w:r>
          </w:p>
        </w:tc>
      </w:tr>
    </w:tbl>
    <w:p>
      <w:pPr>
        <w:pStyle w:val="Heading2"/>
        <w:spacing w:before="200" w:after="120" w:line="300" w:lineRule="auto"/>
      </w:pPr>
      <w:r>
        <w:rPr>
          <w:rFonts w:ascii="Aptos" w:hAnsi="Aptos"/>
          <w:b/>
          <w:i w:val="0"/>
          <w:color w:val="08325C"/>
          <w:sz w:val="30"/>
        </w:rPr>
        <w:t>Admin workflow</w:t>
      </w:r>
    </w:p>
    <w:p>
      <w:pPr>
        <w:pStyle w:val="BodyText"/>
        <w:spacing w:after="100" w:line="360" w:lineRule="auto" w:before="40"/>
      </w:pPr>
      <w:r>
        <w:rPr>
          <w:rFonts w:ascii="Aptos" w:hAnsi="Aptos"/>
          <w:color w:val="001B3F"/>
          <w:sz w:val="22"/>
        </w:rPr>
        <w:t>1. Admin signs in and can access admin-only routes.</w:t>
      </w:r>
    </w:p>
    <w:p>
      <w:pPr>
        <w:pStyle w:val="BodyText"/>
        <w:spacing w:after="100" w:line="360" w:lineRule="auto" w:before="40"/>
      </w:pPr>
      <w:r>
        <w:rPr>
          <w:rFonts w:ascii="Aptos" w:hAnsi="Aptos"/>
          <w:color w:val="001B3F"/>
          <w:sz w:val="22"/>
        </w:rPr>
        <w:t>2. Register New User creates ASP.NET Identity accounts and assigns Admin, Manager, or Viewer role membership.</w:t>
      </w:r>
    </w:p>
    <w:p>
      <w:pPr>
        <w:pStyle w:val="BodyText"/>
        <w:spacing w:after="100" w:line="360" w:lineRule="auto" w:before="40"/>
      </w:pPr>
      <w:r>
        <w:rPr>
          <w:rFonts w:ascii="Aptos" w:hAnsi="Aptos"/>
          <w:color w:val="001B3F"/>
          <w:sz w:val="22"/>
        </w:rPr>
        <w:t>3. Pending Requests lists TeamEventRequests waiting for decision, keeping long request details out of the main table through a details view.</w:t>
      </w:r>
    </w:p>
    <w:p>
      <w:pPr>
        <w:pStyle w:val="BodyText"/>
        <w:spacing w:after="100" w:line="360" w:lineRule="auto" w:before="40"/>
      </w:pPr>
      <w:r>
        <w:rPr>
          <w:rFonts w:ascii="Aptos" w:hAnsi="Aptos"/>
          <w:color w:val="001B3F"/>
          <w:sz w:val="22"/>
        </w:rPr>
        <w:t>4. Approve applies the domain change for the request type and stamps status/resolved time. Deny marks the request denied without changing operational relationships.</w:t>
      </w:r>
    </w:p>
    <w:p>
      <w:pPr>
        <w:pStyle w:val="Heading2"/>
        <w:spacing w:before="200" w:after="120" w:line="300" w:lineRule="auto"/>
      </w:pPr>
      <w:r>
        <w:rPr>
          <w:rFonts w:ascii="Aptos" w:hAnsi="Aptos"/>
          <w:b/>
          <w:i w:val="0"/>
          <w:color w:val="08325C"/>
          <w:sz w:val="30"/>
        </w:rPr>
        <w:t>Authentication workflow</w:t>
      </w:r>
    </w:p>
    <w:p>
      <w:pPr>
        <w:pStyle w:val="BodyText"/>
        <w:spacing w:after="100" w:line="360" w:lineRule="auto" w:before="40"/>
      </w:pPr>
      <w:r>
        <w:rPr>
          <w:rFonts w:ascii="Aptos" w:hAnsi="Aptos"/>
          <w:color w:val="001B3F"/>
          <w:sz w:val="22"/>
        </w:rPr>
        <w:t>- ASP.NET Identity stores users and roles in the AspNet tables and hashes passwords rather than storing plaintext.</w:t>
      </w:r>
    </w:p>
    <w:p>
      <w:pPr>
        <w:pStyle w:val="BodyText"/>
        <w:spacing w:after="100" w:line="360" w:lineRule="auto" w:before="40"/>
      </w:pPr>
      <w:r>
        <w:rPr>
          <w:rFonts w:ascii="Aptos" w:hAnsi="Aptos"/>
          <w:color w:val="001B3F"/>
          <w:sz w:val="22"/>
        </w:rPr>
        <w:t>- Cookies hold the authenticated session; unauthenticated users are redirected to login.</w:t>
      </w:r>
    </w:p>
    <w:p>
      <w:pPr>
        <w:pStyle w:val="BodyText"/>
        <w:spacing w:after="100" w:line="360" w:lineRule="auto" w:before="40"/>
      </w:pPr>
      <w:r>
        <w:rPr>
          <w:rFonts w:ascii="Aptos" w:hAnsi="Aptos"/>
          <w:color w:val="001B3F"/>
          <w:sz w:val="22"/>
        </w:rPr>
        <w:t>- The application uses role checks for admin-only surfaces and lays the foundation for stricter role-based feature gating.</w:t>
      </w:r>
    </w:p>
    <w:p>
      <w:pPr>
        <w:spacing w:line="240" w:lineRule="auto" w:before="0" w:after="40"/>
      </w:pPr>
      <w:r>
        <w:rPr>
          <w:rFonts w:ascii="Aptos" w:hAnsi="Aptos"/>
          <w:sz w:val="4"/>
        </w:rPr>
        <w:br w:type="page"/>
      </w:r>
    </w:p>
    <w:p>
      <w:pPr>
        <w:spacing w:after="280" w:line="288" w:lineRule="auto" w:before="0"/>
      </w:pPr>
      <w:r>
        <w:rPr>
          <w:rFonts w:ascii="Aptos" w:hAnsi="Aptos"/>
          <w:b/>
          <w:i w:val="0"/>
          <w:color w:val="C88A00"/>
          <w:sz w:val="24"/>
        </w:rPr>
        <w:t>09 TESTING AND QUALITY ASSURANCE</w:t>
      </w:r>
    </w:p>
    <w:p>
      <w:pPr>
        <w:pStyle w:val="Heading1"/>
        <w:spacing w:after="160" w:line="276" w:lineRule="auto" w:before="80"/>
      </w:pPr>
      <w:r>
        <w:rPr>
          <w:rFonts w:ascii="Aptos" w:hAnsi="Aptos"/>
          <w:b/>
          <w:i w:val="0"/>
          <w:color w:val="08325C"/>
          <w:sz w:val="48"/>
        </w:rPr>
        <w:t>How the Implementation Was Verified</w:t>
      </w:r>
    </w:p>
    <w:p>
      <w:pPr>
        <w:pStyle w:val="Subtitle"/>
        <w:spacing w:after="240" w:line="324" w:lineRule="auto" w:before="0"/>
      </w:pPr>
      <w:r>
        <w:rPr>
          <w:rFonts w:ascii="Aptos" w:hAnsi="Aptos"/>
          <w:b w:val="0"/>
          <w:i/>
          <w:color w:val="5E6F8A"/>
          <w:sz w:val="25"/>
        </w:rPr>
        <w:t>The test suite focuses on business rules, service behavior, auth, validation, and cross-model integrity.</w:t>
      </w:r>
    </w:p>
    <w:p>
      <w:pPr>
        <w:spacing w:after="40" w:line="240" w:lineRule="auto" w:before="0"/>
        <w:pBdr>
          <w:bottom w:val="single" w:sz="12" w:space="1" w:color="C69214"/>
        </w:pBdr>
      </w:pPr>
    </w:p>
    <w:p>
      <w:pPr>
        <w:pStyle w:val="Heading2"/>
        <w:spacing w:before="200" w:after="120" w:line="300" w:lineRule="auto"/>
      </w:pPr>
      <w:r>
        <w:rPr>
          <w:rFonts w:ascii="Aptos" w:hAnsi="Aptos"/>
          <w:b/>
          <w:i w:val="0"/>
          <w:color w:val="08325C"/>
          <w:sz w:val="30"/>
        </w:rPr>
        <w:t>Automated coverage</w:t>
      </w:r>
    </w:p>
    <w:tbl>
      <w:tblPr>
        <w:tblStyle w:val="TableGrid"/>
        <w:tblW w:type="auto" w:w="0"/>
        <w:jc w:val="center"/>
        <w:tblLook w:firstColumn="1" w:firstRow="1" w:lastColumn="0" w:lastRow="0" w:noHBand="0" w:noVBand="1" w:val="04A0"/>
      </w:tblPr>
      <w:tblGrid>
        <w:gridCol w:w="3389"/>
        <w:gridCol w:w="3389"/>
        <w:gridCol w:w="3389"/>
      </w:tblGrid>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Area</w:t>
            </w:r>
          </w:p>
        </w:tc>
        <w:tc>
          <w:tcPr>
            <w:tcW w:type="dxa" w:w="489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What is tested</w:t>
            </w:r>
          </w:p>
        </w:tc>
        <w:tc>
          <w:tcPr>
            <w:tcW w:type="dxa" w:w="33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Why it matters</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Validation</w:t>
            </w:r>
          </w:p>
        </w:tc>
        <w:tc>
          <w:tcPr>
            <w:tcW w:type="dxa" w:w="489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Dates, venue overlap, duplicate registrations, missing entities, assignment conflicts.</w:t>
            </w:r>
          </w:p>
        </w:tc>
        <w:tc>
          <w:tcPr>
            <w:tcW w:type="dxa" w:w="33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Prevents invalid operations before data is saved.</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Team requests</w:t>
            </w:r>
          </w:p>
        </w:tc>
        <w:tc>
          <w:tcPr>
            <w:tcW w:type="dxa" w:w="489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Reassignment, late resignation, overlap requests, approval, denial, duplicate pending requests.</w:t>
            </w:r>
          </w:p>
        </w:tc>
        <w:tc>
          <w:tcPr>
            <w:tcW w:type="dxa" w:w="33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Protects the most complex workflow in the app.</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Assignments</w:t>
            </w:r>
          </w:p>
        </w:tc>
        <w:tc>
          <w:tcPr>
            <w:tcW w:type="dxa" w:w="489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Team locker and vendor booth availability, venue mismatch, duplicate assignment.</w:t>
            </w:r>
          </w:p>
        </w:tc>
        <w:tc>
          <w:tcPr>
            <w:tcW w:type="dxa" w:w="33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Catches subtle multi-model resource bugs.</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Domain integrity</w:t>
            </w:r>
          </w:p>
        </w:tc>
        <w:tc>
          <w:tcPr>
            <w:tcW w:type="dxa" w:w="489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Event cleanup and refusal rules for venues, teams, attendees, and vendors.</w:t>
            </w:r>
          </w:p>
        </w:tc>
        <w:tc>
          <w:tcPr>
            <w:tcW w:type="dxa" w:w="33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Prevents SQL foreign-key failures during user actions.</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Auth</w:t>
            </w:r>
          </w:p>
        </w:tc>
        <w:tc>
          <w:tcPr>
            <w:tcW w:type="dxa" w:w="489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User creation, duplicate email, weak password, role assignment, admin-only registration.</w:t>
            </w:r>
          </w:p>
        </w:tc>
        <w:tc>
          <w:tcPr>
            <w:tcW w:type="dxa" w:w="33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Verifies account and role foundations.</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Reporting</w:t>
            </w:r>
          </w:p>
        </w:tc>
        <w:tc>
          <w:tcPr>
            <w:tcW w:type="dxa" w:w="489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Dashboard totals, rosters, schedules, occupancy, conflicts, and CSV export.</w:t>
            </w:r>
          </w:p>
        </w:tc>
        <w:tc>
          <w:tcPr>
            <w:tcW w:type="dxa" w:w="338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Confirms reports reflect relational state.</w:t>
            </w:r>
          </w:p>
        </w:tc>
      </w:tr>
    </w:tbl>
    <w:tbl>
      <w:tblPr>
        <w:tblW w:type="auto" w:w="0"/>
        <w:jc w:val="center"/>
        <w:tblLook w:firstColumn="1" w:firstRow="1" w:lastColumn="0" w:lastRow="0" w:noHBand="0" w:noVBand="1" w:val="04A0"/>
      </w:tblPr>
      <w:tblGrid>
        <w:gridCol w:w="10166"/>
      </w:tblGrid>
      <w:tr>
        <w:trPr/>
        <w:tc>
          <w:tcPr>
            <w:tcW w:type="dxa" w:w="10166"/>
            <w:shd w:fill="FFF7E4"/>
            <w:tcBorders>
              <w:top w:val="single" w:sz="6" w:space="0" w:color="CAD5E3"/>
              <w:left w:val="single" w:sz="6" w:space="0" w:color="CAD5E3"/>
              <w:bottom w:val="single" w:sz="6" w:space="0" w:color="CAD5E3"/>
              <w:right w:val="single" w:sz="6" w:space="0" w:color="CAD5E3"/>
            </w:tcBorders>
            <w:tcMar>
              <w:top w:w="125" w:type="dxa"/>
              <w:bottom w:w="125" w:type="dxa"/>
              <w:start w:w="160" w:type="dxa"/>
              <w:end w:w="160" w:type="dxa"/>
            </w:tcMar>
          </w:tcPr>
          <w:p>
            <w:pPr>
              <w:spacing w:after="0" w:line="276" w:lineRule="auto" w:before="0"/>
            </w:pPr>
            <w:r>
              <w:rPr>
                <w:rFonts w:ascii="Aptos" w:hAnsi="Aptos"/>
                <w:sz w:val="22"/>
              </w:rPr>
            </w:r>
            <w:r>
              <w:rPr>
                <w:rFonts w:ascii="Aptos" w:hAnsi="Aptos"/>
                <w:b/>
                <w:color w:val="002855"/>
                <w:sz w:val="22"/>
              </w:rPr>
              <w:t>Current result</w:t>
            </w:r>
          </w:p>
          <w:p>
            <w:pPr>
              <w:spacing w:after="0" w:line="276" w:lineRule="auto" w:before="0"/>
            </w:pPr>
            <w:r>
              <w:rPr>
                <w:rFonts w:ascii="Aptos" w:hAnsi="Aptos"/>
                <w:color w:val="001B3F"/>
                <w:sz w:val="22"/>
              </w:rPr>
              <w:t>The xUnit suite currently runs 84 tests with 84 passing. Tests use SQLite in-memory so they run without a local SQL Server dependency.</w:t>
            </w:r>
          </w:p>
        </w:tc>
      </w:tr>
    </w:tbl>
    <w:p>
      <w:pPr>
        <w:spacing w:after="40" w:line="240" w:lineRule="auto" w:before="0"/>
      </w:pPr>
    </w:p>
    <w:p>
      <w:pPr>
        <w:pStyle w:val="Heading2"/>
        <w:spacing w:before="200" w:after="120" w:line="300" w:lineRule="auto"/>
      </w:pPr>
      <w:r>
        <w:rPr>
          <w:rFonts w:ascii="Aptos" w:hAnsi="Aptos"/>
          <w:b/>
          <w:i w:val="0"/>
          <w:color w:val="08325C"/>
          <w:sz w:val="30"/>
        </w:rPr>
        <w:t>Manual smoke path</w:t>
      </w:r>
    </w:p>
    <w:p>
      <w:pPr>
        <w:pStyle w:val="BodyText"/>
        <w:spacing w:after="100" w:line="360" w:lineRule="auto" w:before="40"/>
      </w:pPr>
      <w:r>
        <w:rPr>
          <w:rFonts w:ascii="Aptos" w:hAnsi="Aptos"/>
          <w:color w:val="001B3F"/>
          <w:sz w:val="22"/>
        </w:rPr>
        <w:t>1. Sign in with a seeded demo user.</w:t>
      </w:r>
    </w:p>
    <w:p>
      <w:pPr>
        <w:pStyle w:val="BodyText"/>
        <w:spacing w:after="100" w:line="360" w:lineRule="auto" w:before="40"/>
      </w:pPr>
      <w:r>
        <w:rPr>
          <w:rFonts w:ascii="Aptos" w:hAnsi="Aptos"/>
          <w:color w:val="001B3F"/>
          <w:sz w:val="22"/>
        </w:rPr>
        <w:t>2. Open Events, Venues, Teams, Attendees, Vendors, Requests, and Reports.</w:t>
      </w:r>
    </w:p>
    <w:p>
      <w:pPr>
        <w:pStyle w:val="BodyText"/>
        <w:spacing w:after="100" w:line="360" w:lineRule="auto" w:before="40"/>
      </w:pPr>
      <w:r>
        <w:rPr>
          <w:rFonts w:ascii="Aptos" w:hAnsi="Aptos"/>
          <w:color w:val="001B3F"/>
          <w:sz w:val="22"/>
        </w:rPr>
        <w:t>3. Create or edit a low-risk test record and verify validation messages.</w:t>
      </w:r>
    </w:p>
    <w:p>
      <w:pPr>
        <w:pStyle w:val="BodyText"/>
        <w:spacing w:after="100" w:line="360" w:lineRule="auto" w:before="40"/>
      </w:pPr>
      <w:r>
        <w:rPr>
          <w:rFonts w:ascii="Aptos" w:hAnsi="Aptos"/>
          <w:color w:val="001B3F"/>
          <w:sz w:val="22"/>
        </w:rPr>
        <w:t>4. Exercise a team request and resolve it from the admin requests page.</w:t>
      </w:r>
    </w:p>
    <w:p>
      <w:pPr>
        <w:pStyle w:val="BodyText"/>
        <w:spacing w:after="100" w:line="360" w:lineRule="auto" w:before="40"/>
      </w:pPr>
      <w:r>
        <w:rPr>
          <w:rFonts w:ascii="Aptos" w:hAnsi="Aptos"/>
          <w:color w:val="001B3F"/>
          <w:sz w:val="22"/>
        </w:rPr>
        <w:t>5. Review dashboard and conflict report to confirm cross-table data is visible.</w:t>
      </w:r>
    </w:p>
    <w:p>
      <w:pPr>
        <w:spacing w:line="240" w:lineRule="auto" w:before="0" w:after="40"/>
      </w:pPr>
      <w:r>
        <w:rPr>
          <w:rFonts w:ascii="Aptos" w:hAnsi="Aptos"/>
          <w:sz w:val="4"/>
        </w:rPr>
        <w:br w:type="page"/>
      </w:r>
    </w:p>
    <w:p>
      <w:pPr>
        <w:spacing w:after="100" w:line="360" w:lineRule="auto" w:before="40"/>
      </w:pPr>
      <w:r>
        <w:rPr>
          <w:rFonts w:ascii="Aptos" w:hAnsi="Aptos"/>
          <w:b/>
          <w:color w:val="C69214"/>
          <w:sz w:val="22"/>
        </w:rPr>
        <w:t>10 DEPLOYMENT</w:t>
      </w:r>
    </w:p>
    <w:p>
      <w:pPr>
        <w:pStyle w:val="Heading1"/>
        <w:spacing w:after="160" w:line="276" w:lineRule="auto" w:before="80"/>
      </w:pPr>
      <w:r>
        <w:rPr>
          <w:rFonts w:ascii="Aptos" w:hAnsi="Aptos"/>
          <w:b/>
          <w:i w:val="0"/>
          <w:color w:val="08325C"/>
          <w:sz w:val="48"/>
        </w:rPr>
        <w:t>Hosted Website and Production Configuration</w:t>
      </w:r>
    </w:p>
    <w:p>
      <w:pPr>
        <w:pStyle w:val="Subtitle"/>
        <w:spacing w:after="240" w:line="324" w:lineRule="auto" w:before="0"/>
      </w:pPr>
      <w:r>
        <w:rPr>
          <w:rFonts w:ascii="Aptos" w:hAnsi="Aptos"/>
          <w:b w:val="0"/>
          <w:i/>
          <w:color w:val="5E6F8A"/>
          <w:sz w:val="25"/>
        </w:rPr>
        <w:t>The final project is accessible through Azure for grading.</w:t>
      </w:r>
    </w:p>
    <w:p>
      <w:pPr>
        <w:spacing w:after="40" w:line="240" w:lineRule="auto" w:before="0"/>
        <w:pBdr>
          <w:bottom w:val="single" w:sz="12" w:space="1" w:color="C69214"/>
        </w:pBdr>
      </w:pPr>
    </w:p>
    <w:p>
      <w:pPr>
        <w:pStyle w:val="BodyText"/>
        <w:spacing w:after="100" w:line="360" w:lineRule="auto" w:before="40"/>
      </w:pPr>
      <w:r>
        <w:rPr>
          <w:rFonts w:ascii="Aptos" w:hAnsi="Aptos"/>
          <w:color w:val="001B3F"/>
          <w:sz w:val="22"/>
        </w:rPr>
        <w:t>ArenaSync is deployed to Azure App Service with Azure SQL as the backing database. The production app reads its connection string from Azure App Service configuration rather than from source-controlled appsettings files.</w:t>
      </w:r>
    </w:p>
    <w:tbl>
      <w:tblPr>
        <w:tblStyle w:val="TableGrid"/>
        <w:tblW w:type="auto" w:w="0"/>
        <w:jc w:val="center"/>
        <w:tblLook w:firstColumn="1" w:firstRow="1" w:lastColumn="0" w:lastRow="0" w:noHBand="0" w:noVBand="1" w:val="04A0"/>
      </w:tblPr>
      <w:tblGrid>
        <w:gridCol w:w="3389"/>
        <w:gridCol w:w="3389"/>
        <w:gridCol w:w="3389"/>
      </w:tblGrid>
      <w:tr>
        <w:trPr/>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Component</w:t>
            </w:r>
          </w:p>
        </w:tc>
        <w:tc>
          <w:tcPr>
            <w:tcW w:type="dxa" w:w="45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Configuration</w:t>
            </w:r>
          </w:p>
        </w:tc>
        <w:tc>
          <w:tcPr>
            <w:tcW w:type="dxa" w:w="352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Reason</w:t>
            </w:r>
          </w:p>
        </w:tc>
      </w:tr>
      <w:tr>
        <w:trPr/>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Web host</w:t>
            </w:r>
          </w:p>
        </w:tc>
        <w:tc>
          <w:tcPr>
            <w:tcW w:type="dxa" w:w="45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Azure App Service</w:t>
            </w:r>
          </w:p>
        </w:tc>
        <w:tc>
          <w:tcPr>
            <w:tcW w:type="dxa" w:w="352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Public internet access for finals-week grading.</w:t>
            </w:r>
          </w:p>
        </w:tc>
      </w:tr>
      <w:tr>
        <w:trPr/>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Database</w:t>
            </w:r>
          </w:p>
        </w:tc>
        <w:tc>
          <w:tcPr>
            <w:tcW w:type="dxa" w:w="45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Azure SQL Database</w:t>
            </w:r>
          </w:p>
        </w:tc>
        <w:tc>
          <w:tcPr>
            <w:tcW w:type="dxa" w:w="352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Managed SQL Server-compatible storage for EF Core.</w:t>
            </w:r>
          </w:p>
        </w:tc>
      </w:tr>
      <w:tr>
        <w:trPr/>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Migrations</w:t>
            </w:r>
          </w:p>
        </w:tc>
        <w:tc>
          <w:tcPr>
            <w:tcW w:type="dxa" w:w="45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Applied with EF Core against the Azure connection string</w:t>
            </w:r>
          </w:p>
        </w:tc>
        <w:tc>
          <w:tcPr>
            <w:tcW w:type="dxa" w:w="352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Creates the production schema from the codebase.</w:t>
            </w:r>
          </w:p>
        </w:tc>
      </w:tr>
      <w:tr>
        <w:trPr/>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Connection string</w:t>
            </w:r>
          </w:p>
        </w:tc>
        <w:tc>
          <w:tcPr>
            <w:tcW w:type="dxa" w:w="45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Stored as Azure configuration / SQLAzure connection string</w:t>
            </w:r>
          </w:p>
        </w:tc>
        <w:tc>
          <w:tcPr>
            <w:tcW w:type="dxa" w:w="352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Keeps secrets out of Git.</w:t>
            </w:r>
          </w:p>
        </w:tc>
      </w:tr>
      <w:tr>
        <w:trPr/>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Seeder</w:t>
            </w:r>
          </w:p>
        </w:tc>
        <w:tc>
          <w:tcPr>
            <w:tcW w:type="dxa" w:w="45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SeedData:Enabled temporarily true, then false</w:t>
            </w:r>
          </w:p>
        </w:tc>
        <w:tc>
          <w:tcPr>
            <w:tcW w:type="dxa" w:w="352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Populates demo data once, then avoids repeated seeding.</w:t>
            </w:r>
          </w:p>
        </w:tc>
      </w:tr>
      <w:tr>
        <w:trPr/>
        <w:tc>
          <w:tcPr>
            <w:tcW w:type="dxa" w:w="1944"/>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Retry policy</w:t>
            </w:r>
          </w:p>
        </w:tc>
        <w:tc>
          <w:tcPr>
            <w:tcW w:type="dxa" w:w="4536"/>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EnableRetryOnFailure in UseSqlServer</w:t>
            </w:r>
          </w:p>
        </w:tc>
        <w:tc>
          <w:tcPr>
            <w:tcW w:type="dxa" w:w="3528"/>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Handles transient Azure SQL connection failures.</w:t>
            </w:r>
          </w:p>
        </w:tc>
      </w:tr>
    </w:tbl>
    <w:p>
      <w:pPr>
        <w:pStyle w:val="Heading2"/>
        <w:spacing w:before="200" w:after="120" w:line="300" w:lineRule="auto"/>
      </w:pPr>
      <w:r>
        <w:rPr>
          <w:rFonts w:ascii="Aptos" w:hAnsi="Aptos"/>
          <w:b/>
          <w:i w:val="0"/>
          <w:color w:val="08325C"/>
          <w:sz w:val="30"/>
        </w:rPr>
        <w:t>Public grading access</w:t>
      </w:r>
    </w:p>
    <w:p>
      <w:pPr>
        <w:pStyle w:val="BodyText"/>
        <w:spacing w:after="100" w:line="360" w:lineRule="auto" w:before="40"/>
      </w:pPr>
      <w:r>
        <w:rPr>
          <w:rFonts w:ascii="Aptos" w:hAnsi="Aptos"/>
          <w:color w:val="001B3F"/>
          <w:sz w:val="22"/>
        </w:rPr>
        <w:t>Website: https://arenasync-finals-fpbpd4fme0b7axc2.westus-01.azurewebsites.net/</w:t>
      </w:r>
    </w:p>
    <w:p>
      <w:pPr>
        <w:pStyle w:val="BodyText"/>
        <w:spacing w:after="100" w:line="360" w:lineRule="auto" w:before="40"/>
      </w:pPr>
      <w:r>
        <w:rPr>
          <w:rFonts w:ascii="Aptos" w:hAnsi="Aptos"/>
          <w:color w:val="001B3F"/>
          <w:sz w:val="22"/>
        </w:rPr>
        <w:t>- Admin demo login: admin@arenasync.com / Admin123!</w:t>
      </w:r>
    </w:p>
    <w:p>
      <w:pPr>
        <w:pStyle w:val="BodyText"/>
        <w:spacing w:after="100" w:line="360" w:lineRule="auto" w:before="40"/>
      </w:pPr>
      <w:r>
        <w:rPr>
          <w:rFonts w:ascii="Aptos" w:hAnsi="Aptos"/>
          <w:color w:val="001B3F"/>
          <w:sz w:val="22"/>
        </w:rPr>
        <w:t>- Manager demo login: manager@arenasync.com / Manager123!</w:t>
      </w:r>
    </w:p>
    <w:p>
      <w:pPr>
        <w:pStyle w:val="BodyText"/>
        <w:spacing w:after="100" w:line="360" w:lineRule="auto" w:before="40"/>
      </w:pPr>
      <w:r>
        <w:rPr>
          <w:rFonts w:ascii="Aptos" w:hAnsi="Aptos"/>
          <w:color w:val="001B3F"/>
          <w:sz w:val="22"/>
        </w:rPr>
        <w:t>- Viewer demo login: viewer@arenasync.com / Viewer123!</w:t>
      </w:r>
    </w:p>
    <w:p>
      <w:pPr>
        <w:pStyle w:val="BodyText"/>
        <w:spacing w:after="100" w:line="360" w:lineRule="auto" w:before="40"/>
      </w:pPr>
      <w:r>
        <w:rPr>
          <w:rFonts w:ascii="Aptos" w:hAnsi="Aptos"/>
          <w:color w:val="001B3F"/>
          <w:sz w:val="22"/>
        </w:rPr>
        <w:t>- Source code is submitted separately as a single archive file, per course instructions.</w:t>
      </w:r>
    </w:p>
    <w:tbl>
      <w:tblPr>
        <w:tblW w:type="auto" w:w="0"/>
        <w:jc w:val="center"/>
        <w:tblLook w:firstColumn="1" w:firstRow="1" w:lastColumn="0" w:lastRow="0" w:noHBand="0" w:noVBand="1" w:val="04A0"/>
      </w:tblPr>
      <w:tblGrid>
        <w:gridCol w:w="10166"/>
      </w:tblGrid>
      <w:tr>
        <w:trPr/>
        <w:tc>
          <w:tcPr>
            <w:tcW w:type="dxa" w:w="10166"/>
            <w:shd w:fill="EDF3FB"/>
            <w:tcBorders>
              <w:top w:val="single" w:sz="6" w:space="0" w:color="CAD5E3"/>
              <w:left w:val="single" w:sz="6" w:space="0" w:color="CAD5E3"/>
              <w:bottom w:val="single" w:sz="6" w:space="0" w:color="CAD5E3"/>
              <w:right w:val="single" w:sz="6" w:space="0" w:color="CAD5E3"/>
            </w:tcBorders>
            <w:tcMar>
              <w:top w:w="125" w:type="dxa"/>
              <w:bottom w:w="125" w:type="dxa"/>
              <w:start w:w="160" w:type="dxa"/>
              <w:end w:w="160" w:type="dxa"/>
            </w:tcMar>
          </w:tcPr>
          <w:p>
            <w:pPr>
              <w:spacing w:after="0" w:line="276" w:lineRule="auto" w:before="0"/>
            </w:pPr>
            <w:r>
              <w:rPr>
                <w:rFonts w:ascii="Aptos" w:hAnsi="Aptos"/>
                <w:sz w:val="22"/>
              </w:rPr>
            </w:r>
            <w:r>
              <w:rPr>
                <w:rFonts w:ascii="Aptos" w:hAnsi="Aptos"/>
                <w:b/>
                <w:color w:val="002855"/>
                <w:sz w:val="22"/>
              </w:rPr>
              <w:t>Production note</w:t>
            </w:r>
          </w:p>
          <w:p>
            <w:pPr>
              <w:spacing w:after="0" w:line="276" w:lineRule="auto" w:before="0"/>
            </w:pPr>
            <w:r>
              <w:rPr>
                <w:rFonts w:ascii="Aptos" w:hAnsi="Aptos"/>
                <w:color w:val="001B3F"/>
                <w:sz w:val="22"/>
              </w:rPr>
              <w:t>The seeded demo data in Azure is separate from local SQL Server data. Local database changes do not automatically appear in the hosted app unless migrated or seeded against Azure SQL.</w:t>
            </w:r>
          </w:p>
        </w:tc>
      </w:tr>
    </w:tbl>
    <w:p>
      <w:pPr>
        <w:spacing w:after="40" w:line="240" w:lineRule="auto" w:before="0"/>
      </w:pPr>
    </w:p>
    <w:p>
      <w:pPr>
        <w:spacing w:line="240" w:lineRule="auto" w:before="0" w:after="40"/>
      </w:pPr>
      <w:r>
        <w:rPr>
          <w:rFonts w:ascii="Aptos" w:hAnsi="Aptos"/>
          <w:sz w:val="4"/>
        </w:rPr>
        <w:br w:type="page"/>
      </w:r>
    </w:p>
    <w:p>
      <w:pPr>
        <w:spacing w:after="100" w:line="360" w:lineRule="auto" w:before="40"/>
      </w:pPr>
      <w:r>
        <w:rPr>
          <w:rFonts w:ascii="Aptos" w:hAnsi="Aptos"/>
          <w:b/>
          <w:color w:val="C69214"/>
          <w:sz w:val="22"/>
        </w:rPr>
        <w:t>11 PROJECT LOG</w:t>
      </w:r>
    </w:p>
    <w:p>
      <w:pPr>
        <w:pStyle w:val="Heading1"/>
        <w:spacing w:after="160" w:line="276" w:lineRule="auto" w:before="80"/>
      </w:pPr>
      <w:r>
        <w:rPr>
          <w:rFonts w:ascii="Aptos" w:hAnsi="Aptos"/>
          <w:b/>
          <w:i w:val="0"/>
          <w:color w:val="08325C"/>
          <w:sz w:val="48"/>
        </w:rPr>
        <w:t>Batch-Based Implementation History</w:t>
      </w:r>
    </w:p>
    <w:p>
      <w:pPr>
        <w:pStyle w:val="Subtitle"/>
        <w:spacing w:after="240" w:line="324" w:lineRule="auto" w:before="0"/>
      </w:pPr>
      <w:r>
        <w:rPr>
          <w:rFonts w:ascii="Aptos" w:hAnsi="Aptos"/>
          <w:b w:val="0"/>
          <w:i/>
          <w:color w:val="5E6F8A"/>
          <w:sz w:val="25"/>
        </w:rPr>
        <w:t>The log is part of the report and shows how user stories were delivered in logical slices.</w:t>
      </w:r>
    </w:p>
    <w:p>
      <w:pPr>
        <w:spacing w:after="40" w:line="240" w:lineRule="auto" w:before="0"/>
        <w:pBdr>
          <w:bottom w:val="single" w:sz="12" w:space="1" w:color="C69214"/>
        </w:pBdr>
      </w:pPr>
    </w:p>
    <w:p>
      <w:pPr>
        <w:pStyle w:val="BodyText"/>
        <w:spacing w:after="100" w:line="360" w:lineRule="auto" w:before="40"/>
      </w:pPr>
      <w:r>
        <w:rPr>
          <w:rFonts w:ascii="Aptos" w:hAnsi="Aptos"/>
          <w:color w:val="001B3F"/>
          <w:sz w:val="22"/>
        </w:rPr>
        <w:t>The team used a batch-based implementation approach. Each batch delivered a connected set of user stories, then later batches built on the models, services, and pages created earlier. This made the project easier to test because every batch had a coherent domain boundary.</w:t>
      </w:r>
    </w:p>
    <w:tbl>
      <w:tblPr>
        <w:tblStyle w:val="TableGrid"/>
        <w:tblW w:type="auto" w:w="0"/>
        <w:jc w:val="center"/>
        <w:tblLook w:firstColumn="1" w:firstRow="1" w:lastColumn="0" w:lastRow="0" w:noHBand="0" w:noVBand="1" w:val="04A0"/>
      </w:tblPr>
      <w:tblGrid>
        <w:gridCol w:w="3389"/>
        <w:gridCol w:w="3389"/>
        <w:gridCol w:w="3389"/>
      </w:tblGrid>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Batch</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User stories delivered</w:t>
            </w:r>
          </w:p>
        </w:tc>
        <w:tc>
          <w:tcPr>
            <w:tcW w:type="dxa" w:w="396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002855"/>
          </w:tcPr>
          <w:p>
            <w:pPr>
              <w:spacing w:after="0" w:line="276" w:lineRule="auto" w:before="0"/>
            </w:pPr>
            <w:r>
              <w:rPr>
                <w:rFonts w:ascii="Aptos" w:hAnsi="Aptos"/>
                <w:b/>
                <w:color w:val="FFFFFF"/>
                <w:sz w:val="22"/>
              </w:rPr>
            </w:r>
            <w:r>
              <w:rPr>
                <w:rFonts w:ascii="Aptos" w:hAnsi="Aptos"/>
                <w:b/>
                <w:color w:val="FFFFFF"/>
                <w:sz w:val="22"/>
              </w:rPr>
              <w:t>Implementation link</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1: Events and Venues</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Staff can create venues and schedule events.</w:t>
            </w:r>
          </w:p>
        </w:tc>
        <w:tc>
          <w:tcPr>
            <w:tcW w:type="dxa" w:w="396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Introduced Venue/Event models, DbContext setup, migrations, EventService, VenueService, and list/create/edit/delete pages.</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2: Teams and Attendees</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Staff can manage teams/attendees and connect them to events.</w:t>
            </w:r>
          </w:p>
        </w:tc>
        <w:tc>
          <w:tcPr>
            <w:tcW w:type="dxa" w:w="396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Added Team/Attendee models, ParticipatesIn and RegistersFor joins, team assignment and attendee registration workflows.</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3: Vendors and Facilities</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Staff can manage vendors, locker rooms, booths, and resource assignments.</w:t>
            </w:r>
          </w:p>
        </w:tc>
        <w:tc>
          <w:tcPr>
            <w:tcW w:type="dxa" w:w="396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Added Vendor, LockerRoom, VendorBooth, SuppliesAt, TeamAssignments, VendorAssignments, AssignmentService, and conflict detection.</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4: Reporting</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Staff can understand event rosters, team schedules, venue occupancy, and conflicts.</w:t>
            </w:r>
          </w:p>
        </w:tc>
        <w:tc>
          <w:tcPr>
            <w:tcW w:type="dxa" w:w="396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Added ReportingService, dashboard/report DTOs, reusable report components, CSV export, and conflict reports.</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5: Admin and Quality</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Users can authenticate; admins can manage access; invalid operations show useful feedback.</w:t>
            </w:r>
          </w:p>
        </w:tc>
        <w:tc>
          <w:tcPr>
            <w:tcW w:type="dxa" w:w="396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Integrated Identity, roles, ValidationService, validation panel, exception middleware, seed data, and broad tests.</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color w:val="001B3F"/>
                <w:sz w:val="22"/>
              </w:rPr>
              <w:t>6: Polish and Deployment</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The app is ready for final review and public grading.</w:t>
            </w:r>
          </w:p>
        </w:tc>
        <w:tc>
          <w:tcPr>
            <w:tcW w:type="dxa" w:w="396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5F7FA"/>
          </w:tcPr>
          <w:p>
            <w:pPr>
              <w:spacing w:after="0" w:line="276" w:lineRule="auto" w:before="0"/>
            </w:pPr>
            <w:r>
              <w:rPr>
                <w:rFonts w:ascii="Aptos" w:hAnsi="Aptos"/>
                <w:sz w:val="22"/>
              </w:rPr>
            </w:r>
            <w:r>
              <w:rPr>
                <w:rFonts w:ascii="Aptos" w:hAnsi="Aptos"/>
                <w:b w:val="0"/>
                <w:color w:val="001B3F"/>
                <w:sz w:val="22"/>
              </w:rPr>
              <w:t>Improved UI spacing/actions, added docs, CI/CD files, Docker/deployment config, production appsettings, and hosted Azure deployment.</w:t>
            </w:r>
          </w:p>
        </w:tc>
      </w:tr>
      <w:tr>
        <w:trPr/>
        <w:tc>
          <w:tcPr>
            <w:tcW w:type="dxa" w:w="180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color w:val="001B3F"/>
                <w:sz w:val="22"/>
              </w:rPr>
              <w:t>Final hardening</w:t>
            </w:r>
          </w:p>
        </w:tc>
        <w:tc>
          <w:tcPr>
            <w:tcW w:type="dxa" w:w="432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Admins can resolve team requests; dangerous deletes are predictable; user registration is admin-scoped.</w:t>
            </w:r>
          </w:p>
        </w:tc>
        <w:tc>
          <w:tcPr>
            <w:tcW w:type="dxa" w:w="3960"/>
            <w:vAlign w:val="center"/>
            <w:tcBorders>
              <w:top w:val="single" w:sz="6" w:space="0" w:color="D9DEE7"/>
              <w:left w:val="single" w:sz="6" w:space="0" w:color="D9DEE7"/>
              <w:bottom w:val="single" w:sz="6" w:space="0" w:color="D9DEE7"/>
              <w:right w:val="single" w:sz="6" w:space="0" w:color="D9DEE7"/>
            </w:tcBorders>
            <w:tcMar>
              <w:top w:w="80" w:type="dxa"/>
              <w:bottom w:w="80" w:type="dxa"/>
              <w:start w:w="115" w:type="dxa"/>
              <w:end w:w="115" w:type="dxa"/>
            </w:tcMar>
            <w:shd w:fill="FFFFFF"/>
          </w:tcPr>
          <w:p>
            <w:pPr>
              <w:spacing w:after="0" w:line="276" w:lineRule="auto" w:before="0"/>
            </w:pPr>
            <w:r>
              <w:rPr>
                <w:rFonts w:ascii="Aptos" w:hAnsi="Aptos"/>
                <w:sz w:val="22"/>
              </w:rPr>
            </w:r>
            <w:r>
              <w:rPr>
                <w:rFonts w:ascii="Aptos" w:hAnsi="Aptos"/>
                <w:b w:val="0"/>
                <w:color w:val="001B3F"/>
                <w:sz w:val="22"/>
              </w:rPr>
              <w:t>Added pending requests admin page, details/approve/deny flow, dependency-aware deletion tests, and Azure SQL retry/seeding configuration.</w:t>
            </w:r>
          </w:p>
        </w:tc>
      </w:tr>
    </w:tbl>
    <w:p>
      <w:pPr>
        <w:pStyle w:val="Heading2"/>
        <w:spacing w:before="200" w:after="120" w:line="300" w:lineRule="auto"/>
      </w:pPr>
      <w:r>
        <w:rPr>
          <w:rFonts w:ascii="Aptos" w:hAnsi="Aptos"/>
          <w:b/>
          <w:i w:val="0"/>
          <w:color w:val="08325C"/>
          <w:sz w:val="30"/>
        </w:rPr>
        <w:t>How the batches connect</w:t>
      </w:r>
    </w:p>
    <w:p>
      <w:pPr>
        <w:pStyle w:val="BodyText"/>
        <w:spacing w:after="100" w:line="360" w:lineRule="auto" w:before="40"/>
      </w:pPr>
      <w:r>
        <w:rPr>
          <w:rFonts w:ascii="Aptos" w:hAnsi="Aptos"/>
          <w:color w:val="001B3F"/>
          <w:sz w:val="22"/>
        </w:rPr>
        <w:t>- Batch 1 created the scheduling foundation: without venues and events, later participation and reporting stories had no anchor.</w:t>
      </w:r>
    </w:p>
    <w:p>
      <w:pPr>
        <w:pStyle w:val="BodyText"/>
        <w:spacing w:after="100" w:line="360" w:lineRule="auto" w:before="40"/>
      </w:pPr>
      <w:r>
        <w:rPr>
          <w:rFonts w:ascii="Aptos" w:hAnsi="Aptos"/>
          <w:color w:val="001B3F"/>
          <w:sz w:val="22"/>
        </w:rPr>
        <w:t>- Batch 2 added people/team participation, which made event rosters and team schedules possible.</w:t>
      </w:r>
    </w:p>
    <w:p>
      <w:pPr>
        <w:pStyle w:val="BodyText"/>
        <w:spacing w:after="100" w:line="360" w:lineRule="auto" w:before="40"/>
      </w:pPr>
      <w:r>
        <w:rPr>
          <w:rFonts w:ascii="Aptos" w:hAnsi="Aptos"/>
          <w:color w:val="001B3F"/>
          <w:sz w:val="22"/>
        </w:rPr>
        <w:t>- Batch 3 connected physical resources to participation, introducing the cross-model rules that later became conflict reports.</w:t>
      </w:r>
    </w:p>
    <w:p>
      <w:pPr>
        <w:pStyle w:val="BodyText"/>
        <w:spacing w:after="100" w:line="360" w:lineRule="auto" w:before="40"/>
      </w:pPr>
      <w:r>
        <w:rPr>
          <w:rFonts w:ascii="Aptos" w:hAnsi="Aptos"/>
          <w:color w:val="001B3F"/>
          <w:sz w:val="22"/>
        </w:rPr>
        <w:t>- Batch 4 turned operational data into management visibility through dashboard and report pages.</w:t>
      </w:r>
    </w:p>
    <w:p>
      <w:pPr>
        <w:pStyle w:val="BodyText"/>
        <w:spacing w:after="100" w:line="360" w:lineRule="auto" w:before="40"/>
      </w:pPr>
      <w:r>
        <w:rPr>
          <w:rFonts w:ascii="Aptos" w:hAnsi="Aptos"/>
          <w:color w:val="001B3F"/>
          <w:sz w:val="22"/>
        </w:rPr>
        <w:t>- Batch 5 added secure access, validation, and tests so the platform could be used safely.</w:t>
      </w:r>
    </w:p>
    <w:p>
      <w:pPr>
        <w:pStyle w:val="BodyText"/>
        <w:spacing w:after="100" w:line="360" w:lineRule="auto" w:before="40"/>
      </w:pPr>
      <w:r>
        <w:rPr>
          <w:rFonts w:ascii="Aptos" w:hAnsi="Aptos"/>
          <w:color w:val="001B3F"/>
          <w:sz w:val="22"/>
        </w:rPr>
        <w:t>- Batch 6 and final hardening prepared the project for grading: polished UI, documentation, deployment, seeded demo data, and bug fixes.</w:t>
      </w:r>
    </w:p>
    <w:sectPr w:rsidR="00FC693F" w:rsidRPr="0006063C" w:rsidSect="00034616">
      <w:footerReference w:type="default" r:id="rId9"/>
      <w:headerReference w:type="default" r:id="rId11"/>
      <w:pgSz w:w="12240" w:h="15840"/>
      <w:pgMar w:top="922"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Aptos" w:hAnsi="Aptos"/>
        <w:b w:val="0"/>
        <w:i w:val="0"/>
        <w:color w:val="5E6F8A"/>
        <w:sz w:val="19"/>
      </w:rPr>
      <w:t>ArenaSync Final Project Report | EECS 447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4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ptos" w:hAnsi="Aptos"/>
      <w:color w:val="08325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Aptos" w:hAnsi="Aptos"/>
      <w:b/>
      <w:bCs/>
      <w:color w:val="08325C"/>
      <w:sz w:val="48"/>
      <w:szCs w:val="28"/>
    </w:rPr>
  </w:style>
  <w:style w:type="paragraph" w:styleId="Heading2">
    <w:name w:val="heading 2"/>
    <w:basedOn w:val="Normal"/>
    <w:next w:val="Normal"/>
    <w:link w:val="Heading2Char"/>
    <w:uiPriority w:val="9"/>
    <w:unhideWhenUsed/>
    <w:qFormat/>
    <w:rsid w:val="00FC693F"/>
    <w:pPr>
      <w:keepNext/>
      <w:keepLines/>
      <w:spacing w:before="200" w:after="0" w:line="300" w:lineRule="auto"/>
      <w:outlineLvl w:val="1"/>
    </w:pPr>
    <w:rPr>
      <w:rFonts w:asciiTheme="majorHAnsi" w:eastAsiaTheme="majorEastAsia" w:hAnsiTheme="majorHAnsi" w:cstheme="majorBidi" w:ascii="Aptos" w:hAnsi="Aptos"/>
      <w:b/>
      <w:bCs/>
      <w:color w:val="08325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pPr>
    <w:rPr>
      <w:rFonts w:asciiTheme="majorHAnsi" w:eastAsiaTheme="majorEastAsia" w:hAnsiTheme="majorHAnsi" w:cstheme="majorBidi" w:ascii="Aptos" w:hAnsi="Aptos"/>
      <w:b/>
      <w:color w:val="0832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24" w:lineRule="auto"/>
    </w:pPr>
    <w:rPr>
      <w:rFonts w:asciiTheme="majorHAnsi" w:eastAsiaTheme="majorEastAsia" w:hAnsiTheme="majorHAnsi" w:cstheme="majorBidi" w:ascii="Aptos" w:hAnsi="Aptos"/>
      <w:b w:val="0"/>
      <w:i/>
      <w:iCs/>
      <w:color w:val="5E6F8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Aptos" w:hAnsi="Aptos"/>
      <w:color w:val="08325C"/>
      <w:sz w:val="22"/>
    </w:rPr>
  </w:style>
  <w:style w:type="paragraph" w:styleId="BodyText">
    <w:name w:val="Body Text"/>
    <w:basedOn w:val="Normal"/>
    <w:link w:val="BodyTextChar"/>
    <w:uiPriority w:val="99"/>
    <w:unhideWhenUsed/>
    <w:rsid w:val="00AA1D8D"/>
    <w:pPr>
      <w:spacing w:after="120" w:line="360" w:lineRule="auto"/>
    </w:pPr>
    <w:rPr>
      <w:rFonts w:ascii="Aptos" w:hAnsi="Aptos"/>
      <w:color w:val="08325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enasync-finals-fpbpd4fme0b7axc2.westus-01.azurewebsites.net/" TargetMode="Externa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