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Subject Encallment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Reverse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there's something strange. In your neighborhood. Who you gonna call?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Attached - chall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‘call’ word in the challenge itself gives a very big hint. It might refer to making a function call. Let’s check it out.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Firstly, using file command on the file tells us its an ELF executable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986088" cy="86467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864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fire up ghidra and we see the following functions: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214563" cy="3887946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3887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go through the phase 1-14 and doesn’t quite see anything important, not as important of a function that ‘printFlag’ looks like. We open up the function and well, it does make calls to all the phase functions, so we wont need it on a individual basis.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538538" cy="255750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557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see the main function and what it does is make a call to the ‘secretFunction’, upon checking the ‘secretFunction’ also there is no call made to the ‘printFlag’ function, which made me more curious about this function.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14863" cy="16640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66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76538" cy="17642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764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What if we jump our program to this function directly?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 open up our program on gdb (gdb chall) apply a breakpoint at main (b main) and then run the program (run)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538663" cy="128740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1287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When our program stops at the breakpoint, we use the command “jump &lt;fcuntionName&gt;” to jump to that particular function. In this case it’d be “jump printFlag”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862513" cy="83379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833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…and that’s all!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TCP1P{here_my_number_so_call_me_maybe}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