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/>
          <w:b/>
          <w:color w:val="000000"/>
          <w:sz w:val="40"/>
        </w:rPr>
        <w:t>Bloque 6M-2D - Compatibilidad del estado C</w:t>
      </w:r>
    </w:p>
    <w:p>
      <w:pPr>
        <w:spacing w:after="280"/>
      </w:pPr>
      <w:r>
        <w:rPr>
          <w:rFonts w:ascii="Calibri" w:hAnsi="Calibri"/>
          <w:b w:val="0"/>
          <w:color w:val="555555"/>
          <w:sz w:val="22"/>
        </w:rPr>
        <w:t>Caso Santos {50,70,80}. Auditoría local de restricciones B→C→D, sin avance a D→E ni E→F.</w:t>
      </w:r>
    </w:p>
    <w:p>
      <w:pPr>
        <w:pStyle w:val="Heading1"/>
      </w:pPr>
      <w:r>
        <w:rPr>
          <w:rFonts w:ascii="Calibri" w:hAnsi="Calibri"/>
          <w:b/>
          <w:color w:val="2E74B5"/>
          <w:sz w:val="32"/>
        </w:rPr>
        <w:t>Dictamen</w:t>
      </w:r>
    </w:p>
    <w:p>
      <w:pPr>
        <w:spacing w:after="120" w:line="264" w:lineRule="auto"/>
      </w:pPr>
      <w:r>
        <w:rPr>
          <w:rFonts w:ascii="Calibri" w:hAnsi="Calibri"/>
          <w:b w:val="0"/>
          <w:sz w:val="22"/>
        </w:rPr>
        <w:t>El estado C heredado del RHS B→C previo no satisface el manifold completo requerido por el RHS corregido C→D. La causa nace en B→C: se transportaba una película dinámica con cierre de momento incompatible con la etapa de elevación de Santos y no se mantenía la restricción algebraica de masa de la golfada. Se implementó un modo paralelo B→C santos_compatible que impone desde B las restricciones 4.1.32, 4.1.33, 4.1.35, 4.1.39 y 4.1.49-4.1.51. Con ese estado C, el RHS corregido C→D queda certificado y fue conectado a la API. D→E permanece provisional y E→F desconectado.</w:t>
      </w:r>
    </w:p>
    <w:p>
      <w:pPr>
        <w:pStyle w:val="Heading1"/>
      </w:pPr>
      <w:r>
        <w:rPr>
          <w:rFonts w:ascii="Calibri" w:hAnsi="Calibri"/>
          <w:b/>
          <w:color w:val="2E74B5"/>
          <w:sz w:val="32"/>
        </w:rPr>
        <w:t>Ecuaciones usadas para R_C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Referencia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Expresión</w:t>
            </w:r>
          </w:p>
        </w:tc>
        <w:tc>
          <w:tcPr>
            <w:tcW w:type="dxa" w:w="3168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Uso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  <w:t>4.1.32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  <w:t>dh_L/dt = v_l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  <w:t>cinemática del tope de golfada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  <w:t>4.1.33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  <w:t>dh_B/dt = v_B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  <w:t>cinemática de burbuja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  <w:t>4.1.35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  <w:t>2π(r-y)h_B dy/dt + A_f v_f - q_res = 0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  <w:t>balance de película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  <w:t>4.1.39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  <w:t>A_t v_l - A_f v_f - A_B v_B = 0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  <w:t>cierre algebraico de golfada/película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  <w:t>4.1.49-51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  <w:t>v_B = a v_l + b; dv_B/dt = a dv_l/dt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  <w:t>relación Brown usada por Santos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  <w:t>EOS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  <w:t>P_t1 = m_g ZRT/(M A_B h_B)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  <w:t>cierre masa-densidad-presión gas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/>
          <w:b/>
          <w:color w:val="2E74B5"/>
          <w:sz w:val="32"/>
        </w:rPr>
        <w:t>Clasificación del estado 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Variable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Clasificación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Restricción de transición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  <w:t>m_c, m_g, rho_g, P_g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  <w:t>variables dinámicas continuas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  <w:t>no pueden reinicializarse en C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  <w:t>v_g/v_B, v_f, y, m_film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  <w:t>dinámicas con cierres algebraicos/geométricos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  <w:t>deben llegar compatibles desde B→C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  <w:t>h_B, h_L, v_l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  <w:t>variables dinámicas continuas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  <w:t>misma cinemática a ambos lados de C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  <w:t>V_gi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  <w:t>condición de evento/transición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  <w:t>en C solo cierra la válvula motora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  <w:t>fallback, producido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  <w:t>diagnóstico/ledger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  <w:t>no justifican balancear película por proyección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rPr>
          <w:rFonts w:ascii="Calibri" w:hAnsi="Calibri"/>
          <w:b/>
          <w:color w:val="2E74B5"/>
          <w:sz w:val="32"/>
        </w:rPr>
        <w:t>Residuos comparativos R_C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2232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Residuo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Unidad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actual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actual norm.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compatible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compatible norm.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  <w:t>slug_mass_algebraic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  <w:t>m3/s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  <w:t>1.7682e-04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  <w:t>0.0419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  <w:t>3.7711e-11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  <w:t>8.5675e-09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  <w:t>film_mass_geometry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  <w:t>m3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  <w:t>-0.0059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  <w:t>0.3704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  <w:t>1.6429e-11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  <w:t>4.0574e-10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  <w:t>gas_eos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  <w:t>Pa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  <w:t>0.0060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  <w:t>8.5641e-10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  <w:t>0.0075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  <w:t>1.0572e-09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  <w:t>gas_density_geometry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  <w:t>kg/m3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  <w:t>4.9230e-08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  <w:t>8.5641e-10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  <w:t>6.0985e-08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  <w:t>1.0572e-09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  <w:t>event_c_volume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  <w:t>m3 std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  <w:t>0.0000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  <w:t>0.0000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  <w:t>0.0000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  <w:t>0.0000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  <w:t>film_mass_differential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  <w:t>m3/s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  <w:t>0.0000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  <w:t>0.0000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  <w:t>0.0000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  <w:t>0.0000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  <w:t>slug_mass_differential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  <w:t>m3/s2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  <w:t>1.1713e-05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  <w:t>0.1148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  <w:t>-6.3230e-14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  <w:t>4.5137e-09</w:t>
            </w:r>
          </w:p>
        </w:tc>
      </w:tr>
    </w:tbl>
    <w:p>
      <w:pPr>
        <w:spacing w:after="40"/>
      </w:pPr>
    </w:p>
    <w:p>
      <w:pPr>
        <w:spacing w:after="120" w:line="264" w:lineRule="auto"/>
      </w:pPr>
      <w:r>
        <w:rPr>
          <w:rFonts w:ascii="Calibri" w:hAnsi="Calibri"/>
          <w:b w:val="0"/>
          <w:sz w:val="22"/>
        </w:rPr>
        <w:t>Máximo normalizado: actual 0.370351; compatible 8.56754e-09. La tolerancia de certificación usada para compatibilidad es 1e-6.</w:t>
      </w:r>
    </w:p>
    <w:p>
      <w:pPr>
        <w:pStyle w:val="Heading1"/>
      </w:pPr>
      <w:r>
        <w:rPr>
          <w:rFonts w:ascii="Calibri" w:hAnsi="Calibri"/>
          <w:b/>
          <w:color w:val="2E74B5"/>
          <w:sz w:val="32"/>
        </w:rPr>
        <w:t>Reejecución B→C→D corregida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Caso</w:t>
            </w:r>
          </w:p>
        </w:tc>
        <w:tc>
          <w:tcPr>
            <w:tcW w:type="dxa" w:w="1584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tiempo relativo [s]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max R_C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certificado</w:t>
            </w:r>
          </w:p>
        </w:tc>
        <w:tc>
          <w:tcPr>
            <w:tcW w:type="dxa" w:w="2736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observación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  <w:t>C actual heredado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  <w:t>26.7940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  <w:t>0.3704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  <w:t>no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  <w:t>C→D corregido rechazado; balance líquido falla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  <w:t>C compatible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  <w:t>26.8690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  <w:t>8.5675e-09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  <w:t>sí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  <w:t>C→D corregido certificado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  <w:t>D con C compatible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  <w:t>443.0934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  <w:t>-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  <w:t>sí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  <w:t>gas 1.61e-15; líquido 1.26e-08; EOS 1.84e-09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/>
          <w:b/>
          <w:color w:val="2E74B5"/>
          <w:sz w:val="32"/>
        </w:rPr>
        <w:t>Trazabilidad código-prueba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584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Elemento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Archivo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Símbolo</w:t>
            </w:r>
          </w:p>
        </w:tc>
        <w:tc>
          <w:tcPr>
            <w:tcW w:type="dxa" w:w="2304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Prueba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  <w:t>R_C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  <w:t>src/gli/block6m2d_compatibility.py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  <w:t>compatibility_residuals_c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  <w:t>tests/test_block6m2d_c_compatibility.py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  <w:t>Auditoría ejecutable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  <w:t>src/gli/audit_block6m2d.py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  <w:t>audit_summary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  <w:t>tests/test_block6m2d_c_compatibility.py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  <w:t>B→C compatible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  <w:t>src/gli/stage_bc_common.py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  <w:t>rhs_bc_santos_compatible; rhs_mode=santos_compatible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  <w:t>test_santos_compatible_bc_transports_c_restrictions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  <w:t>C→D corregido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  <w:t>src/gli/stage_cd_common.py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  <w:t>_cd_terms_santos; rhs_mode=santos_corrected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  <w:t>test_corrected_cd_from_compatible_c_state_is_certified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  <w:t>API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  <w:t>src/gli_api/simulation_service.py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  <w:t>B→C santos_compatible; C→D santos_corrected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  <w:t>suite completa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/>
          <w:b/>
          <w:color w:val="2E74B5"/>
          <w:sz w:val="32"/>
        </w:rPr>
        <w:t>Alcance y límites</w:t>
      </w:r>
    </w:p>
    <w:p>
      <w:pPr>
        <w:spacing w:after="120" w:line="264" w:lineRule="auto"/>
      </w:pPr>
      <w:r>
        <w:rPr>
          <w:rFonts w:ascii="Calibri" w:hAnsi="Calibri"/>
          <w:b w:val="0"/>
          <w:sz w:val="22"/>
        </w:rPr>
        <w:t>API A→E con validationLevel=provisional: B→C compatible y C→D corregido quedan conectados; D→E sigue provisional y E→F desconectado. No se usaron proyecciones, clipping ni calibración. Pruebas: 101 passed en 70.55 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