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Bloque 6M-5 — Certificación A→F</w:t>
      </w:r>
    </w:p>
    <w:p>
      <w:r>
        <w:t>Integración controlada de la cadena Santos corregida: B→C santos_compatible, C→D santos_corrected, D→E santos_corrected y E→F santos_corrected.</w:t>
      </w:r>
    </w:p>
    <w:p>
      <w:pPr>
        <w:pStyle w:val="Heading1"/>
      </w:pPr>
      <w:r>
        <w:t>1. Dictamen</w:t>
      </w:r>
    </w:p>
    <w:p>
      <w:r>
        <w:t>Certificación A→F: SÍ. validationLevel candidato: certified. Evento terminal: F_FILM_VELOCITY_ZERO.</w:t>
      </w:r>
    </w:p>
    <w:p>
      <w:r>
        <w:t>Residuo máximo normalizado: 3.30061e-14.</w:t>
      </w:r>
    </w:p>
    <w:p>
      <w:r>
        <w:t>Nota temporal: con los parámetros exactos del endpoint, la auditoría global con max_step_s=0.5 reporta F=527.504 s. La API usa los pasos nativos/default de cada tramo y coincide con la auditoría en resolución API: F=527.504 s; el último punto público es F=527.504 s. El valor 526.778 s observado en la auditoría interna previa correspondía al helper santos_50_70_80(), no a los parámetros construidos por el endpoint público.</w:t>
      </w:r>
    </w:p>
    <w:p>
      <w:pPr>
        <w:pStyle w:val="Heading1"/>
      </w:pPr>
      <w:r>
        <w:t>2. Eventos y duraciones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6"/>
              </w:rPr>
              <w:t>Evento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6"/>
              </w:rPr>
              <w:t>t absoluto [s]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A_INITIAL_STATE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B_GAS_LIFT_VALVE_OPENS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34.9455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C_MOTOR_VALVE_CLOSES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56.1475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D_SLUG_TOP_REACHED_SURFACE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503.532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E_SLUG_BASE_REACHED_SURFACE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527.14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F_FILM_VELOCITY_ZERO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527.504</w:t>
            </w:r>
          </w:p>
        </w:tc>
      </w:tr>
    </w:tbl>
    <w:p>
      <w:r>
        <w:t>Para el endpoint público, el tiempo terminal exacto es el de resolución API: 527.504 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6"/>
              </w:rPr>
              <w:t>Tramo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6"/>
              </w:rPr>
              <w:t>duración [s]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A_B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34.9455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B_C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21.202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C_D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447.384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D_E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23.6077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E_F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0.364632</w:t>
            </w:r>
          </w:p>
        </w:tc>
      </w:tr>
    </w:tbl>
    <w:p>
      <w:pPr>
        <w:pStyle w:val="Heading1"/>
      </w:pPr>
      <w:r>
        <w:t>3. Compuertas de certificación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rPr>
                <w:b/>
                <w:sz w:val="16"/>
              </w:rPr>
              <w:t>Contrato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/>
                <w:sz w:val="16"/>
              </w:rPr>
              <w:t>Residual norm.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/>
                <w:sz w:val="16"/>
              </w:rPr>
              <w:t>Interpretación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event_order_A_to_F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Los eventos A, B, C, D, E y F deben estar ordenados estrictamente.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bc_certified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B-&gt;C santos_compatible debe estar certificado.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cd_certified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C-&gt;D santos_corrected debe estar certificado.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de_event_e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D-&gt;E santos_corrected debe alcanzar E.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de_gas_balance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Balance de gas acumulado hasta E.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de_liquid_balance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3.30061e-14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Balance líquido acumulado hasta E.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de_glv_closed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La GLV debe permanecer cerrada en D-&gt;E corregido.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ef_certified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E-&gt;F santos_corrected debe certificar F.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ef_gas_balance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5.25915e-16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Balance gas en E-&gt;F corregido.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ef_liquid_balance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Balance líquido en E-&gt;F corregido.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ef_glv_closed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La GLV no debe reabrir en E-&gt;F corregido.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terminal_f_velocity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1.99353e-18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b w:val="0"/>
                <w:sz w:val="16"/>
              </w:rPr>
              <w:t>El terminal F debe ocurrir en v_f=0.</w:t>
            </w:r>
          </w:p>
        </w:tc>
      </w:tr>
    </w:tbl>
    <w:p>
      <w:pPr>
        <w:pStyle w:val="Heading1"/>
      </w:pPr>
      <w:r>
        <w:t>4. API y contrato temporal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API pública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A_TO_F certified solo porque las compuertas A→F cierran.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terminalEvent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F_FILM_VELOCITY_ZERO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timeline/events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A_INITIAL_STATE, B, C, D, E, F en orden estricto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timeline/segments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A_B, B_C, C_D, D_E, E_F contiguos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validationLevel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6"/>
              </w:rPr>
              <w:t>certified para caseId santos-gli-50-70-80</w:t>
            </w:r>
          </w:p>
        </w:tc>
      </w:tr>
    </w:tbl>
    <w:p>
      <w:pPr>
        <w:pStyle w:val="Heading1"/>
      </w:pPr>
      <w:r>
        <w:t>5. Alcance físico declarado</w:t>
      </w:r>
    </w:p>
    <w:p>
      <w:r>
        <w:t>La certificación es local al caso Santos {50,70,80}, al conjunto de parámetros explícitos ya registrado y a los cierres documentados. Liao Tabla 5.14 permanece como benchmark parcial, no como validación cuantitativa del mismo caseId.</w:t>
      </w:r>
    </w:p>
    <w:p>
      <w:pPr>
        <w:pStyle w:val="Heading1"/>
      </w:pPr>
      <w:r>
        <w:t>6. Pruebas</w:t>
      </w:r>
    </w:p>
    <w:p>
      <w:r>
        <w:t>Pruebas focales añadidas: tests/test_block6m5_af_certification.py. Pruebas de API/timeline actualizadas para A→F.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