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Fluoreszierende Mineralien &amp; Fundstellen in der Schweiz</w:t>
      </w:r>
    </w:p>
    <w:p>
      <w:r>
        <w:t>Dieses Dokument kombiniert eine Übersicht typischer UV-aktiver Mineralien mit praktischen Fundorten, Fundbedingungen und Suchhinweisen für nicht-kommerzielle Sammler.</w:t>
      </w:r>
    </w:p>
    <w:p>
      <w:pPr>
        <w:pStyle w:val="Heading1"/>
      </w:pPr>
      <w:r>
        <w:t>Übersicht fluoreszierender Mineralien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Mineral</w:t>
            </w:r>
          </w:p>
        </w:tc>
        <w:tc>
          <w:tcPr>
            <w:tcW w:type="dxa" w:w="1440"/>
          </w:tcPr>
          <w:p>
            <w:r>
              <w:t>Farbe</w:t>
            </w:r>
          </w:p>
        </w:tc>
        <w:tc>
          <w:tcPr>
            <w:tcW w:type="dxa" w:w="1440"/>
          </w:tcPr>
          <w:p>
            <w:r>
              <w:t>Fluoreszenz-Stärke</w:t>
            </w:r>
          </w:p>
        </w:tc>
        <w:tc>
          <w:tcPr>
            <w:tcW w:type="dxa" w:w="1440"/>
          </w:tcPr>
          <w:p>
            <w:r>
              <w:t>Besser nass</w:t>
            </w:r>
          </w:p>
        </w:tc>
        <w:tc>
          <w:tcPr>
            <w:tcW w:type="dxa" w:w="1440"/>
          </w:tcPr>
          <w:p>
            <w:r>
              <w:t>Polarfilter</w:t>
            </w:r>
          </w:p>
        </w:tc>
        <w:tc>
          <w:tcPr>
            <w:tcW w:type="dxa" w:w="1440"/>
          </w:tcPr>
          <w:p>
            <w:r>
              <w:t>Peak-Wellenlänge (nm)</w:t>
            </w:r>
          </w:p>
        </w:tc>
      </w:tr>
      <w:tr>
        <w:tc>
          <w:tcPr>
            <w:tcW w:type="dxa" w:w="1440"/>
          </w:tcPr>
          <w:p>
            <w:r>
              <w:t>Fluorit</w:t>
            </w:r>
          </w:p>
        </w:tc>
        <w:tc>
          <w:tcPr>
            <w:tcW w:type="dxa" w:w="1440"/>
          </w:tcPr>
          <w:p>
            <w:r>
              <w:t>blau-violett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ja</w:t>
            </w:r>
          </w:p>
        </w:tc>
        <w:tc>
          <w:tcPr>
            <w:tcW w:type="dxa" w:w="1440"/>
          </w:tcPr>
          <w:p>
            <w:r>
              <w:t>empfohlen</w:t>
            </w:r>
          </w:p>
        </w:tc>
        <w:tc>
          <w:tcPr>
            <w:tcW w:type="dxa" w:w="1440"/>
          </w:tcPr>
          <w:p>
            <w:r>
              <w:t>365</w:t>
            </w:r>
          </w:p>
        </w:tc>
      </w:tr>
      <w:tr>
        <w:tc>
          <w:tcPr>
            <w:tcW w:type="dxa" w:w="1440"/>
          </w:tcPr>
          <w:p>
            <w:r>
              <w:t>Calcit</w:t>
            </w:r>
          </w:p>
        </w:tc>
        <w:tc>
          <w:tcPr>
            <w:tcW w:type="dxa" w:w="1440"/>
          </w:tcPr>
          <w:p>
            <w:r>
              <w:t>orange-pink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ja</w:t>
            </w:r>
          </w:p>
        </w:tc>
        <w:tc>
          <w:tcPr>
            <w:tcW w:type="dxa" w:w="1440"/>
          </w:tcPr>
          <w:p>
            <w:r>
              <w:t>hilfreich</w:t>
            </w:r>
          </w:p>
        </w:tc>
        <w:tc>
          <w:tcPr>
            <w:tcW w:type="dxa" w:w="1440"/>
          </w:tcPr>
          <w:p>
            <w:r>
              <w:t>400</w:t>
            </w:r>
          </w:p>
        </w:tc>
      </w:tr>
      <w:tr>
        <w:tc>
          <w:tcPr>
            <w:tcW w:type="dxa" w:w="1440"/>
          </w:tcPr>
          <w:p>
            <w:r>
              <w:t>Scheelit</w:t>
            </w:r>
          </w:p>
        </w:tc>
        <w:tc>
          <w:tcPr>
            <w:tcW w:type="dxa" w:w="1440"/>
          </w:tcPr>
          <w:p>
            <w:r>
              <w:t>blau-weiß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egal</w:t>
            </w:r>
          </w:p>
        </w:tc>
        <w:tc>
          <w:tcPr>
            <w:tcW w:type="dxa" w:w="1440"/>
          </w:tcPr>
          <w:p>
            <w:r>
              <w:t>nicht nötig</w:t>
            </w:r>
          </w:p>
        </w:tc>
        <w:tc>
          <w:tcPr>
            <w:tcW w:type="dxa" w:w="1440"/>
          </w:tcPr>
          <w:p>
            <w:r>
              <w:t>450</w:t>
            </w:r>
          </w:p>
        </w:tc>
      </w:tr>
      <w:tr>
        <w:tc>
          <w:tcPr>
            <w:tcW w:type="dxa" w:w="1440"/>
          </w:tcPr>
          <w:p>
            <w:r>
              <w:t>Willemit</w:t>
            </w:r>
          </w:p>
        </w:tc>
        <w:tc>
          <w:tcPr>
            <w:tcW w:type="dxa" w:w="1440"/>
          </w:tcPr>
          <w:p>
            <w:r>
              <w:t>grün</w:t>
            </w:r>
          </w:p>
        </w:tc>
        <w:tc>
          <w:tcPr>
            <w:tcW w:type="dxa" w:w="1440"/>
          </w:tcPr>
          <w:p>
            <w:r>
              <w:t>sehr hoch</w:t>
            </w:r>
          </w:p>
        </w:tc>
        <w:tc>
          <w:tcPr>
            <w:tcW w:type="dxa" w:w="1440"/>
          </w:tcPr>
          <w:p>
            <w:r>
              <w:t>egal</w:t>
            </w:r>
          </w:p>
        </w:tc>
        <w:tc>
          <w:tcPr>
            <w:tcW w:type="dxa" w:w="1440"/>
          </w:tcPr>
          <w:p>
            <w:r>
              <w:t>nicht nötig</w:t>
            </w:r>
          </w:p>
        </w:tc>
        <w:tc>
          <w:tcPr>
            <w:tcW w:type="dxa" w:w="1440"/>
          </w:tcPr>
          <w:p>
            <w:r>
              <w:t>510</w:t>
            </w:r>
          </w:p>
        </w:tc>
      </w:tr>
      <w:tr>
        <w:tc>
          <w:tcPr>
            <w:tcW w:type="dxa" w:w="1440"/>
          </w:tcPr>
          <w:p>
            <w:r>
              <w:t>Quarz (Selten)</w:t>
            </w:r>
          </w:p>
        </w:tc>
        <w:tc>
          <w:tcPr>
            <w:tcW w:type="dxa" w:w="1440"/>
          </w:tcPr>
          <w:p>
            <w:r>
              <w:t>schwach weißlich</w:t>
            </w:r>
          </w:p>
        </w:tc>
        <w:tc>
          <w:tcPr>
            <w:tcW w:type="dxa" w:w="1440"/>
          </w:tcPr>
          <w:p>
            <w:r>
              <w:t>sehr gering</w:t>
            </w:r>
          </w:p>
        </w:tc>
        <w:tc>
          <w:tcPr>
            <w:tcW w:type="dxa" w:w="1440"/>
          </w:tcPr>
          <w:p>
            <w:r>
              <w:t>nein</w:t>
            </w:r>
          </w:p>
        </w:tc>
        <w:tc>
          <w:tcPr>
            <w:tcW w:type="dxa" w:w="1440"/>
          </w:tcPr>
          <w:p>
            <w:r>
              <w:t>nicht relevant</w:t>
            </w:r>
          </w:p>
        </w:tc>
        <w:tc>
          <w:tcPr>
            <w:tcW w:type="dxa" w:w="1440"/>
          </w:tcPr>
          <w:p>
            <w:r>
              <w:t>395</w:t>
            </w:r>
          </w:p>
        </w:tc>
      </w:tr>
      <w:tr>
        <w:tc>
          <w:tcPr>
            <w:tcW w:type="dxa" w:w="1440"/>
          </w:tcPr>
          <w:p>
            <w:r>
              <w:t>Aragonit</w:t>
            </w:r>
          </w:p>
        </w:tc>
        <w:tc>
          <w:tcPr>
            <w:tcW w:type="dxa" w:w="1440"/>
          </w:tcPr>
          <w:p>
            <w:r>
              <w:t>bläulich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ja</w:t>
            </w:r>
          </w:p>
        </w:tc>
        <w:tc>
          <w:tcPr>
            <w:tcW w:type="dxa" w:w="1440"/>
          </w:tcPr>
          <w:p>
            <w:r>
              <w:t>hilfreich</w:t>
            </w:r>
          </w:p>
        </w:tc>
        <w:tc>
          <w:tcPr>
            <w:tcW w:type="dxa" w:w="1440"/>
          </w:tcPr>
          <w:p>
            <w:r>
              <w:t>385</w:t>
            </w:r>
          </w:p>
        </w:tc>
      </w:tr>
      <w:tr>
        <w:tc>
          <w:tcPr>
            <w:tcW w:type="dxa" w:w="1440"/>
          </w:tcPr>
          <w:p>
            <w:r>
              <w:t>Sodalith</w:t>
            </w:r>
          </w:p>
        </w:tc>
        <w:tc>
          <w:tcPr>
            <w:tcW w:type="dxa" w:w="1440"/>
          </w:tcPr>
          <w:p>
            <w:r>
              <w:t>orange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ja</w:t>
            </w:r>
          </w:p>
        </w:tc>
        <w:tc>
          <w:tcPr>
            <w:tcW w:type="dxa" w:w="1440"/>
          </w:tcPr>
          <w:p>
            <w:r>
              <w:t>nützlich</w:t>
            </w:r>
          </w:p>
        </w:tc>
        <w:tc>
          <w:tcPr>
            <w:tcW w:type="dxa" w:w="1440"/>
          </w:tcPr>
          <w:p>
            <w:r>
              <w:t>440</w:t>
            </w:r>
          </w:p>
        </w:tc>
      </w:tr>
      <w:tr>
        <w:tc>
          <w:tcPr>
            <w:tcW w:type="dxa" w:w="1440"/>
          </w:tcPr>
          <w:p>
            <w:r>
              <w:t>Zinkit</w:t>
            </w:r>
          </w:p>
        </w:tc>
        <w:tc>
          <w:tcPr>
            <w:tcW w:type="dxa" w:w="1440"/>
          </w:tcPr>
          <w:p>
            <w:r>
              <w:t>gelb-grün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egal</w:t>
            </w:r>
          </w:p>
        </w:tc>
        <w:tc>
          <w:tcPr>
            <w:tcW w:type="dxa" w:w="1440"/>
          </w:tcPr>
          <w:p>
            <w:r>
              <w:t>nicht nötig</w:t>
            </w:r>
          </w:p>
        </w:tc>
        <w:tc>
          <w:tcPr>
            <w:tcW w:type="dxa" w:w="1440"/>
          </w:tcPr>
          <w:p>
            <w:r>
              <w:t>530</w:t>
            </w:r>
          </w:p>
        </w:tc>
      </w:tr>
      <w:tr>
        <w:tc>
          <w:tcPr>
            <w:tcW w:type="dxa" w:w="1440"/>
          </w:tcPr>
          <w:p>
            <w:r>
              <w:t>Apatit</w:t>
            </w:r>
          </w:p>
        </w:tc>
        <w:tc>
          <w:tcPr>
            <w:tcW w:type="dxa" w:w="1440"/>
          </w:tcPr>
          <w:p>
            <w:r>
              <w:t>grünlich-gelb</w:t>
            </w:r>
          </w:p>
        </w:tc>
        <w:tc>
          <w:tcPr>
            <w:tcW w:type="dxa" w:w="1440"/>
          </w:tcPr>
          <w:p>
            <w:r>
              <w:t>mittel</w:t>
            </w:r>
          </w:p>
        </w:tc>
        <w:tc>
          <w:tcPr>
            <w:tcW w:type="dxa" w:w="1440"/>
          </w:tcPr>
          <w:p>
            <w:r>
              <w:t>nein</w:t>
            </w:r>
          </w:p>
        </w:tc>
        <w:tc>
          <w:tcPr>
            <w:tcW w:type="dxa" w:w="1440"/>
          </w:tcPr>
          <w:p>
            <w:r>
              <w:t>möglich</w:t>
            </w:r>
          </w:p>
        </w:tc>
        <w:tc>
          <w:tcPr>
            <w:tcW w:type="dxa" w:w="1440"/>
          </w:tcPr>
          <w:p>
            <w:r>
              <w:t>420</w:t>
            </w:r>
          </w:p>
        </w:tc>
      </w:tr>
      <w:tr>
        <w:tc>
          <w:tcPr>
            <w:tcW w:type="dxa" w:w="1440"/>
          </w:tcPr>
          <w:p>
            <w:r>
              <w:t>Autunit</w:t>
            </w:r>
          </w:p>
        </w:tc>
        <w:tc>
          <w:tcPr>
            <w:tcW w:type="dxa" w:w="1440"/>
          </w:tcPr>
          <w:p>
            <w:r>
              <w:t>neongelb</w:t>
            </w:r>
          </w:p>
        </w:tc>
        <w:tc>
          <w:tcPr>
            <w:tcW w:type="dxa" w:w="1440"/>
          </w:tcPr>
          <w:p>
            <w:r>
              <w:t>sehr hoch</w:t>
            </w:r>
          </w:p>
        </w:tc>
        <w:tc>
          <w:tcPr>
            <w:tcW w:type="dxa" w:w="1440"/>
          </w:tcPr>
          <w:p>
            <w:r>
              <w:t>egal</w:t>
            </w:r>
          </w:p>
        </w:tc>
        <w:tc>
          <w:tcPr>
            <w:tcW w:type="dxa" w:w="1440"/>
          </w:tcPr>
          <w:p>
            <w:r>
              <w:t>nicht nötig</w:t>
            </w:r>
          </w:p>
        </w:tc>
        <w:tc>
          <w:tcPr>
            <w:tcW w:type="dxa" w:w="1440"/>
          </w:tcPr>
          <w:p>
            <w:r>
              <w:t>520</w:t>
            </w:r>
          </w:p>
        </w:tc>
      </w:tr>
      <w:tr>
        <w:tc>
          <w:tcPr>
            <w:tcW w:type="dxa" w:w="1440"/>
          </w:tcPr>
          <w:p>
            <w:r>
              <w:t>Opal (Welo)</w:t>
            </w:r>
          </w:p>
        </w:tc>
        <w:tc>
          <w:tcPr>
            <w:tcW w:type="dxa" w:w="1440"/>
          </w:tcPr>
          <w:p>
            <w:r>
              <w:t>rosa-magentafarben</w:t>
            </w:r>
          </w:p>
        </w:tc>
        <w:tc>
          <w:tcPr>
            <w:tcW w:type="dxa" w:w="1440"/>
          </w:tcPr>
          <w:p>
            <w:r>
              <w:t>hoch</w:t>
            </w:r>
          </w:p>
        </w:tc>
        <w:tc>
          <w:tcPr>
            <w:tcW w:type="dxa" w:w="1440"/>
          </w:tcPr>
          <w:p>
            <w:r>
              <w:t>ja (hydrophan)</w:t>
            </w:r>
          </w:p>
        </w:tc>
        <w:tc>
          <w:tcPr>
            <w:tcW w:type="dxa" w:w="1440"/>
          </w:tcPr>
          <w:p>
            <w:r>
              <w:t>hilfreich</w:t>
            </w:r>
          </w:p>
        </w:tc>
        <w:tc>
          <w:tcPr>
            <w:tcW w:type="dxa" w:w="1440"/>
          </w:tcPr>
          <w:p>
            <w:r>
              <w:t>395</w:t>
            </w:r>
          </w:p>
        </w:tc>
      </w:tr>
    </w:tbl>
    <w:p>
      <w:pPr>
        <w:pStyle w:val="Heading1"/>
      </w:pPr>
      <w:r>
        <w:t>Ungewöhnliche Fundorte &amp; Geomorphologische Hinweise</w:t>
      </w:r>
    </w:p>
    <w:p>
      <w:pPr>
        <w:pStyle w:val="ListBullet"/>
      </w:pPr>
      <w:r>
        <w:t>📍 Holenstein-Fels, Sitterdorf TG (47.5276, 9.2611)</w:t>
        <w:br/>
        <w:t>→ Nagelfluh-Felswand mit Calcitadern, erosionsaktiv</w:t>
      </w:r>
    </w:p>
    <w:p>
      <w:pPr>
        <w:pStyle w:val="ListBullet"/>
      </w:pPr>
      <w:r>
        <w:t>📍 Tobel bei Märstetten TG (47.5869, 8.9086)</w:t>
        <w:br/>
        <w:t>→ Hangrutschzone mit Sickerwasser, Calcit, Quarz</w:t>
      </w:r>
    </w:p>
    <w:p>
      <w:pPr>
        <w:pStyle w:val="ListBullet"/>
      </w:pPr>
      <w:r>
        <w:t>📍 Wasserfall bei Zihlschlacht TG (47.5171, 9.2812)</w:t>
        <w:br/>
        <w:t>→ Starker Wassereintrag, gelegentlich lehmige Einschlüsse mit Aragonit</w:t>
      </w:r>
    </w:p>
    <w:p>
      <w:pPr>
        <w:pStyle w:val="ListBullet"/>
      </w:pPr>
      <w:r>
        <w:t>📍 Seitenbach bei Bischofszell TG (47.4929, 9.2373)</w:t>
        <w:br/>
        <w:t>→ Kiesbänke bei Niedrigwasser, Fluorit, Calcit</w:t>
      </w:r>
    </w:p>
    <w:p>
      <w:pPr>
        <w:pStyle w:val="ListBullet"/>
      </w:pPr>
      <w:r>
        <w:t>📍 Entwässerungsgraben bei Amriswil TG (47.5483, 9.2902)</w:t>
        <w:br/>
        <w:t>→ Feuchtzone mit Wurzeldruck und Quarzscherben</w:t>
      </w:r>
    </w:p>
    <w:p>
      <w:pPr>
        <w:pStyle w:val="ListBullet"/>
      </w:pPr>
      <w:r>
        <w:t>📍 Schlucht bei Trogen AR (47.3987, 9.4611)</w:t>
        <w:br/>
        <w:t>→ Verwachsene Schutthalde, Opalfragmente, Quarzadern</w:t>
      </w:r>
    </w:p>
    <w:p>
      <w:pPr>
        <w:pStyle w:val="ListBullet"/>
      </w:pPr>
      <w:r>
        <w:t>📍 Kalkwand bei Andwil SG (47.4381, 9.2894)</w:t>
        <w:br/>
        <w:t>→ Mergellage mit Kalkknollen, lokal fluoreszierend</w:t>
      </w:r>
    </w:p>
    <w:p>
      <w:pPr>
        <w:pStyle w:val="Heading1"/>
      </w:pPr>
      <w:r>
        <w:t>Hinweise zur Nachtsuche mit UV 395 nm</w:t>
      </w:r>
    </w:p>
    <w:p>
      <w:r>
        <w:t>- Polarisierte Brillen können helfen, Reflexe zu filtern und Strukturunterschiede hervorzuheben.</w:t>
        <w:br/>
        <w:t>- Nasses Gestein fluoresziert oft intensiver, besonders bei Calcit, Fluorit oder hydrophanem Opal.</w:t>
        <w:br/>
        <w:t>- Bei schwacher Wasserführung in Bachläufen sind Kiesbänke und Seitenarme besonders ergiebig.</w:t>
        <w:br/>
        <w:t>- Wurzelwerk, frischer Hangrutsch oder Regensickermulden öffnen oft neue Fundspalten.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