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StoneBoock – Analysebericht Objekt [[OBJ_ID]]</w:t>
      </w:r>
    </w:p>
    <w:p>
      <w:pPr>
        <w:jc w:val="center"/>
      </w:pPr>
      <w:r>
        <w:t>Vorlage v4.2 – dynamische Galerie, kompatibel mit StoneBoock.</w:t>
      </w:r>
    </w:p>
    <w:p>
      <w:pPr>
        <w:pStyle w:val="Heading2"/>
      </w:pPr>
      <w:r>
        <w:t>1. Objekt-Metadaten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Objekt-ID</w:t>
            </w:r>
          </w:p>
        </w:tc>
        <w:tc>
          <w:tcPr>
            <w:tcW w:type="dxa" w:w="4320"/>
          </w:tcPr>
          <w:p>
            <w:r>
              <w:t>[[OBJ_ID]]</w:t>
            </w:r>
          </w:p>
        </w:tc>
      </w:tr>
      <w:tr>
        <w:tc>
          <w:tcPr>
            <w:tcW w:type="dxa" w:w="4320"/>
          </w:tcPr>
          <w:p>
            <w:r>
              <w:t>Funddatum</w:t>
            </w:r>
          </w:p>
        </w:tc>
        <w:tc>
          <w:tcPr>
            <w:tcW w:type="dxa" w:w="4320"/>
          </w:tcPr>
          <w:p>
            <w:r>
              <w:t>[[DATE_ISO]]</w:t>
            </w:r>
          </w:p>
        </w:tc>
      </w:tr>
      <w:tr>
        <w:tc>
          <w:tcPr>
            <w:tcW w:type="dxa" w:w="4320"/>
          </w:tcPr>
          <w:p>
            <w:r>
              <w:t>Koordinaten</w:t>
            </w:r>
          </w:p>
        </w:tc>
        <w:tc>
          <w:tcPr>
            <w:tcW w:type="dxa" w:w="4320"/>
          </w:tcPr>
          <w:p>
            <w:r>
              <w:t>[[COORDS]]</w:t>
            </w:r>
          </w:p>
        </w:tc>
      </w:tr>
    </w:tbl>
    <w:p>
      <w:pPr>
        <w:pStyle w:val="Heading2"/>
      </w:pPr>
      <w:r>
        <w:t>8. Medien (Fotos/UV)</w:t>
      </w:r>
    </w:p>
    <w:p>
      <w:pPr>
        <w:jc w:val="center"/>
      </w:pPr>
      <w:r>
        <w:t>[[MEDIA_AUTO]]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