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1.5  —  G8YTZ / EI3IOB  —  July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second Picotuner is optional, and only needed if you want diversity reception (Section 9)</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preferred over WiFi for reliability, though either works</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https://raw.githubusercontent.com/G8YTZ/lynx-datv-receiver/main/install.sh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https://github.com/G8YTZ/lynx-datv-receiver.git ~/lynx</w:t>
      </w:r>
    </w:p>
    <w:p>
      <w:pPr>
        <w:spacing w:after="150"/>
      </w:pPr>
      <w:r>
        <w:t xml:space="preserve">If you'd rather not use git, the repository's files can also be downloaded as a .zip from the same GitHub page and transferred via SFTP — the file set is the same either way.</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second Picotuner, tuned to the same frequency and symbol rate, can be combined with the first for improved resilience against short signal fades — particularly useful on tropospheric or other marginal paths, using cross-polarised antennas to catch fades one polarisation misses.</w:t>
      </w:r>
    </w:p>
    <w:p>
      <w:pPr>
        <w:spacing w:after="150"/>
      </w:pPr>
      <w:r>
        <w:t xml:space="preserve">To enable it: connect the second Picotuner to the same network, note its IP, and select “Diversity” from the plug selector (alongside the existing A/B options) — either in Manual Tune, or when saving a memory preset. This tunes both receivers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you don't have a second Picotuner,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1"/>
        <w:spacing w:after="200" w:before="400"/>
      </w:pPr>
      <w:r>
        <w:t xml:space="preserve">12.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13.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