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1.7</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2"/>
        <w:spacing w:after="150" w:before="300"/>
      </w:pPr>
      <w:r>
        <w:t xml:space="preserve">1.7 tri_watch</w:t>
      </w:r>
    </w:p>
    <w:p>
      <w:pPr>
        <w:spacing w:after="150"/>
      </w:pPr>
      <w:r>
        <w:t xml:space="preserve">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pPr>
        <w:spacing w:after="150"/>
      </w:pPr>
      <w:r>
        <w:t xml:space="preserve">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pPr>
        <w:spacing w:after="150"/>
      </w:pPr>
      <w:r>
        <w:t xml:space="preserve">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pPr>
        <w:pBdr>
          <w:left w:val="single" w:color="E8A33D" w:sz="12" w:space="8"/>
        </w:pBdr>
        <w:shd w:fill="FFF4E5" w:val="clear"/>
        <w:spacing w:after="200" w:before="100"/>
        <w:ind w:left="200"/>
      </w:pPr>
      <w:r>
        <w:rPr>
          <w:i/>
          <w:iCs/>
          <w:sz w:val="20"/>
          <w:szCs w:val="20"/>
        </w:rPr>
        <w:t xml:space="preserve">tri_watch replaces the normal boot default/resume-last-state behaviour (§1.3) — every configured, enabled source is actively re-tuned at startup instead, every time.</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spacing w:after="150"/>
      </w:pPr>
      <w:r>
        <w:t xml:space="preserve">A separate, optional feature within this card: looks up and includes the waiting station's first name in tri_watch's (§1.7) on-screen notification. Needs its own credentials — a normal QRZ username/password login for QRZ's separate XML Data API (requires an XML-subscriber-level account), not the Logbook API key above, since it's a genuinely different QRZ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QRZ username / password</w:t>
            </w:r>
          </w:p>
        </w:tc>
        <w:tc>
          <w:tcPr>
            <w:tcW w:type="dxa" w:w="5200"/>
          </w:tcPr>
          <w:p>
            <w:r>
              <w:rPr>
                <w:b w:val="false"/>
                <w:bCs w:val="false"/>
                <w:sz w:val="20"/>
                <w:szCs w:val="20"/>
              </w:rPr>
              <w:t xml:space="preserve">Login for QRZ's XML Data API — a separate account tier from the Logbook API key above</w:t>
            </w:r>
          </w:p>
        </w:tc>
      </w:tr>
      <w:tr>
        <w:tc>
          <w:tcPr>
            <w:tcW w:type="dxa" w:w="3800"/>
          </w:tcPr>
          <w:p>
            <w:r>
              <w:rPr>
                <w:b w:val="false"/>
                <w:bCs w:val="false"/>
                <w:sz w:val="20"/>
                <w:szCs w:val="20"/>
              </w:rPr>
              <w:t xml:space="preserve">Use for tri_watch notifications</w:t>
            </w:r>
          </w:p>
        </w:tc>
        <w:tc>
          <w:tcPr>
            <w:tcW w:type="dxa" w:w="5200"/>
          </w:tcPr>
          <w:p>
            <w:r>
              <w:rPr>
                <w:b w:val="false"/>
                <w:bCs w:val="false"/>
                <w:sz w:val="20"/>
                <w:szCs w:val="20"/>
              </w:rPr>
              <w:t xml:space="preserve">Turns the name lookup on/off, independent of whether Logbook logging itself is enabled</w:t>
            </w:r>
          </w:p>
        </w:tc>
      </w:tr>
    </w:tbl>
    <w:p>
      <w:pPr>
        <w:pBdr>
          <w:left w:val="single" w:color="E8A33D" w:sz="12" w:space="8"/>
        </w:pBdr>
        <w:shd w:fill="FFF4E5" w:val="clear"/>
        <w:spacing w:after="200" w:before="100"/>
        <w:ind w:left="200"/>
      </w:pPr>
      <w:r>
        <w:rPr>
          <w:i/>
          <w:iCs/>
          <w:sz w:val="20"/>
          <w:szCs w:val="20"/>
        </w:rPr>
        <w:t xml:space="preserve">Results are cached per callsign for 24 hours. If a lookup is slow or QRZ is unreachable, the notification still appears immediately with just the callsign — the name is added afterwards if it arrives in time.</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pStyle w:val="Heading2"/>
        <w:spacing w:after="150" w:before="300"/>
      </w:pPr>
      <w:r>
        <w:t xml:space="preserve">3.9 Tri-Watch Sources</w:t>
      </w:r>
    </w:p>
    <w:p>
      <w:pPr>
        <w:spacing w:after="150"/>
      </w:pPr>
      <w:r>
        <w:t xml:space="preserve">Configures tri_watch (§1.7) — up to 3 sources (Rx1, Rx2, and a stream) a single receiver can monitor simultaneously, useful for covering a repeater's RF and stream relay together, or two RF sources on the same frequency at different symbol rates. Each of the three sections below has its own Include toggle — leaving a source unticked omits it from tri_watch entirely, the same as not configuring it at 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Frequency (Rx1 / Rx2) / Symbol rate</w:t>
            </w:r>
          </w:p>
        </w:tc>
        <w:tc>
          <w:tcPr>
            <w:tcW w:type="dxa" w:w="5200"/>
          </w:tcPr>
          <w:p>
            <w:r>
              <w:rPr>
                <w:b w:val="false"/>
                <w:bCs w:val="false"/>
                <w:sz w:val="20"/>
                <w:szCs w:val="20"/>
              </w:rPr>
              <w:t xml:space="preserve">The frequency (kHz) and symbol rate each RF source is actively tuned to at startup</w:t>
            </w:r>
          </w:p>
        </w:tc>
      </w:tr>
      <w:tr>
        <w:tc>
          <w:tcPr>
            <w:tcW w:type="dxa" w:w="3800"/>
          </w:tcPr>
          <w:p>
            <w:r>
              <w:rPr>
                <w:b w:val="false"/>
                <w:bCs w:val="false"/>
                <w:sz w:val="20"/>
                <w:szCs w:val="20"/>
              </w:rPr>
              <w:t xml:space="preserve">Callsign (Rx1 / Rx2)</w:t>
            </w:r>
          </w:p>
        </w:tc>
        <w:tc>
          <w:tcPr>
            <w:tcW w:type="dxa" w:w="5200"/>
          </w:tcPr>
          <w:p>
            <w:r>
              <w:rPr>
                <w:b w:val="false"/>
                <w:bCs w:val="false"/>
                <w:sz w:val="20"/>
                <w:szCs w:val="20"/>
              </w:rPr>
              <w:t xml:space="preserve">Used in the on-screen notification wording when that source is waiting to be shown (e.g. “G8YTZ is waiting to access GB3JT on 437.500”)</w:t>
            </w:r>
          </w:p>
        </w:tc>
      </w:tr>
      <w:tr>
        <w:tc>
          <w:tcPr>
            <w:tcW w:type="dxa" w:w="3800"/>
          </w:tcPr>
          <w:p>
            <w:r>
              <w:rPr>
                <w:b w:val="false"/>
                <w:bCs w:val="false"/>
                <w:sz w:val="20"/>
                <w:szCs w:val="20"/>
              </w:rPr>
              <w:t xml:space="preserve">Stream source</w:t>
            </w:r>
          </w:p>
        </w:tc>
        <w:tc>
          <w:tcPr>
            <w:tcW w:type="dxa" w:w="5200"/>
          </w:tcPr>
          <w:p>
            <w:r>
              <w:rPr>
                <w:b w:val="false"/>
                <w:bCs w:val="false"/>
                <w:sz w:val="20"/>
                <w:szCs w:val="20"/>
              </w:rPr>
              <w:t xml:space="preserve">The stream this slot plays when active</w:t>
            </w:r>
          </w:p>
        </w:tc>
      </w:tr>
      <w:tr>
        <w:tc>
          <w:tcPr>
            <w:tcW w:type="dxa" w:w="3800"/>
          </w:tcPr>
          <w:p>
            <w:r>
              <w:rPr>
                <w:b w:val="false"/>
                <w:bCs w:val="false"/>
                <w:sz w:val="20"/>
                <w:szCs w:val="20"/>
              </w:rPr>
              <w:t xml:space="preserve">Notification text (Stream)</w:t>
            </w:r>
          </w:p>
        </w:tc>
        <w:tc>
          <w:tcPr>
            <w:tcW w:type="dxa" w:w="5200"/>
          </w:tcPr>
          <w:p>
            <w:r>
              <w:rPr>
                <w:b w:val="false"/>
                <w:bCs w:val="false"/>
                <w:sz w:val="20"/>
                <w:szCs w:val="20"/>
              </w:rPr>
              <w:t xml:space="preserve">Custom wording shown when the stream is waiting to be shown, instead of an RF source's default callsign-based wording</w:t>
            </w:r>
          </w:p>
        </w:tc>
      </w:tr>
    </w:tbl>
    <w:p>
      <w:pPr>
        <w:pBdr>
          <w:left w:val="single" w:color="E8A33D" w:sz="12" w:space="8"/>
        </w:pBdr>
        <w:shd w:fill="FFF4E5" w:val="clear"/>
        <w:spacing w:after="200" w:before="100"/>
        <w:ind w:left="200"/>
      </w:pPr>
      <w:r>
        <w:rPr>
          <w:i/>
          <w:iCs/>
          <w:sz w:val="20"/>
          <w:szCs w:val="20"/>
        </w:rPr>
        <w:t xml:space="preserve">Saving here always requires a restart — tri_watch's monitoring is set up once at process start, unlike most other sections on this page. A few further settings (how long a source must stay active before tri_watch acts on it, the notification's own display duration, and the RF notification wording template itself) aren't yet exposed here and still need config.yaml directly.</w:t>
      </w:r>
    </w:p>
    <w:p>
      <w:pPr>
        <w:pStyle w:val="Heading2"/>
        <w:spacing w:after="150" w:before="300"/>
      </w:pPr>
      <w:r>
        <w:t xml:space="preserve">3.10 Pathfinder — End-of-Contact Station Map</w:t>
      </w:r>
    </w:p>
    <w:p>
      <w:pPr>
        <w:spacing w:after="150"/>
      </w:pPr>
      <w:r>
        <w:t xml:space="preserve">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pPr>
        <w:spacing w:after="150"/>
      </w:pPr>
      <w:r>
        <w:t xml:space="preserve">The station's position comes from their QRZ.com locator, so the QRZ lookup credentials in §3.5 must be configured for any card to appear. A station with no QRZ entry, or no locator on it, simply gets no card — the idle screen stays up as normal.</w:t>
      </w:r>
    </w:p>
    <w:p>
      <w:pPr>
        <w:spacing w:after="150"/>
      </w:pPr>
      <w:r>
        <w:t xml:space="preserve">Enabled, Delay and Duration are set here on the Config page. The remaining settings are tuned once against the shipped map data and are set in config.yaml directly:</w:t>
      </w:r>
    </w:p>
    <w:p>
      <w:pPr>
        <w:shd w:fill="F0F0F0" w:val="clear"/>
        <w:spacing w:after="150" w:before="100"/>
        <w:ind w:left="360"/>
      </w:pPr>
      <w:r>
        <w:rPr>
          <w:rFonts w:ascii="Consolas" w:cs="Consolas" w:eastAsia="Consolas" w:hAnsi="Consolas"/>
          <w:sz w:val="20"/>
          <w:szCs w:val="20"/>
        </w:rPr>
        <w:t xml:space="preserve">pathfinder:</w:t>
      </w:r>
      <w:r>
        <w:rPr>
          <w:rFonts w:ascii="Consolas" w:cs="Consolas" w:eastAsia="Consolas" w:hAnsi="Consolas"/>
          <w:sz w:val="20"/>
          <w:szCs w:val="20"/>
        </w:rPr>
        <w:br/>
      </w:r>
      <w:r>
        <w:rPr>
          <w:rFonts w:ascii="Consolas" w:cs="Consolas" w:eastAsia="Consolas" w:hAnsi="Consolas"/>
          <w:sz w:val="20"/>
          <w:szCs w:val="20"/>
        </w:rPr>
        <w:t xml:space="preserve">  enabled: true</w:t>
      </w:r>
      <w:r>
        <w:rPr>
          <w:rFonts w:ascii="Consolas" w:cs="Consolas" w:eastAsia="Consolas" w:hAnsi="Consolas"/>
          <w:sz w:val="20"/>
          <w:szCs w:val="20"/>
        </w:rPr>
        <w:br/>
      </w:r>
      <w:r>
        <w:rPr>
          <w:rFonts w:ascii="Consolas" w:cs="Consolas" w:eastAsia="Consolas" w:hAnsi="Consolas"/>
          <w:sz w:val="20"/>
          <w:szCs w:val="20"/>
        </w:rPr>
        <w:t xml:space="preserve">  delay_secs: 15</w:t>
      </w:r>
      <w:r>
        <w:rPr>
          <w:rFonts w:ascii="Consolas" w:cs="Consolas" w:eastAsia="Consolas" w:hAnsi="Consolas"/>
          <w:sz w:val="20"/>
          <w:szCs w:val="20"/>
        </w:rPr>
        <w:br/>
      </w:r>
      <w:r>
        <w:rPr>
          <w:rFonts w:ascii="Consolas" w:cs="Consolas" w:eastAsia="Consolas" w:hAnsi="Consolas"/>
          <w:sz w:val="20"/>
          <w:szCs w:val="20"/>
        </w:rPr>
        <w:t xml:space="preserve">  duration_secs: 30</w:t>
      </w:r>
      <w:r>
        <w:rPr>
          <w:rFonts w:ascii="Consolas" w:cs="Consolas" w:eastAsia="Consolas" w:hAnsi="Consolas"/>
          <w:sz w:val="20"/>
          <w:szCs w:val="20"/>
        </w:rPr>
        <w:br/>
      </w:r>
      <w:r>
        <w:rPr>
          <w:rFonts w:ascii="Consolas" w:cs="Consolas" w:eastAsia="Consolas" w:hAnsi="Consolas"/>
          <w:sz w:val="20"/>
          <w:szCs w:val="20"/>
        </w:rPr>
        <w:t xml:space="preserve">  min_span_km: 15</w:t>
      </w:r>
      <w:r>
        <w:rPr>
          <w:rFonts w:ascii="Consolas" w:cs="Consolas" w:eastAsia="Consolas" w:hAnsi="Consolas"/>
          <w:sz w:val="20"/>
          <w:szCs w:val="20"/>
        </w:rPr>
        <w:br/>
      </w:r>
      <w:r>
        <w:rPr>
          <w:rFonts w:ascii="Consolas" w:cs="Consolas" w:eastAsia="Consolas" w:hAnsi="Consolas"/>
          <w:sz w:val="20"/>
          <w:szCs w:val="20"/>
        </w:rPr>
        <w:t xml:space="preserve">  max_span_km: 1000</w:t>
      </w:r>
      <w:r>
        <w:rPr>
          <w:rFonts w:ascii="Consolas" w:cs="Consolas" w:eastAsia="Consolas" w:hAnsi="Consolas"/>
          <w:sz w:val="20"/>
          <w:szCs w:val="20"/>
        </w:rPr>
        <w:br/>
      </w:r>
      <w:r>
        <w:rPr>
          <w:rFonts w:ascii="Consolas" w:cs="Consolas" w:eastAsia="Consolas" w:hAnsi="Consolas"/>
          <w:sz w:val="20"/>
          <w:szCs w:val="20"/>
        </w:rPr>
        <w:t xml:space="preserve">  max_distance_km: 1200</w:t>
      </w:r>
    </w:p>
    <w:p>
      <w:pPr>
        <w:spacing w:after="150"/>
      </w:pPr>
      <w:r>
        <w:rPr>
          <w:b/>
          <w:bCs/>
        </w:rPr>
        <w:t xml:space="preserve">delay_secs</w:t>
      </w:r>
      <w:r>
        <w:t xml:space="preserve"> — the quiet gap after a station stops before the card appears. Exists so the display does not jump straight from a picture to a graphic.</w:t>
      </w:r>
    </w:p>
    <w:p>
      <w:pPr>
        <w:spacing w:after="150"/>
      </w:pPr>
      <w:r>
        <w:rPr>
          <w:b/>
          <w:bCs/>
        </w:rPr>
        <w:t xml:space="preserve">duration_secs</w:t>
      </w:r>
      <w:r>
        <w:t xml:space="preserve"> — how long the card stays on screen before the idle logo returns.</w:t>
      </w:r>
    </w:p>
    <w:p>
      <w:pPr>
        <w:spacing w:after="150"/>
      </w:pPr>
      <w:r>
        <w:rPr>
          <w:b/>
          <w:bCs/>
        </w:rPr>
        <w:t xml:space="preserve">min_span_km / max_span_km</w:t>
      </w:r>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pPr>
        <w:spacing w:after="150"/>
      </w:pPr>
      <w:r>
        <w:rPr>
          <w:b/>
          <w:bCs/>
        </w:rPr>
        <w:t xml:space="preserve">max_distance_km</w:t>
      </w:r>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pPr>
        <w:pBdr>
          <w:left w:val="single" w:color="E8A33D" w:sz="12" w:space="8"/>
        </w:pBdr>
        <w:shd w:fill="FFF4E5" w:val="clear"/>
        <w:spacing w:after="200" w:before="100"/>
        <w:ind w:left="200"/>
      </w:pPr>
      <w:r>
        <w:rPr>
          <w:i/>
          <w:iCs/>
          <w:sz w:val="20"/>
          <w:szCs w:val="20"/>
        </w:rPr>
        <w:t xml:space="preserve">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pPr>
        <w:spacing w:after="150"/>
      </w:pPr>
      <w:r>
        <w:t xml:space="preserve">To see a card without waiting for a real station, POST to /api/pathfinder/test with a callsign and locator — it arms exactly as a genuine contact would, honouring the configured delay and duration. Useful for checking the layout on your own display.</w:t>
      </w:r>
    </w:p>
    <w:p>
      <w:pPr>
        <w:spacing w:after="150"/>
      </w:pPr>
      <w:r>
        <w:t xml:space="preserve">If Bitfocus Companion (§3.6) is enabled and its unlock settle time is shorter than the card's window, the Config page shows a warning with a one-click button to match the two. The field stays editable rather than being locked or silently rewritten: unlock_settle_secs is a debounce (“has it really unlocked?”) rather than a hold-off, so lengthening it delays every unlock notification, not just a source switch. That is a trade-off worth making knowingly.</w:t>
      </w:r>
    </w:p>
    <w:p>
      <w:pPr>
        <w:spacing w:after="150"/>
      </w:pPr>
      <w:r>
        <w:rPr>
          <w:b/>
          <w:bCs/>
        </w:rPr>
        <w:t xml:space="preserve">At a repeater site, check your hang timers.</w:t>
      </w:r>
      <w:r>
        <w:t xml:space="preserve"> The card is on screen from delay_secs to delay_secs + duration_secs after unlock — 45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delay_secs + duration_secs, or shorten the card to fit the tail you already have.</w:t>
      </w:r>
    </w:p>
    <w:p>
      <w:pPr>
        <w:pBdr>
          <w:left w:val="single" w:color="E8A33D" w:sz="12" w:space="8"/>
        </w:pBdr>
        <w:shd w:fill="FFF4E5" w:val="clear"/>
        <w:spacing w:after="200" w:before="100"/>
        <w:ind w:left="200"/>
      </w:pPr>
      <w:r>
        <w:rPr>
          <w:i/>
          <w:iCs/>
          <w:sz w:val="20"/>
          <w:szCs w:val="20"/>
        </w:rPr>
        <w:t xml:space="preserve">Shortening delay_secs is usually the better trim. It only exists to give a pause after the contact, and 5s still reads as a pause rather than an interruption — whereas cutting duration_secs means fewer people read the card before it goes. Lynx's own gpio_tx keying (§3.8) needs no change: its power_down_settle_secs is far longer than this window.</w:t>
      </w:r>
    </w:p>
    <w:p>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GeoNames (CC BY), credited on the card itself.</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