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pPr>
        <w:pBdr>
          <w:left w:val="single" w:color="E8A33D" w:sz="12" w:space="8"/>
        </w:pBdr>
        <w:shd w:fill="FFF4E5" w:val="clear"/>
        <w:spacing w:after="200" w:before="100"/>
        <w:ind w:left="200"/>
      </w:pPr>
      <w:r>
        <w:rPr>
          <w:i/>
          <w:iCs/>
          <w:sz w:val="20"/>
          <w:szCs w:val="20"/>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PicoTuner wiki for fitting a second generator.</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(this receiver’s own position)</w:t>
            </w:r>
          </w:p>
        </w:tc>
        <w:tc>
          <w:tcPr>
            <w:tcW w:type="dxa" w:w="5200"/>
          </w:tcPr>
          <w:p>
            <w:r>
              <w:rPr>
                <w:b w:val="false"/>
                <w:bCs w:val="false"/>
                <w:sz w:val="20"/>
                <w:szCs w:val="20"/>
              </w:rP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2</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pStyle w:val="Heading2"/>
        <w:spacing w:after="150" w:before="300"/>
      </w:pPr>
      <w:r>
        <w:t xml:space="preserve">3.11 GNSS Portable Locator</w:t>
      </w:r>
    </w:p>
    <w:p>
      <w:pPr>
        <w:spacing w:after="150"/>
      </w:pPr>
      <w:r>
        <w:t xml:space="preserve">Sets this receiver's own position automatically from a GPS receiver, for operating away from the registered station address. With an optional Waveshare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pPr>
        <w:spacing w:after="150"/>
      </w:pPr>
      <w:r>
        <w:t xml:space="preserve">The card offers two modes: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Mode</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Automatic (default)</w:t>
            </w:r>
          </w:p>
        </w:tc>
        <w:tc>
          <w:tcPr>
            <w:tcW w:type="dxa" w:w="6000"/>
          </w:tcPr>
          <w:p>
            <w:r>
              <w:rPr>
                <w:b w:val="false"/>
                <w:bCs w:val="false"/>
                <w:sz w:val="20"/>
                <w:szCs w:val="20"/>
              </w:rPr>
              <w:t xml:space="preserve">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tc>
          <w:tcPr>
            <w:tcW w:type="dxa" w:w="3000"/>
          </w:tcPr>
          <w:p>
            <w:r>
              <w:rPr>
                <w:b w:val="false"/>
                <w:bCs w:val="false"/>
                <w:sz w:val="20"/>
                <w:szCs w:val="20"/>
              </w:rPr>
              <w:t xml:space="preserve">Manual</w:t>
            </w:r>
          </w:p>
        </w:tc>
        <w:tc>
          <w:tcPr>
            <w:tcW w:type="dxa" w:w="6000"/>
          </w:tcPr>
          <w:p>
            <w:r>
              <w:rPr>
                <w:b w:val="false"/>
                <w:bCs w:val="false"/>
                <w:sz w:val="20"/>
                <w:szCs w:val="20"/>
              </w:rPr>
              <w:t xml:space="preserve">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pPr>
        <w:spacing w:after="150"/>
      </w:pPr>
    </w:p>
    <w:p>
      <w:pPr>
        <w:pBdr>
          <w:left w:val="single" w:color="E8A33D" w:sz="12" w:space="8"/>
        </w:pBdr>
        <w:shd w:fill="FFF4E5" w:val="clear"/>
        <w:spacing w:after="200" w:before="100"/>
        <w:ind w:left="200"/>
      </w:pPr>
      <w:r>
        <w:rPr>
          <w:i/>
          <w:iCs/>
          <w:sz w:val="20"/>
          <w:szCs w:val="20"/>
        </w:rPr>
        <w:t xml:space="preserve">There is deliberately no Off. A site with no HAT costs nothing either way, and a site with one fitted usually still wants GPS time (below) even when the locator is set by hand - which is exactly what Manual gives you.</w:t>
      </w:r>
    </w:p>
    <w:p>
      <w:pPr>
        <w:spacing w:after="150"/>
      </w:pPr>
      <w:r>
        <w:t xml:space="preserve">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pPr>
        <w:spacing w:after="150"/>
      </w:pPr>
      <w:r>
        <w:t xml:space="preserve">The status box below the modes shows what the receiver is actually doing: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Row</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Receiver</w:t>
            </w:r>
          </w:p>
        </w:tc>
        <w:tc>
          <w:tcPr>
            <w:tcW w:type="dxa" w:w="6000"/>
          </w:tcPr>
          <w:p>
            <w:r>
              <w:rPr>
                <w:b w:val="false"/>
                <w:bCs w:val="false"/>
                <w:sz w:val="20"/>
                <w:szCs w:val="20"/>
              </w:rPr>
              <w:t xml:space="preserve">Whether anything is responding on the serial port</w:t>
            </w:r>
          </w:p>
        </w:tc>
      </w:tr>
      <w:tr>
        <w:tc>
          <w:tcPr>
            <w:tcW w:type="dxa" w:w="3000"/>
          </w:tcPr>
          <w:p>
            <w:r>
              <w:rPr>
                <w:b w:val="false"/>
                <w:bCs w:val="false"/>
                <w:sz w:val="20"/>
                <w:szCs w:val="20"/>
              </w:rPr>
              <w:t xml:space="preserve">Locator (8-char)</w:t>
            </w:r>
          </w:p>
        </w:tc>
        <w:tc>
          <w:tcPr>
            <w:tcW w:type="dxa" w:w="6000"/>
          </w:tcPr>
          <w:p>
            <w:r>
              <w:rPr>
                <w:b w:val="false"/>
                <w:bCs w:val="false"/>
                <w:sz w:val="20"/>
                <w:szCs w:val="20"/>
              </w:rPr>
              <w:t xml:space="preserve">Current position to 8 characters, finer than the 6 characters logged to QRZ</w:t>
            </w:r>
          </w:p>
        </w:tc>
      </w:tr>
      <w:tr>
        <w:tc>
          <w:tcPr>
            <w:tcW w:type="dxa" w:w="3000"/>
          </w:tcPr>
          <w:p>
            <w:r>
              <w:rPr>
                <w:b w:val="false"/>
                <w:bCs w:val="false"/>
                <w:sz w:val="20"/>
                <w:szCs w:val="20"/>
              </w:rPr>
              <w:t xml:space="preserve">Satellites / HDOP</w:t>
            </w:r>
          </w:p>
        </w:tc>
        <w:tc>
          <w:tcPr>
            <w:tcW w:type="dxa" w:w="6000"/>
          </w:tcPr>
          <w:p>
            <w:r>
              <w:rPr>
                <w:b w:val="false"/>
                <w:bCs w:val="false"/>
                <w:sz w:val="20"/>
                <w:szCs w:val="20"/>
              </w:rPr>
              <w:t xml:space="preserve">Satellites used and dilution of precision - lower HDOP is a better fix</w:t>
            </w:r>
          </w:p>
        </w:tc>
      </w:tr>
      <w:tr>
        <w:tc>
          <w:tcPr>
            <w:tcW w:type="dxa" w:w="3000"/>
          </w:tcPr>
          <w:p>
            <w:r>
              <w:rPr>
                <w:b w:val="false"/>
                <w:bCs w:val="false"/>
                <w:sz w:val="20"/>
                <w:szCs w:val="20"/>
              </w:rPr>
              <w:t xml:space="preserve">Time sync</w:t>
            </w:r>
          </w:p>
        </w:tc>
        <w:tc>
          <w:tcPr>
            <w:tcW w:type="dxa" w:w="6000"/>
          </w:tcPr>
          <w:p>
            <w:r>
              <w:rPr>
                <w:b w:val="false"/>
                <w:bCs w:val="false"/>
                <w:sz w:val="20"/>
                <w:szCs w:val="20"/>
              </w:rPr>
              <w:t xml:space="preserve">Off, Active, Waiting for a fix, or Unavailable on this receiver</w:t>
            </w:r>
          </w:p>
        </w:tc>
      </w:tr>
      <w:tr>
        <w:tc>
          <w:tcPr>
            <w:tcW w:type="dxa" w:w="3000"/>
          </w:tcPr>
          <w:p>
            <w:r>
              <w:rPr>
                <w:b w:val="false"/>
                <w:bCs w:val="false"/>
                <w:sz w:val="20"/>
                <w:szCs w:val="20"/>
              </w:rPr>
              <w:t xml:space="preserve">Status</w:t>
            </w:r>
          </w:p>
        </w:tc>
        <w:tc>
          <w:tcPr>
            <w:tcW w:type="dxa" w:w="6000"/>
          </w:tcPr>
          <w:p>
            <w:r>
              <w:rPr>
                <w:b w:val="false"/>
                <w:bCs w:val="false"/>
                <w:sz w:val="20"/>
                <w:szCs w:val="20"/>
              </w:rPr>
              <w:t xml:space="preserve">Confirmed fix, settling with seconds remaining, waiting, or No GNSS Module</w:t>
            </w:r>
          </w:p>
        </w:tc>
      </w:tr>
    </w:tbl>
    <w:p>
      <w:pPr>
        <w:spacing w:after="150"/>
      </w:pPr>
    </w:p>
    <w:p>
      <w:pPr>
        <w:spacing w:after="150"/>
      </w:pPr>
      <w:r>
        <w:t xml:space="preserve">The header of the main receiver page also shows the locator alongside the other status badges, in green with (GPS) when it comes from a confirmed fix and grey with (config) when it's the configured value, so it's never ambiguous which one a contact will be logged with.</w:t>
      </w:r>
    </w:p>
    <w:p>
      <w:pPr>
        <w:pBdr>
          <w:left w:val="single" w:color="E8A33D" w:sz="12" w:space="8"/>
        </w:pBdr>
        <w:shd w:fill="FFF4E5" w:val="clear"/>
        <w:spacing w:after="200" w:before="100"/>
        <w:ind w:left="200"/>
      </w:pPr>
      <w:r>
        <w:rPr>
          <w:i/>
          <w:iCs/>
          <w:sz w:val="20"/>
          <w:szCs w:val="20"/>
        </w:rPr>
        <w:t xml:space="preserve">GPS time sync needs a supporting service installed on the receiver. Where that hasn't been done, the toggle shows Unavailable on this receiver and the clock continues to use the internet as normal. Position and locator work regardless.</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