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1.4  —  G8YTZ / EI3IOB  —  July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second Picotuner is optional, and only needed if you want diversity reception (Section 9)</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preferred over WiFi for reliability, though either works</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enter the IP address, and save. This restarts Lynx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second Picotuner, tuned to the same frequency and symbol rate, can be combined with the first for improved resilience against short signal fades — particularly useful on tropospheric or other marginal paths, using cross-polarised antennas to catch fades one polarisation misses.</w:t>
      </w:r>
    </w:p>
    <w:p>
      <w:pPr>
        <w:spacing w:after="150"/>
      </w:pPr>
      <w:r>
        <w:t xml:space="preserve">To enable it: connect the second Picotuner to the same network, note its IP, and select “Diversity” from the plug selector (alongside the existing A/B options) — either in Manual Tune, or when saving a memory preset. This tunes both receivers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you don't have a second Picotuner,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2026-07-27T08:39:25.160Z</dcterms:created>
  <dcterms:modified xsi:type="dcterms:W3CDTF">2026-07-27T08:39:25.160Z</dcterms:modified>
</cp:coreProperties>
</file>

<file path=docProps/custom.xml><?xml version="1.0" encoding="utf-8"?>
<Properties xmlns="http://schemas.openxmlformats.org/officeDocument/2006/custom-properties" xmlns:vt="http://schemas.openxmlformats.org/officeDocument/2006/docPropsVTypes"/>
</file>