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5"/>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hint="default" w:ascii="Times New Roman" w:hAnsi="Times New Roman" w:eastAsia="Times New Roman" w:cs="Times New Roman"/>
          <w:i w:val="0"/>
          <w:smallCaps w:val="0"/>
          <w:strike w:val="0"/>
          <w:color w:val="000000"/>
          <w:sz w:val="21"/>
          <w:szCs w:val="21"/>
          <w:u w:val="none"/>
          <w:vertAlign w:val="baseline"/>
          <w:lang w:val="en-US"/>
        </w:rPr>
      </w:pPr>
      <w:r>
        <w:rPr>
          <w:rFonts w:hint="eastAsia" w:ascii="Times New Roman" w:hAnsi="Times New Roman" w:eastAsia="宋体" w:cs="Times New Roman"/>
          <w:b/>
          <w:sz w:val="41"/>
          <w:szCs w:val="41"/>
          <w:rtl w:val="0"/>
          <w:lang w:val="en-US" w:eastAsia="zh-CN"/>
        </w:rPr>
        <w:t>Mini Project</w:t>
      </w: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5"/>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5"/>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39EB0B65">
      <w:pPr>
        <w:keepNext w:val="0"/>
        <w:keepLines w:val="0"/>
        <w:widowControl/>
        <w:suppressLineNumbers w:val="0"/>
        <w:jc w:val="left"/>
        <w:rPr>
          <w:rFonts w:hint="eastAsia" w:ascii="Times New Roman" w:hAnsi="Times New Roman" w:eastAsia="宋体" w:cs="Times New Roman"/>
          <w:b/>
          <w:sz w:val="30"/>
          <w:szCs w:val="30"/>
          <w:rtl w:val="0"/>
          <w:lang w:val="en-US" w:eastAsia="zh-CN"/>
        </w:rPr>
      </w:pPr>
    </w:p>
    <w:p w14:paraId="5F6950C2">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Introduction</w:t>
      </w:r>
    </w:p>
    <w:p w14:paraId="3F8E0964">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Event related potential (ERP) is a specific pattern of brain responses which reflects how the brain processes a particular stimulus or task. To measure ERP, researchers use scalp electrodes to record the electrical activity of the brain during specific tasks (e.g. counting oddballs). The event or stimulus is time-stamped in the electroencephalography (EEG) data.There are multiple stages of ERP components. In sequence: pre-stimulus p</w:t>
      </w:r>
      <w:r>
        <w:rPr>
          <w:rFonts w:hint="default" w:ascii="Times New Roman" w:hAnsi="Times New Roman" w:eastAsia="宋体" w:cs="Times New Roman"/>
          <w:i w:val="0"/>
          <w:iCs w:val="0"/>
          <w:sz w:val="24"/>
          <w:szCs w:val="24"/>
          <w:rtl w:val="0"/>
          <w:lang w:val="en-US" w:eastAsia="zh-CN"/>
        </w:rPr>
        <w:t>reparatory</w:t>
      </w:r>
      <w:r>
        <w:rPr>
          <w:rFonts w:hint="eastAsia" w:ascii="Times New Roman" w:hAnsi="Times New Roman" w:eastAsia="宋体" w:cs="Times New Roman"/>
          <w:i w:val="0"/>
          <w:iCs w:val="0"/>
          <w:sz w:val="24"/>
          <w:szCs w:val="24"/>
          <w:rtl w:val="0"/>
          <w:lang w:val="en-US" w:eastAsia="zh-CN"/>
        </w:rPr>
        <w:t xml:space="preserve"> p</w:t>
      </w:r>
      <w:r>
        <w:rPr>
          <w:rFonts w:hint="default" w:ascii="Times New Roman" w:hAnsi="Times New Roman" w:eastAsia="宋体" w:cs="Times New Roman"/>
          <w:i w:val="0"/>
          <w:iCs w:val="0"/>
          <w:sz w:val="24"/>
          <w:szCs w:val="24"/>
          <w:rtl w:val="0"/>
          <w:lang w:val="en-US" w:eastAsia="zh-CN"/>
        </w:rPr>
        <w:t>rocesses</w:t>
      </w:r>
      <w:r>
        <w:rPr>
          <w:rFonts w:hint="eastAsia" w:ascii="Times New Roman" w:hAnsi="Times New Roman" w:eastAsia="宋体" w:cs="Times New Roman"/>
          <w:i w:val="0"/>
          <w:iCs w:val="0"/>
          <w:sz w:val="24"/>
          <w:szCs w:val="24"/>
          <w:rtl w:val="0"/>
          <w:lang w:val="en-US" w:eastAsia="zh-CN"/>
        </w:rPr>
        <w:t xml:space="preserve"> (-100 - 0ms), stimulus onset (0ms), C1 (0 -100ms), P1 (approximately 100ms), N1 (100 -200ms), P2 (200 -300ms), N2 (approximately 300ms), P3 (300 -600ms). </w:t>
      </w:r>
    </w:p>
    <w:p w14:paraId="7B235FA9">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3F7C957A">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P300 is a positive ERP component that occurs approximately 300ms after stimulus onset. It indicates the brain</w:t>
      </w:r>
      <w:r>
        <w:rPr>
          <w:rFonts w:hint="default" w:ascii="Times New Roman" w:hAnsi="Times New Roman" w:eastAsia="宋体" w:cs="Times New Roman"/>
          <w:i w:val="0"/>
          <w:iCs w:val="0"/>
          <w:sz w:val="24"/>
          <w:szCs w:val="24"/>
          <w:rtl w:val="0"/>
          <w:lang w:val="en-US" w:eastAsia="zh-CN"/>
        </w:rPr>
        <w:t>’</w:t>
      </w:r>
      <w:r>
        <w:rPr>
          <w:rFonts w:hint="eastAsia" w:ascii="Times New Roman" w:hAnsi="Times New Roman" w:eastAsia="宋体" w:cs="Times New Roman"/>
          <w:i w:val="0"/>
          <w:iCs w:val="0"/>
          <w:sz w:val="24"/>
          <w:szCs w:val="24"/>
          <w:rtl w:val="0"/>
          <w:lang w:val="en-US" w:eastAsia="zh-CN"/>
        </w:rPr>
        <w:t>s evaluation of significant or target events.MMN (N2a) is an ERP component that appears when a deviant stimulus appears among sequence of frequent regular events. The  key difference is that a distinct P300 occurs only when the subject is fully attentive, while MMN is a passive and automatic process reflecting pre-attentive detection of unexpected changes.</w:t>
      </w:r>
    </w:p>
    <w:p w14:paraId="6DD2853D">
      <w:pPr>
        <w:keepNext w:val="0"/>
        <w:keepLines w:val="0"/>
        <w:widowControl/>
        <w:suppressLineNumbers w:val="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541645" cy="2611120"/>
            <wp:effectExtent l="0" t="0" r="1905" b="17780"/>
            <wp:docPr id="8" name="图片 8" descr="73795c088bcdf42e8ad6055e7b01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3795c088bcdf42e8ad6055e7b01df6"/>
                    <pic:cNvPicPr>
                      <a:picLocks noChangeAspect="1"/>
                    </pic:cNvPicPr>
                  </pic:nvPicPr>
                  <pic:blipFill>
                    <a:blip r:embed="rId6"/>
                    <a:srcRect l="1306" t="20640" r="8993" b="43323"/>
                    <a:stretch>
                      <a:fillRect/>
                    </a:stretch>
                  </pic:blipFill>
                  <pic:spPr>
                    <a:xfrm>
                      <a:off x="0" y="0"/>
                      <a:ext cx="5541645" cy="2611120"/>
                    </a:xfrm>
                    <a:prstGeom prst="rect">
                      <a:avLst/>
                    </a:prstGeom>
                  </pic:spPr>
                </pic:pic>
              </a:graphicData>
            </a:graphic>
          </wp:inline>
        </w:drawing>
      </w:r>
    </w:p>
    <w:p w14:paraId="6ED75D3C">
      <w:pPr>
        <w:spacing w:before="98"/>
        <w:ind w:left="194" w:firstLine="0"/>
        <w:jc w:val="center"/>
        <w:rPr>
          <w:rFonts w:hint="default" w:ascii="宋体" w:hAnsi="宋体" w:eastAsia="宋体" w:cs="宋体"/>
          <w:sz w:val="24"/>
          <w:szCs w:val="24"/>
          <w:lang w:val="en-US"/>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ERP characteristics from Brain Products</w:t>
      </w:r>
    </w:p>
    <w:p w14:paraId="67599131">
      <w:pPr>
        <w:spacing w:before="98"/>
        <w:ind w:left="194" w:firstLine="0"/>
        <w:jc w:val="center"/>
        <w:rPr>
          <w:rFonts w:hint="default" w:ascii="Times New Roman" w:hAnsi="Times New Roman" w:eastAsia="宋体" w:cs="Times New Roman"/>
          <w:b w:val="0"/>
          <w:bCs/>
          <w:sz w:val="24"/>
          <w:szCs w:val="24"/>
          <w:rtl w:val="0"/>
          <w:lang w:val="en-US" w:eastAsia="zh-CN"/>
        </w:rPr>
      </w:pPr>
    </w:p>
    <w:p w14:paraId="09B10676">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Stimuli and Procedure</w:t>
      </w:r>
    </w:p>
    <w:p w14:paraId="06ACAFDB">
      <w:pPr>
        <w:pStyle w:val="12"/>
        <w:keepNext w:val="0"/>
        <w:keepLines w:val="0"/>
        <w:widowControl/>
        <w:numPr>
          <w:ilvl w:val="0"/>
          <w:numId w:val="1"/>
        </w:numPr>
        <w:suppressLineNumbers w:val="0"/>
        <w:ind w:left="425" w:leftChars="0" w:hanging="425" w:firstLineChars="0"/>
        <w:jc w:val="left"/>
        <w:rPr>
          <w:rFonts w:hint="eastAsia" w:ascii="Times New Roman" w:hAnsi="Times New Roman"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To capture target components of EEG data, a band pass filter (0.5-60Hz) is utilized to remove low-frequency (lower than 0.5Hz) and high-frequency (higher than 60Hz) noise. Additionally, a notch filter is used to reduce power line noise caused by alternating current</w:t>
      </w:r>
      <w:r>
        <w:rPr>
          <w:rFonts w:hint="eastAsia" w:ascii="Times New Roman" w:hAnsi="Times New Roman" w:cs="Times New Roman"/>
          <w:i w:val="0"/>
          <w:iCs w:val="0"/>
          <w:sz w:val="24"/>
          <w:szCs w:val="24"/>
          <w:rtl w:val="0"/>
          <w:lang w:val="en-US" w:eastAsia="zh-CN"/>
        </w:rPr>
        <w:t xml:space="preserve"> (AC). The cutoff frequency depends on the frequency of AC (60Hz in the United States and 50Hz for nations like China).</w:t>
      </w:r>
    </w:p>
    <w:p w14:paraId="2F1BF6B0">
      <w:pPr>
        <w:pStyle w:val="12"/>
        <w:keepNext w:val="0"/>
        <w:keepLines w:val="0"/>
        <w:widowControl/>
        <w:numPr>
          <w:ilvl w:val="0"/>
          <w:numId w:val="1"/>
        </w:numPr>
        <w:suppressLineNumbers w:val="0"/>
        <w:ind w:left="425" w:leftChars="0" w:hanging="425" w:firstLineChars="0"/>
        <w:jc w:val="left"/>
        <w:rPr>
          <w:rFonts w:hint="eastAsia"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The sampling frequency is 256Hz in this experiment. According to the Nyquist sampling theorem, as long as the sampling frequency is more than twice the highest frequency of the signal (more than 120Hz in this experiment), the original analog signal can be reconstructed without distortion.</w:t>
      </w:r>
    </w:p>
    <w:p w14:paraId="3C4CCA56">
      <w:pPr>
        <w:pStyle w:val="12"/>
        <w:keepNext w:val="0"/>
        <w:keepLines w:val="0"/>
        <w:widowControl/>
        <w:numPr>
          <w:ilvl w:val="0"/>
          <w:numId w:val="1"/>
        </w:numPr>
        <w:suppressLineNumbers w:val="0"/>
        <w:ind w:left="425" w:leftChars="0" w:hanging="425" w:firstLineChars="0"/>
        <w:jc w:val="left"/>
        <w:rPr>
          <w:rFonts w:hint="default"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 xml:space="preserve">Our experiment includes two trials: the first involves data collected from a subject spelling the 10-letter word </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Apple Juice</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 xml:space="preserve">, and the second involves data from the subject spelling the 14-letter word </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photooxidation</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 Each trail contains a training data and a testing data. Besides, for cross-subject analysis, datasets from all groups are collected to train the model.</w:t>
      </w:r>
    </w:p>
    <w:p w14:paraId="2FF5139C">
      <w:pPr>
        <w:pStyle w:val="12"/>
        <w:keepNext w:val="0"/>
        <w:keepLines w:val="0"/>
        <w:widowControl/>
        <w:numPr>
          <w:ilvl w:val="0"/>
          <w:numId w:val="1"/>
        </w:numPr>
        <w:suppressLineNumbers w:val="0"/>
        <w:ind w:left="425" w:leftChars="0" w:hanging="425" w:firstLineChars="0"/>
        <w:jc w:val="left"/>
        <w:rPr>
          <w:rFonts w:hint="default"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After processing the EEG signals, we can manually check each channel and remove periods with wired waveforms. Additionally, if the average ERP signals differ significantly from the standard ERP waveforms, ICA can be applied to remove artifacts and improve the quality of the datasets.</w:t>
      </w:r>
    </w:p>
    <w:p w14:paraId="4C215071">
      <w:pPr>
        <w:pStyle w:val="12"/>
        <w:keepNext w:val="0"/>
        <w:keepLines w:val="0"/>
        <w:widowControl/>
        <w:numPr>
          <w:ilvl w:val="0"/>
          <w:numId w:val="1"/>
        </w:numPr>
        <w:suppressLineNumbers w:val="0"/>
        <w:ind w:left="425" w:leftChars="0" w:hanging="425" w:firstLineChars="0"/>
        <w:jc w:val="left"/>
        <w:rPr>
          <w:rFonts w:hint="default"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 xml:space="preserve">In this experiment, when a sequence of letters is highlighted on the screen, it is called a "flash". When the sequence includes the target letter, it is called a "target". Channel 10 outputs a non-zero value when there is a </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flash</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 xml:space="preserve">. While, channel 11outputs 1 when the interested flash appears. </w:t>
      </w:r>
    </w:p>
    <w:p w14:paraId="079AFCD8">
      <w:pPr>
        <w:pStyle w:val="12"/>
        <w:keepNext w:val="0"/>
        <w:keepLines w:val="0"/>
        <w:widowControl/>
        <w:numPr>
          <w:ilvl w:val="0"/>
          <w:numId w:val="0"/>
        </w:numPr>
        <w:suppressLineNumbers w:val="0"/>
        <w:jc w:val="left"/>
        <w:rPr>
          <w:rFonts w:hint="eastAsia" w:ascii="Times New Roman" w:hAnsi="Times New Roman" w:cs="Times New Roman"/>
          <w:i w:val="0"/>
          <w:iCs w:val="0"/>
          <w:sz w:val="24"/>
          <w:szCs w:val="24"/>
          <w:rtl w:val="0"/>
          <w:lang w:val="en-US" w:eastAsia="zh-CN"/>
        </w:rPr>
      </w:pPr>
    </w:p>
    <w:p w14:paraId="2C4B51F5">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Part 1. Within-Subject, Cross-Session Analysis</w:t>
      </w:r>
    </w:p>
    <w:p w14:paraId="58847B36">
      <w:pPr>
        <w:keepNext w:val="0"/>
        <w:keepLines w:val="0"/>
        <w:widowControl/>
        <w:numPr>
          <w:ilvl w:val="0"/>
          <w:numId w:val="0"/>
        </w:numPr>
        <w:suppressLineNumbers w:val="0"/>
        <w:jc w:val="left"/>
        <w:rPr>
          <w:rFonts w:hint="default"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 xml:space="preserve">1.1. </w:t>
      </w:r>
      <w:r>
        <w:rPr>
          <w:rFonts w:hint="default" w:ascii="Times New Roman" w:hAnsi="Times New Roman" w:eastAsia="宋体" w:cs="Times New Roman"/>
          <w:b/>
          <w:sz w:val="28"/>
          <w:szCs w:val="28"/>
          <w:rtl w:val="0"/>
          <w:lang w:val="en-US" w:eastAsia="zh-CN"/>
        </w:rPr>
        <w:t>ERP Response to Target and Non-Target Flashes</w:t>
      </w:r>
    </w:p>
    <w:p w14:paraId="3137AFFD">
      <w:pPr>
        <w:keepNext w:val="0"/>
        <w:keepLines w:val="0"/>
        <w:widowControl/>
        <w:suppressLineNumbers w:val="0"/>
        <w:jc w:val="center"/>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drawing>
          <wp:inline distT="0" distB="0" distL="114300" distR="114300">
            <wp:extent cx="5057775" cy="4110990"/>
            <wp:effectExtent l="0" t="0" r="9525" b="3810"/>
            <wp:docPr id="12" name="图片 12" descr="train1_mean_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rain1_mean_ERP"/>
                    <pic:cNvPicPr>
                      <a:picLocks noChangeAspect="1"/>
                    </pic:cNvPicPr>
                  </pic:nvPicPr>
                  <pic:blipFill>
                    <a:blip r:embed="rId7"/>
                    <a:srcRect l="2655" r="5036"/>
                    <a:stretch>
                      <a:fillRect/>
                    </a:stretch>
                  </pic:blipFill>
                  <pic:spPr>
                    <a:xfrm>
                      <a:off x="0" y="0"/>
                      <a:ext cx="5057775" cy="4110990"/>
                    </a:xfrm>
                    <a:prstGeom prst="rect">
                      <a:avLst/>
                    </a:prstGeom>
                  </pic:spPr>
                </pic:pic>
              </a:graphicData>
            </a:graphic>
          </wp:inline>
        </w:drawing>
      </w:r>
    </w:p>
    <w:p w14:paraId="3CE6DECE">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Average ERP over all electrodes from train1.m</w:t>
      </w:r>
    </w:p>
    <w:p w14:paraId="18971708">
      <w:pPr>
        <w:pStyle w:val="12"/>
        <w:keepNext w:val="0"/>
        <w:keepLines w:val="0"/>
        <w:widowControl/>
        <w:numPr>
          <w:ilvl w:val="0"/>
          <w:numId w:val="0"/>
        </w:numPr>
        <w:suppressLineNumbers w:val="0"/>
        <w:jc w:val="center"/>
        <w:rPr>
          <w:rFonts w:hint="default" w:ascii="Times New Roman" w:hAnsi="Times New Roman" w:cs="Times New Roman"/>
          <w:i w:val="0"/>
          <w:iCs w:val="0"/>
          <w:sz w:val="24"/>
          <w:szCs w:val="24"/>
          <w:rtl w:val="0"/>
          <w:lang w:val="en-US" w:eastAsia="zh-CN"/>
        </w:rPr>
      </w:pPr>
      <w:r>
        <w:rPr>
          <w:rFonts w:hint="default" w:ascii="Times New Roman" w:hAnsi="Times New Roman" w:cs="Times New Roman"/>
          <w:i w:val="0"/>
          <w:iCs w:val="0"/>
          <w:sz w:val="24"/>
          <w:szCs w:val="24"/>
          <w:rtl w:val="0"/>
          <w:lang w:val="en-US" w:eastAsia="zh-CN"/>
        </w:rPr>
        <w:drawing>
          <wp:inline distT="0" distB="0" distL="114300" distR="114300">
            <wp:extent cx="5747385" cy="3815715"/>
            <wp:effectExtent l="0" t="0" r="5715" b="13335"/>
            <wp:docPr id="1" name="图片 1" descr="train1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rain1_target_topoplot"/>
                    <pic:cNvPicPr>
                      <a:picLocks noChangeAspect="1"/>
                    </pic:cNvPicPr>
                  </pic:nvPicPr>
                  <pic:blipFill>
                    <a:blip r:embed="rId8"/>
                    <a:srcRect t="3856" b="7664"/>
                    <a:stretch>
                      <a:fillRect/>
                    </a:stretch>
                  </pic:blipFill>
                  <pic:spPr>
                    <a:xfrm>
                      <a:off x="0" y="0"/>
                      <a:ext cx="5747385" cy="3815715"/>
                    </a:xfrm>
                    <a:prstGeom prst="rect">
                      <a:avLst/>
                    </a:prstGeom>
                  </pic:spPr>
                </pic:pic>
              </a:graphicData>
            </a:graphic>
          </wp:inline>
        </w:drawing>
      </w:r>
    </w:p>
    <w:p w14:paraId="355D5683">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target flash from train1.m</w:t>
      </w:r>
    </w:p>
    <w:p w14:paraId="1A379D08">
      <w:pPr>
        <w:pStyle w:val="12"/>
        <w:keepNext w:val="0"/>
        <w:keepLines w:val="0"/>
        <w:widowControl/>
        <w:numPr>
          <w:ilvl w:val="0"/>
          <w:numId w:val="0"/>
        </w:numPr>
        <w:suppressLineNumbers w:val="0"/>
        <w:jc w:val="center"/>
        <w:rPr>
          <w:rFonts w:hint="default" w:ascii="Times New Roman" w:hAnsi="Times New Roman" w:cs="Times New Roman"/>
          <w:i w:val="0"/>
          <w:iCs w:val="0"/>
          <w:sz w:val="24"/>
          <w:szCs w:val="24"/>
          <w:rtl w:val="0"/>
          <w:lang w:val="en-US" w:eastAsia="zh-CN"/>
        </w:rPr>
      </w:pPr>
      <w:r>
        <w:rPr>
          <w:rFonts w:hint="default" w:ascii="Times New Roman" w:hAnsi="Times New Roman" w:cs="Times New Roman"/>
          <w:i w:val="0"/>
          <w:iCs w:val="0"/>
          <w:sz w:val="24"/>
          <w:szCs w:val="24"/>
          <w:rtl w:val="0"/>
          <w:lang w:val="en-US" w:eastAsia="zh-CN"/>
        </w:rPr>
        <w:drawing>
          <wp:inline distT="0" distB="0" distL="114300" distR="114300">
            <wp:extent cx="6004560" cy="3910965"/>
            <wp:effectExtent l="0" t="0" r="15240" b="13335"/>
            <wp:docPr id="2" name="图片 2" descr="train1_non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in1_non_target_topoplot"/>
                    <pic:cNvPicPr>
                      <a:picLocks noChangeAspect="1"/>
                    </pic:cNvPicPr>
                  </pic:nvPicPr>
                  <pic:blipFill>
                    <a:blip r:embed="rId9"/>
                    <a:srcRect t="5094" b="8093"/>
                    <a:stretch>
                      <a:fillRect/>
                    </a:stretch>
                  </pic:blipFill>
                  <pic:spPr>
                    <a:xfrm>
                      <a:off x="0" y="0"/>
                      <a:ext cx="6004560" cy="3910965"/>
                    </a:xfrm>
                    <a:prstGeom prst="rect">
                      <a:avLst/>
                    </a:prstGeom>
                  </pic:spPr>
                </pic:pic>
              </a:graphicData>
            </a:graphic>
          </wp:inline>
        </w:drawing>
      </w:r>
    </w:p>
    <w:p w14:paraId="2B1E3747">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non-target flash from train1.m</w:t>
      </w:r>
    </w:p>
    <w:p w14:paraId="28DCDF46">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571365" cy="3816985"/>
            <wp:effectExtent l="0" t="0" r="635" b="12065"/>
            <wp:docPr id="13" name="图片 13" descr="train2_mean_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rain2_mean_ERP"/>
                    <pic:cNvPicPr>
                      <a:picLocks noChangeAspect="1"/>
                    </pic:cNvPicPr>
                  </pic:nvPicPr>
                  <pic:blipFill>
                    <a:blip r:embed="rId10"/>
                    <a:srcRect l="2702" r="7452"/>
                    <a:stretch>
                      <a:fillRect/>
                    </a:stretch>
                  </pic:blipFill>
                  <pic:spPr>
                    <a:xfrm>
                      <a:off x="0" y="0"/>
                      <a:ext cx="4571365" cy="3816985"/>
                    </a:xfrm>
                    <a:prstGeom prst="rect">
                      <a:avLst/>
                    </a:prstGeom>
                  </pic:spPr>
                </pic:pic>
              </a:graphicData>
            </a:graphic>
          </wp:inline>
        </w:drawing>
      </w:r>
    </w:p>
    <w:p w14:paraId="740EB483">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5.</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Average ERP over all electrodes from train2.m</w:t>
      </w:r>
    </w:p>
    <w:p w14:paraId="2715D48E">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6202045" cy="3992880"/>
            <wp:effectExtent l="0" t="0" r="8255" b="7620"/>
            <wp:docPr id="3" name="图片 3" descr="train2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in2_target_topoplot"/>
                    <pic:cNvPicPr>
                      <a:picLocks noChangeAspect="1"/>
                    </pic:cNvPicPr>
                  </pic:nvPicPr>
                  <pic:blipFill>
                    <a:blip r:embed="rId11"/>
                    <a:srcRect t="4348" b="9838"/>
                    <a:stretch>
                      <a:fillRect/>
                    </a:stretch>
                  </pic:blipFill>
                  <pic:spPr>
                    <a:xfrm>
                      <a:off x="0" y="0"/>
                      <a:ext cx="6202045" cy="3992880"/>
                    </a:xfrm>
                    <a:prstGeom prst="rect">
                      <a:avLst/>
                    </a:prstGeom>
                  </pic:spPr>
                </pic:pic>
              </a:graphicData>
            </a:graphic>
          </wp:inline>
        </w:drawing>
      </w:r>
    </w:p>
    <w:p w14:paraId="5195498E">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target flash from train2.m</w:t>
      </w:r>
    </w:p>
    <w:p w14:paraId="4FAD3345">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337685" cy="3268980"/>
            <wp:effectExtent l="0" t="0" r="5715" b="7620"/>
            <wp:docPr id="4" name="图片 4" descr="train2_non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rain2_non_target_topoplot"/>
                    <pic:cNvPicPr>
                      <a:picLocks noChangeAspect="1"/>
                    </pic:cNvPicPr>
                  </pic:nvPicPr>
                  <pic:blipFill>
                    <a:blip r:embed="rId12"/>
                    <a:srcRect l="8752" t="4591" r="6133" b="9801"/>
                    <a:stretch>
                      <a:fillRect/>
                    </a:stretch>
                  </pic:blipFill>
                  <pic:spPr>
                    <a:xfrm>
                      <a:off x="0" y="0"/>
                      <a:ext cx="4337685" cy="3268980"/>
                    </a:xfrm>
                    <a:prstGeom prst="rect">
                      <a:avLst/>
                    </a:prstGeom>
                  </pic:spPr>
                </pic:pic>
              </a:graphicData>
            </a:graphic>
          </wp:inline>
        </w:drawing>
      </w:r>
    </w:p>
    <w:p w14:paraId="3344C325">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7.</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non-target flash from train2.m</w:t>
      </w:r>
    </w:p>
    <w:p w14:paraId="6EC4C8FE">
      <w:pPr>
        <w:spacing w:before="98"/>
        <w:ind w:left="194" w:firstLine="0"/>
        <w:jc w:val="center"/>
        <w:rPr>
          <w:rFonts w:hint="eastAsia" w:ascii="Times New Roman" w:hAnsi="Times New Roman" w:eastAsia="宋体" w:cs="Times New Roman"/>
          <w:b w:val="0"/>
          <w:bCs/>
          <w:sz w:val="24"/>
          <w:szCs w:val="24"/>
          <w:rtl w:val="0"/>
          <w:lang w:val="en-US" w:eastAsia="zh-CN"/>
        </w:rPr>
      </w:pPr>
    </w:p>
    <w:p w14:paraId="47541EA1">
      <w:pPr>
        <w:keepNext w:val="0"/>
        <w:keepLines w:val="0"/>
        <w:widowControl/>
        <w:suppressLineNumbers w:val="0"/>
        <w:jc w:val="left"/>
        <w:rPr>
          <w:rFonts w:hint="default" w:ascii="Times New Roman" w:hAnsi="Times New Roman" w:eastAsia="宋体" w:cs="Times New Roman"/>
          <w:b/>
          <w:bCs/>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Figure 2 (train1.mat) and 5 (train2.mat) display the average ERP waveforms over all electrodes exhibiting how brain react to non-target flashes (blue) and target flashes (red). It is evident that clear P300 components appear approximately 300ms after stimulus onset in both datasest. The two figures look similar since the two datasets differ only in the length of the words, while the experimental paradigm remains unchanged. The ERP still appears when the subject fully attends to and detects the deviant stimulus which is not affected by variations in word length.</w:t>
      </w:r>
    </w:p>
    <w:p w14:paraId="0E32B2B8">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4C115BF8">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Figure 3, 4, 6 and 7 show </w:t>
      </w:r>
      <w:r>
        <w:rPr>
          <w:rFonts w:hint="default" w:ascii="Times New Roman" w:hAnsi="Times New Roman" w:eastAsia="宋体" w:cs="Times New Roman"/>
          <w:i w:val="0"/>
          <w:iCs w:val="0"/>
          <w:sz w:val="24"/>
          <w:szCs w:val="24"/>
          <w:rtl w:val="0"/>
          <w:lang w:val="en-US" w:eastAsia="zh-CN"/>
        </w:rPr>
        <w:t>the scalp map of the signal at 0, 100, 200, and 300ms after the onset of the flash.</w:t>
      </w:r>
      <w:r>
        <w:rPr>
          <w:rFonts w:hint="eastAsia" w:ascii="Times New Roman" w:hAnsi="Times New Roman" w:eastAsia="宋体" w:cs="Times New Roman"/>
          <w:i w:val="0"/>
          <w:iCs w:val="0"/>
          <w:sz w:val="24"/>
          <w:szCs w:val="24"/>
          <w:rtl w:val="0"/>
          <w:lang w:val="en-US" w:eastAsia="zh-CN"/>
        </w:rPr>
        <w:t xml:space="preserve"> For ease of comparison, all subplots within each figure were plotted using the same value scale (colorbar). There are slight differences between each pair of the scalp maps, since we plot images of exact time stamp instead of an average value of a time window. Nevertheless, consistent spatial patterns and regularities can be observed across these maps:</w:t>
      </w:r>
    </w:p>
    <w:p w14:paraId="2F003D94">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4"/>
        <w:gridCol w:w="2933"/>
        <w:gridCol w:w="4289"/>
      </w:tblGrid>
      <w:tr w14:paraId="7007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6" w:type="dxa"/>
            <w:gridSpan w:val="3"/>
            <w:tcBorders>
              <w:top w:val="thinThickSmallGap" w:color="auto" w:sz="24" w:space="0"/>
              <w:left w:val="nil"/>
              <w:bottom w:val="single" w:color="auto" w:sz="4" w:space="0"/>
              <w:right w:val="nil"/>
            </w:tcBorders>
          </w:tcPr>
          <w:p w14:paraId="54A5FBFB">
            <w:pPr>
              <w:keepNext w:val="0"/>
              <w:keepLines w:val="0"/>
              <w:widowControl w:val="0"/>
              <w:suppressLineNumbers w:val="0"/>
              <w:tabs>
                <w:tab w:val="left" w:pos="5533"/>
              </w:tabs>
              <w:spacing w:before="98" w:beforeAutospacing="0" w:after="0" w:afterAutospacing="0"/>
              <w:ind w:left="0" w:right="0"/>
              <w:jc w:val="center"/>
              <w:rPr>
                <w:rFonts w:hint="default" w:eastAsia="宋体"/>
                <w:vertAlign w:val="baseline"/>
                <w:lang w:val="en-US" w:eastAsia="zh-CN"/>
              </w:rPr>
            </w:pPr>
            <w:r>
              <w:rPr>
                <w:rFonts w:hint="eastAsia" w:ascii="Times New Roman" w:hAnsi="Times New Roman" w:eastAsia="Times New Roman" w:cs="Times New Roman"/>
                <w:b/>
                <w:sz w:val="24"/>
                <w:szCs w:val="24"/>
                <w:rtl w:val="0"/>
                <w:lang w:val="en-US" w:eastAsia="zh-CN"/>
              </w:rPr>
              <w:t xml:space="preserve">Table 1. </w:t>
            </w:r>
            <w:r>
              <w:rPr>
                <w:rFonts w:hint="eastAsia" w:ascii="Times New Roman" w:hAnsi="Times New Roman" w:eastAsia="Times New Roman" w:cs="Times New Roman"/>
                <w:b/>
                <w:sz w:val="24"/>
                <w:szCs w:val="24"/>
                <w:rtl w:val="0"/>
              </w:rPr>
              <w:t>Main ERP Components, Time Windows, and Associated Brain Regions</w:t>
            </w:r>
          </w:p>
        </w:tc>
      </w:tr>
      <w:tr w14:paraId="4B57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single" w:color="auto" w:sz="4" w:space="0"/>
              <w:left w:val="nil"/>
              <w:bottom w:val="nil"/>
              <w:right w:val="nil"/>
            </w:tcBorders>
            <w:vAlign w:val="top"/>
          </w:tcPr>
          <w:p w14:paraId="5E21120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ERP Component</w:t>
            </w:r>
          </w:p>
        </w:tc>
        <w:tc>
          <w:tcPr>
            <w:tcW w:w="2933" w:type="dxa"/>
            <w:tcBorders>
              <w:top w:val="single" w:color="auto" w:sz="4" w:space="0"/>
              <w:left w:val="nil"/>
              <w:bottom w:val="nil"/>
              <w:right w:val="nil"/>
            </w:tcBorders>
            <w:vAlign w:val="top"/>
          </w:tcPr>
          <w:p w14:paraId="1DBBDB1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Time (ms)</w:t>
            </w:r>
          </w:p>
        </w:tc>
        <w:tc>
          <w:tcPr>
            <w:tcW w:w="4289" w:type="dxa"/>
            <w:tcBorders>
              <w:top w:val="single" w:color="auto" w:sz="4" w:space="0"/>
              <w:left w:val="nil"/>
              <w:bottom w:val="nil"/>
              <w:right w:val="nil"/>
            </w:tcBorders>
            <w:vAlign w:val="top"/>
          </w:tcPr>
          <w:p w14:paraId="26A1CD5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Main Peak Electrodes</w:t>
            </w:r>
          </w:p>
        </w:tc>
      </w:tr>
      <w:tr w14:paraId="57C2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nil"/>
              <w:right w:val="nil"/>
            </w:tcBorders>
            <w:vAlign w:val="top"/>
          </w:tcPr>
          <w:p w14:paraId="21F5E45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w:t>
            </w:r>
          </w:p>
        </w:tc>
        <w:tc>
          <w:tcPr>
            <w:tcW w:w="2933" w:type="dxa"/>
            <w:tcBorders>
              <w:top w:val="nil"/>
              <w:left w:val="nil"/>
              <w:bottom w:val="nil"/>
              <w:right w:val="nil"/>
            </w:tcBorders>
            <w:vAlign w:val="top"/>
          </w:tcPr>
          <w:p w14:paraId="38750C02">
            <w:pPr>
              <w:keepNext w:val="0"/>
              <w:keepLines w:val="0"/>
              <w:widowControl/>
              <w:numPr>
                <w:ilvl w:val="0"/>
                <w:numId w:val="0"/>
              </w:numPr>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 0</w:t>
            </w:r>
          </w:p>
        </w:tc>
        <w:tc>
          <w:tcPr>
            <w:tcW w:w="4289" w:type="dxa"/>
            <w:tcBorders>
              <w:top w:val="nil"/>
              <w:left w:val="nil"/>
              <w:bottom w:val="nil"/>
              <w:right w:val="nil"/>
            </w:tcBorders>
            <w:vAlign w:val="top"/>
          </w:tcPr>
          <w:p w14:paraId="0C86D85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w:t>
            </w:r>
          </w:p>
        </w:tc>
      </w:tr>
      <w:tr w14:paraId="7EE6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nil"/>
              <w:right w:val="nil"/>
            </w:tcBorders>
            <w:vAlign w:val="top"/>
          </w:tcPr>
          <w:p w14:paraId="6C41E37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P1</w:t>
            </w:r>
          </w:p>
        </w:tc>
        <w:tc>
          <w:tcPr>
            <w:tcW w:w="2933" w:type="dxa"/>
            <w:tcBorders>
              <w:top w:val="nil"/>
              <w:left w:val="nil"/>
              <w:bottom w:val="nil"/>
              <w:right w:val="nil"/>
            </w:tcBorders>
            <w:vAlign w:val="top"/>
          </w:tcPr>
          <w:p w14:paraId="33A1D96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100</w:t>
            </w:r>
          </w:p>
        </w:tc>
        <w:tc>
          <w:tcPr>
            <w:tcW w:w="4289" w:type="dxa"/>
            <w:tcBorders>
              <w:top w:val="nil"/>
              <w:left w:val="nil"/>
              <w:bottom w:val="nil"/>
              <w:right w:val="nil"/>
            </w:tcBorders>
            <w:vAlign w:val="top"/>
          </w:tcPr>
          <w:p w14:paraId="3A3B5CA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Oz, PO7, PO8</w:t>
            </w:r>
          </w:p>
        </w:tc>
      </w:tr>
      <w:tr w14:paraId="29DE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nil"/>
              <w:right w:val="nil"/>
            </w:tcBorders>
            <w:vAlign w:val="top"/>
          </w:tcPr>
          <w:p w14:paraId="5407766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N1/P2</w:t>
            </w:r>
          </w:p>
        </w:tc>
        <w:tc>
          <w:tcPr>
            <w:tcW w:w="2933" w:type="dxa"/>
            <w:tcBorders>
              <w:top w:val="nil"/>
              <w:left w:val="nil"/>
              <w:bottom w:val="nil"/>
              <w:right w:val="nil"/>
            </w:tcBorders>
            <w:vAlign w:val="top"/>
          </w:tcPr>
          <w:p w14:paraId="21E480B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200</w:t>
            </w:r>
          </w:p>
        </w:tc>
        <w:tc>
          <w:tcPr>
            <w:tcW w:w="4289" w:type="dxa"/>
            <w:tcBorders>
              <w:top w:val="nil"/>
              <w:left w:val="nil"/>
              <w:bottom w:val="nil"/>
              <w:right w:val="nil"/>
            </w:tcBorders>
            <w:vAlign w:val="top"/>
          </w:tcPr>
          <w:p w14:paraId="2B470C2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P3, P4</w:t>
            </w:r>
          </w:p>
        </w:tc>
      </w:tr>
      <w:tr w14:paraId="1FF2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thickThinSmallGap" w:color="auto" w:sz="24" w:space="0"/>
              <w:right w:val="nil"/>
            </w:tcBorders>
            <w:vAlign w:val="top"/>
          </w:tcPr>
          <w:p w14:paraId="5E03520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P3</w:t>
            </w:r>
          </w:p>
        </w:tc>
        <w:tc>
          <w:tcPr>
            <w:tcW w:w="2933" w:type="dxa"/>
            <w:tcBorders>
              <w:top w:val="nil"/>
              <w:left w:val="nil"/>
              <w:bottom w:val="thickThinSmallGap" w:color="auto" w:sz="24" w:space="0"/>
              <w:right w:val="nil"/>
            </w:tcBorders>
            <w:vAlign w:val="top"/>
          </w:tcPr>
          <w:p w14:paraId="76C7E66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300</w:t>
            </w:r>
          </w:p>
        </w:tc>
        <w:tc>
          <w:tcPr>
            <w:tcW w:w="4289" w:type="dxa"/>
            <w:tcBorders>
              <w:top w:val="nil"/>
              <w:left w:val="nil"/>
              <w:bottom w:val="thickThinSmallGap" w:color="auto" w:sz="24" w:space="0"/>
              <w:right w:val="nil"/>
            </w:tcBorders>
            <w:vAlign w:val="top"/>
          </w:tcPr>
          <w:p w14:paraId="2C7A16D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Pz, Cz, P3, P4</w:t>
            </w:r>
          </w:p>
        </w:tc>
      </w:tr>
    </w:tbl>
    <w:p w14:paraId="2EAED5D7">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4CA40EFD">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Two sets of graphs are basically the same since the </w:t>
      </w:r>
      <w:r>
        <w:rPr>
          <w:rFonts w:hint="default" w:ascii="Times New Roman" w:hAnsi="Times New Roman" w:eastAsia="宋体" w:cs="Times New Roman"/>
          <w:i w:val="0"/>
          <w:iCs w:val="0"/>
          <w:sz w:val="24"/>
          <w:szCs w:val="24"/>
          <w:rtl w:val="0"/>
          <w:lang w:val="en-US" w:eastAsia="zh-CN"/>
        </w:rPr>
        <w:t xml:space="preserve">two </w:t>
      </w:r>
      <w:r>
        <w:rPr>
          <w:rFonts w:hint="eastAsia" w:ascii="Times New Roman" w:hAnsi="Times New Roman" w:eastAsia="宋体" w:cs="Times New Roman"/>
          <w:i w:val="0"/>
          <w:iCs w:val="0"/>
          <w:sz w:val="24"/>
          <w:szCs w:val="24"/>
          <w:rtl w:val="0"/>
          <w:lang w:val="en-US" w:eastAsia="zh-CN"/>
        </w:rPr>
        <w:t xml:space="preserve">experiential conditions </w:t>
      </w:r>
      <w:r>
        <w:rPr>
          <w:rFonts w:hint="default" w:ascii="Times New Roman" w:hAnsi="Times New Roman" w:eastAsia="宋体" w:cs="Times New Roman"/>
          <w:i w:val="0"/>
          <w:iCs w:val="0"/>
          <w:sz w:val="24"/>
          <w:szCs w:val="24"/>
          <w:rtl w:val="0"/>
          <w:lang w:val="en-US" w:eastAsia="zh-CN"/>
        </w:rPr>
        <w:t>differ only in the date of acquisition and in the length of the spelled word</w:t>
      </w:r>
      <w:r>
        <w:rPr>
          <w:rFonts w:hint="eastAsia" w:ascii="Times New Roman" w:hAnsi="Times New Roman" w:eastAsia="宋体" w:cs="Times New Roman"/>
          <w:i w:val="0"/>
          <w:iCs w:val="0"/>
          <w:sz w:val="24"/>
          <w:szCs w:val="24"/>
          <w:rtl w:val="0"/>
          <w:lang w:val="en-US" w:eastAsia="zh-CN"/>
        </w:rPr>
        <w:t>s</w:t>
      </w:r>
      <w:r>
        <w:rPr>
          <w:rFonts w:hint="default" w:ascii="Times New Roman" w:hAnsi="Times New Roman" w:eastAsia="宋体" w:cs="Times New Roman"/>
          <w:i w:val="0"/>
          <w:iCs w:val="0"/>
          <w:sz w:val="24"/>
          <w:szCs w:val="24"/>
          <w:rtl w:val="0"/>
          <w:lang w:val="en-US" w:eastAsia="zh-CN"/>
        </w:rPr>
        <w:t>. Because the ERP reflects the brain’s response to infrequent stimuli and is largely insensitive to these factors</w:t>
      </w:r>
      <w:r>
        <w:rPr>
          <w:rFonts w:hint="eastAsia" w:ascii="Times New Roman" w:hAnsi="Times New Roman" w:eastAsia="宋体" w:cs="Times New Roman"/>
          <w:i w:val="0"/>
          <w:iCs w:val="0"/>
          <w:sz w:val="24"/>
          <w:szCs w:val="24"/>
          <w:rtl w:val="0"/>
          <w:lang w:val="en-US" w:eastAsia="zh-CN"/>
        </w:rPr>
        <w:t>. Hence,</w:t>
      </w:r>
      <w:r>
        <w:rPr>
          <w:rFonts w:hint="default" w:ascii="Times New Roman" w:hAnsi="Times New Roman" w:eastAsia="宋体" w:cs="Times New Roman"/>
          <w:i w:val="0"/>
          <w:iCs w:val="0"/>
          <w:sz w:val="24"/>
          <w:szCs w:val="24"/>
          <w:rtl w:val="0"/>
          <w:lang w:val="en-US" w:eastAsia="zh-CN"/>
        </w:rPr>
        <w:t xml:space="preserve"> similar results </w:t>
      </w:r>
      <w:r>
        <w:rPr>
          <w:rFonts w:hint="eastAsia" w:ascii="Times New Roman" w:hAnsi="Times New Roman" w:eastAsia="宋体" w:cs="Times New Roman"/>
          <w:i w:val="0"/>
          <w:iCs w:val="0"/>
          <w:sz w:val="24"/>
          <w:szCs w:val="24"/>
          <w:rtl w:val="0"/>
          <w:lang w:val="en-US" w:eastAsia="zh-CN"/>
        </w:rPr>
        <w:t>of</w:t>
      </w:r>
      <w:r>
        <w:rPr>
          <w:rFonts w:hint="default" w:ascii="Times New Roman" w:hAnsi="Times New Roman" w:eastAsia="宋体" w:cs="Times New Roman"/>
          <w:i w:val="0"/>
          <w:iCs w:val="0"/>
          <w:sz w:val="24"/>
          <w:szCs w:val="24"/>
          <w:rtl w:val="0"/>
          <w:lang w:val="en-US" w:eastAsia="zh-CN"/>
        </w:rPr>
        <w:t xml:space="preserve"> two sets are to be expected.</w:t>
      </w:r>
    </w:p>
    <w:p w14:paraId="485A61DE">
      <w:pPr>
        <w:spacing w:before="98"/>
        <w:jc w:val="both"/>
      </w:pPr>
    </w:p>
    <w:p w14:paraId="0187107D">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1.2. Training and Testing Within-Subject Decoding Models</w:t>
      </w:r>
    </w:p>
    <w:p w14:paraId="69BEACF3">
      <w:pPr>
        <w:spacing w:before="98"/>
        <w:jc w:val="left"/>
        <w:rPr>
          <w:rFonts w:hint="default" w:hAnsi="Cambria Math" w:eastAsia="宋体" w:cs="Cambria Math"/>
          <w:i w:val="0"/>
          <w:sz w:val="21"/>
          <w:szCs w:val="21"/>
          <w:lang w:val="en-US" w:eastAsia="zh-CN"/>
        </w:rPr>
      </w:pPr>
      <m:oMathPara>
        <m:oMath>
          <m:r>
            <m:rPr/>
            <w:rPr>
              <w:rFonts w:hint="default" w:ascii="Cambria Math" w:hAnsi="Cambria Math" w:eastAsia="宋体" w:cs="Arial"/>
              <w:sz w:val="21"/>
              <w:szCs w:val="21"/>
              <w:lang w:val="en" w:eastAsia="zh-CN"/>
            </w:rPr>
            <m:t>N</m:t>
          </m:r>
          <m:r>
            <m:rPr/>
            <w:rPr>
              <w:rFonts w:hint="default" w:ascii="Cambria Math" w:hAnsi="Cambria Math" w:eastAsia="宋体" w:cs="Arial"/>
              <w:sz w:val="21"/>
              <w:szCs w:val="21"/>
              <w:lang w:val="en-US" w:eastAsia="zh-CN"/>
            </w:rPr>
            <m:t xml:space="preserve">umber of Features </m:t>
          </m:r>
          <m:r>
            <m:rPr/>
            <w:rPr>
              <w:rFonts w:hint="default" w:ascii="Cambria Math" w:hAnsi="Cambria Math" w:eastAsia="宋体" w:cs="Cambria Math"/>
              <w:sz w:val="21"/>
              <w:szCs w:val="21"/>
              <w:lang w:val="en-US" w:eastAsia="zh-CN"/>
            </w:rPr>
            <m:t>=</m:t>
          </m:r>
          <m:d>
            <m:dPr>
              <m:ctrlPr>
                <w:rPr>
                  <w:rFonts w:hint="default" w:ascii="Cambria Math" w:hAnsi="Cambria Math" w:eastAsia="宋体" w:cs="Cambria Math"/>
                  <w:i/>
                  <w:sz w:val="21"/>
                  <w:szCs w:val="21"/>
                  <w:lang w:val="en-US" w:eastAsia="zh-CN"/>
                </w:rPr>
              </m:ctrlPr>
            </m:dPr>
            <m:e>
              <m:r>
                <m:rPr/>
                <w:rPr>
                  <w:rFonts w:hint="default" w:ascii="Cambria Math" w:hAnsi="Cambria Math" w:eastAsia="宋体" w:cs="Cambria Math"/>
                  <w:sz w:val="21"/>
                  <w:szCs w:val="21"/>
                  <w:lang w:val="en-US" w:eastAsia="zh-CN"/>
                </w:rPr>
                <m:t xml:space="preserve"> </m:t>
              </m:r>
              <m:d>
                <m:dPr>
                  <m:begChr m:val="⌈"/>
                  <m:endChr m:val="⌉"/>
                  <m:ctrlPr>
                    <w:rPr>
                      <w:rFonts w:hint="default" w:ascii="Cambria Math" w:hAnsi="Cambria Math" w:eastAsia="宋体" w:cs="Cambria Math"/>
                      <w:i/>
                      <w:sz w:val="21"/>
                      <w:szCs w:val="21"/>
                      <w:lang w:val="en-US" w:eastAsia="zh-CN"/>
                    </w:rPr>
                  </m:ctrlPr>
                </m:dPr>
                <m:e>
                  <m:d>
                    <m:dPr>
                      <m:begChr m:val="|"/>
                      <m:endChr m:val="|"/>
                      <m:ctrlPr>
                        <w:rPr>
                          <w:rFonts w:hint="default" w:ascii="Cambria Math" w:hAnsi="Cambria Math" w:eastAsia="宋体" w:cs="Cambria Math"/>
                          <w:i/>
                          <w:sz w:val="21"/>
                          <w:szCs w:val="21"/>
                          <w:lang w:val="en-US" w:eastAsia="zh-CN"/>
                        </w:rPr>
                      </m:ctrlPr>
                    </m:dPr>
                    <m:e>
                      <m:sSub>
                        <m:sSubPr>
                          <m:ctrlPr>
                            <w:rPr>
                              <w:rFonts w:hint="default" w:ascii="Cambria Math" w:hAnsi="Cambria Math" w:eastAsia="宋体" w:cs="Cambria Math"/>
                              <w:i/>
                              <w:sz w:val="21"/>
                              <w:szCs w:val="21"/>
                              <w:lang w:val="en-US" w:eastAsia="zh-CN"/>
                            </w:rPr>
                          </m:ctrlPr>
                        </m:sSubPr>
                        <m:e>
                          <m:r>
                            <m:rPr/>
                            <w:rPr>
                              <w:rFonts w:hint="default" w:ascii="Cambria Math" w:hAnsi="Cambria Math" w:eastAsia="宋体" w:cs="Cambria Math"/>
                              <w:sz w:val="21"/>
                              <w:szCs w:val="21"/>
                              <w:lang w:val="en-US" w:eastAsia="zh-CN"/>
                            </w:rPr>
                            <m:t>t</m:t>
                          </m:r>
                          <m:ctrlPr>
                            <w:rPr>
                              <w:rFonts w:hint="default" w:ascii="Cambria Math" w:hAnsi="Cambria Math" w:eastAsia="宋体" w:cs="Cambria Math"/>
                              <w:i/>
                              <w:sz w:val="21"/>
                              <w:szCs w:val="21"/>
                              <w:lang w:val="en-US" w:eastAsia="zh-CN"/>
                            </w:rPr>
                          </m:ctrlPr>
                        </m:e>
                        <m:sub>
                          <m:r>
                            <m:rPr/>
                            <w:rPr>
                              <w:rFonts w:hint="default" w:ascii="Cambria Math" w:hAnsi="Cambria Math" w:eastAsia="宋体" w:cs="Cambria Math"/>
                              <w:sz w:val="21"/>
                              <w:szCs w:val="21"/>
                              <w:lang w:val="en-US" w:eastAsia="zh-CN"/>
                            </w:rPr>
                            <m:t>min</m:t>
                          </m:r>
                          <m:ctrlPr>
                            <w:rPr>
                              <w:rFonts w:hint="default" w:ascii="Cambria Math" w:hAnsi="Cambria Math" w:eastAsia="宋体" w:cs="Cambria Math"/>
                              <w:i/>
                              <w:sz w:val="21"/>
                              <w:szCs w:val="21"/>
                              <w:lang w:val="en-US" w:eastAsia="zh-CN"/>
                            </w:rPr>
                          </m:ctrlPr>
                        </m:sub>
                      </m:sSub>
                      <m:ctrlPr>
                        <w:rPr>
                          <w:rFonts w:hint="default" w:ascii="Cambria Math" w:hAnsi="Cambria Math" w:eastAsia="宋体" w:cs="Cambria Math"/>
                          <w:i/>
                          <w:sz w:val="21"/>
                          <w:szCs w:val="21"/>
                          <w:lang w:val="en-US" w:eastAsia="zh-CN"/>
                        </w:rPr>
                      </m:ctrlPr>
                    </m:e>
                  </m:d>
                  <m:r>
                    <m:rPr/>
                    <w:rPr>
                      <w:rFonts w:ascii="Cambria Math" w:hAnsi="Cambria Math" w:cs="Cambria Math"/>
                      <w:sz w:val="21"/>
                      <w:szCs w:val="21"/>
                      <w:lang w:val="en-US"/>
                    </w:rPr>
                    <m:t>×</m:t>
                  </m:r>
                  <m:sSub>
                    <m:sSubPr>
                      <m:ctrlPr>
                        <w:rPr>
                          <w:rFonts w:ascii="Cambria Math" w:hAnsi="Cambria Math" w:cs="Cambria Math"/>
                          <w:i/>
                          <w:sz w:val="21"/>
                          <w:szCs w:val="21"/>
                          <w:lang w:val="en-US"/>
                        </w:rPr>
                      </m:ctrlPr>
                    </m:sSubPr>
                    <m:e>
                      <m:r>
                        <m:rPr/>
                        <w:rPr>
                          <w:rFonts w:hint="default" w:ascii="Cambria Math" w:hAnsi="Cambria Math" w:eastAsia="宋体" w:cs="Cambria Math"/>
                          <w:sz w:val="21"/>
                          <w:szCs w:val="21"/>
                          <w:lang w:val="en-US" w:eastAsia="zh-CN"/>
                        </w:rPr>
                        <m:t>f</m:t>
                      </m:r>
                      <m:ctrlPr>
                        <w:rPr>
                          <w:rFonts w:ascii="Cambria Math" w:hAnsi="Cambria Math" w:cs="Cambria Math"/>
                          <w:i/>
                          <w:sz w:val="21"/>
                          <w:szCs w:val="21"/>
                          <w:lang w:val="en-US"/>
                        </w:rPr>
                      </m:ctrlPr>
                    </m:e>
                    <m:sub>
                      <m:r>
                        <m:rPr/>
                        <w:rPr>
                          <w:rFonts w:hint="default" w:ascii="Cambria Math" w:hAnsi="Cambria Math" w:eastAsia="宋体" w:cs="Cambria Math"/>
                          <w:sz w:val="21"/>
                          <w:szCs w:val="21"/>
                          <w:lang w:val="en-US" w:eastAsia="zh-CN"/>
                        </w:rPr>
                        <m:t>s</m:t>
                      </m:r>
                      <m:ctrlPr>
                        <w:rPr>
                          <w:rFonts w:ascii="Cambria Math" w:hAnsi="Cambria Math" w:cs="Cambria Math"/>
                          <w:i/>
                          <w:sz w:val="21"/>
                          <w:szCs w:val="21"/>
                          <w:lang w:val="en-US"/>
                        </w:rPr>
                      </m:ctrlPr>
                    </m:sub>
                  </m:sSub>
                  <m:ctrlPr>
                    <w:rPr>
                      <w:rFonts w:hint="default" w:ascii="Cambria Math" w:hAnsi="Cambria Math" w:eastAsia="宋体" w:cs="Cambria Math"/>
                      <w:i/>
                      <w:sz w:val="21"/>
                      <w:szCs w:val="21"/>
                      <w:lang w:val="en-US" w:eastAsia="zh-CN"/>
                    </w:rPr>
                  </m:ctrlPr>
                </m:e>
              </m:d>
              <m:r>
                <m:rPr/>
                <w:rPr>
                  <w:rFonts w:hint="default" w:ascii="Cambria Math" w:hAnsi="Cambria Math" w:eastAsia="宋体" w:cs="Cambria Math"/>
                  <w:sz w:val="21"/>
                  <w:szCs w:val="21"/>
                  <w:lang w:val="en-US" w:eastAsia="zh-CN"/>
                </w:rPr>
                <m:t xml:space="preserve">+ </m:t>
              </m:r>
              <m:d>
                <m:dPr>
                  <m:begChr m:val="⌈"/>
                  <m:endChr m:val="⌉"/>
                  <m:ctrlPr>
                    <w:rPr>
                      <w:rFonts w:hint="default" w:ascii="Cambria Math" w:hAnsi="Cambria Math" w:eastAsia="宋体" w:cs="Cambria Math"/>
                      <w:i/>
                      <w:sz w:val="21"/>
                      <w:szCs w:val="21"/>
                      <w:lang w:val="en-US" w:eastAsia="zh-CN"/>
                    </w:rPr>
                  </m:ctrlPr>
                </m:dPr>
                <m:e>
                  <m:d>
                    <m:dPr>
                      <m:begChr m:val="|"/>
                      <m:endChr m:val="|"/>
                      <m:ctrlPr>
                        <w:rPr>
                          <w:rFonts w:hint="default" w:ascii="Cambria Math" w:hAnsi="Cambria Math" w:eastAsia="宋体" w:cs="Cambria Math"/>
                          <w:i/>
                          <w:sz w:val="21"/>
                          <w:szCs w:val="21"/>
                          <w:lang w:val="en-US" w:eastAsia="zh-CN"/>
                        </w:rPr>
                      </m:ctrlPr>
                    </m:dPr>
                    <m:e>
                      <m:sSub>
                        <m:sSubPr>
                          <m:ctrlPr>
                            <w:rPr>
                              <w:rFonts w:hint="default" w:ascii="Cambria Math" w:hAnsi="Cambria Math" w:eastAsia="宋体" w:cs="Cambria Math"/>
                              <w:i/>
                              <w:sz w:val="21"/>
                              <w:szCs w:val="21"/>
                              <w:lang w:val="en-US" w:eastAsia="zh-CN"/>
                            </w:rPr>
                          </m:ctrlPr>
                        </m:sSubPr>
                        <m:e>
                          <m:r>
                            <m:rPr/>
                            <w:rPr>
                              <w:rFonts w:hint="default" w:ascii="Cambria Math" w:hAnsi="Cambria Math" w:eastAsia="宋体" w:cs="Cambria Math"/>
                              <w:sz w:val="21"/>
                              <w:szCs w:val="21"/>
                              <w:lang w:val="en-US" w:eastAsia="zh-CN"/>
                            </w:rPr>
                            <m:t>t</m:t>
                          </m:r>
                          <m:ctrlPr>
                            <w:rPr>
                              <w:rFonts w:hint="default" w:ascii="Cambria Math" w:hAnsi="Cambria Math" w:eastAsia="宋体" w:cs="Cambria Math"/>
                              <w:i/>
                              <w:sz w:val="21"/>
                              <w:szCs w:val="21"/>
                              <w:lang w:val="en-US" w:eastAsia="zh-CN"/>
                            </w:rPr>
                          </m:ctrlPr>
                        </m:e>
                        <m:sub>
                          <m:r>
                            <m:rPr/>
                            <w:rPr>
                              <w:rFonts w:hint="default" w:ascii="Cambria Math" w:hAnsi="Cambria Math" w:eastAsia="宋体" w:cs="Cambria Math"/>
                              <w:sz w:val="21"/>
                              <w:szCs w:val="21"/>
                              <w:lang w:val="en-US" w:eastAsia="zh-CN"/>
                            </w:rPr>
                            <m:t>max</m:t>
                          </m:r>
                          <m:ctrlPr>
                            <w:rPr>
                              <w:rFonts w:hint="default" w:ascii="Cambria Math" w:hAnsi="Cambria Math" w:eastAsia="宋体" w:cs="Cambria Math"/>
                              <w:i/>
                              <w:sz w:val="21"/>
                              <w:szCs w:val="21"/>
                              <w:lang w:val="en-US" w:eastAsia="zh-CN"/>
                            </w:rPr>
                          </m:ctrlPr>
                        </m:sub>
                      </m:sSub>
                      <m:ctrlPr>
                        <w:rPr>
                          <w:rFonts w:hint="default" w:ascii="Cambria Math" w:hAnsi="Cambria Math" w:eastAsia="宋体" w:cs="Cambria Math"/>
                          <w:i/>
                          <w:sz w:val="21"/>
                          <w:szCs w:val="21"/>
                          <w:lang w:val="en-US" w:eastAsia="zh-CN"/>
                        </w:rPr>
                      </m:ctrlPr>
                    </m:e>
                  </m:d>
                  <m:r>
                    <m:rPr/>
                    <w:rPr>
                      <w:rFonts w:ascii="Cambria Math" w:hAnsi="Cambria Math" w:cs="Cambria Math"/>
                      <w:sz w:val="21"/>
                      <w:szCs w:val="21"/>
                      <w:lang w:val="en-US"/>
                    </w:rPr>
                    <m:t>×</m:t>
                  </m:r>
                  <m:sSub>
                    <m:sSubPr>
                      <m:ctrlPr>
                        <w:rPr>
                          <w:rFonts w:ascii="Cambria Math" w:hAnsi="Cambria Math" w:cs="Cambria Math"/>
                          <w:i/>
                          <w:sz w:val="21"/>
                          <w:szCs w:val="21"/>
                          <w:lang w:val="en-US"/>
                        </w:rPr>
                      </m:ctrlPr>
                    </m:sSubPr>
                    <m:e>
                      <m:r>
                        <m:rPr/>
                        <w:rPr>
                          <w:rFonts w:hint="default" w:ascii="Cambria Math" w:hAnsi="Cambria Math" w:eastAsia="宋体" w:cs="Cambria Math"/>
                          <w:sz w:val="21"/>
                          <w:szCs w:val="21"/>
                          <w:lang w:val="en-US" w:eastAsia="zh-CN"/>
                        </w:rPr>
                        <m:t>f</m:t>
                      </m:r>
                      <m:ctrlPr>
                        <w:rPr>
                          <w:rFonts w:ascii="Cambria Math" w:hAnsi="Cambria Math" w:cs="Cambria Math"/>
                          <w:i/>
                          <w:sz w:val="21"/>
                          <w:szCs w:val="21"/>
                          <w:lang w:val="en-US"/>
                        </w:rPr>
                      </m:ctrlPr>
                    </m:e>
                    <m:sub>
                      <m:r>
                        <m:rPr/>
                        <w:rPr>
                          <w:rFonts w:hint="default" w:ascii="Cambria Math" w:hAnsi="Cambria Math" w:eastAsia="宋体" w:cs="Cambria Math"/>
                          <w:sz w:val="21"/>
                          <w:szCs w:val="21"/>
                          <w:lang w:val="en-US" w:eastAsia="zh-CN"/>
                        </w:rPr>
                        <m:t>s</m:t>
                      </m:r>
                      <m:ctrlPr>
                        <w:rPr>
                          <w:rFonts w:ascii="Cambria Math" w:hAnsi="Cambria Math" w:cs="Cambria Math"/>
                          <w:i/>
                          <w:sz w:val="21"/>
                          <w:szCs w:val="21"/>
                          <w:lang w:val="en-US"/>
                        </w:rPr>
                      </m:ctrlPr>
                    </m:sub>
                  </m:sSub>
                  <m:ctrlPr>
                    <w:rPr>
                      <w:rFonts w:hint="default" w:ascii="Cambria Math" w:hAnsi="Cambria Math" w:eastAsia="宋体" w:cs="Cambria Math"/>
                      <w:i/>
                      <w:sz w:val="21"/>
                      <w:szCs w:val="21"/>
                      <w:lang w:val="en-US" w:eastAsia="zh-CN"/>
                    </w:rPr>
                  </m:ctrlPr>
                </m:e>
              </m:d>
              <m:r>
                <m:rPr/>
                <w:rPr>
                  <w:rFonts w:hint="default" w:ascii="Cambria Math" w:hAnsi="Cambria Math" w:eastAsia="宋体" w:cs="Cambria Math"/>
                  <w:sz w:val="21"/>
                  <w:szCs w:val="21"/>
                  <w:lang w:val="en-US" w:eastAsia="zh-CN"/>
                </w:rPr>
                <m:t>+1</m:t>
              </m:r>
              <m:ctrlPr>
                <w:rPr>
                  <w:rFonts w:hint="default" w:ascii="Cambria Math" w:hAnsi="Cambria Math" w:eastAsia="宋体" w:cs="Cambria Math"/>
                  <w:i/>
                  <w:sz w:val="21"/>
                  <w:szCs w:val="21"/>
                  <w:lang w:val="en-US" w:eastAsia="zh-CN"/>
                </w:rPr>
              </m:ctrlPr>
            </m:e>
          </m:d>
          <m:r>
            <m:rPr/>
            <w:rPr>
              <w:rFonts w:hint="default" w:ascii="Cambria Math" w:hAnsi="Cambria Math" w:eastAsia="宋体" w:cs="Cambria Math"/>
              <w:sz w:val="21"/>
              <w:szCs w:val="21"/>
              <w:lang w:val="en-US" w:eastAsia="zh-CN"/>
            </w:rPr>
            <m:t>×</m:t>
          </m:r>
          <m:sSub>
            <m:sSubPr>
              <m:ctrlPr>
                <w:rPr>
                  <w:rFonts w:hint="default" w:ascii="Cambria Math" w:hAnsi="Cambria Math" w:eastAsia="宋体" w:cs="Cambria Math"/>
                  <w:i/>
                  <w:sz w:val="21"/>
                  <w:szCs w:val="21"/>
                  <w:lang w:val="en-US" w:eastAsia="zh-CN"/>
                </w:rPr>
              </m:ctrlPr>
            </m:sSubPr>
            <m:e>
              <m:r>
                <m:rPr/>
                <w:rPr>
                  <w:rFonts w:hint="default" w:ascii="Cambria Math" w:hAnsi="Cambria Math" w:eastAsia="宋体" w:cs="Cambria Math"/>
                  <w:sz w:val="21"/>
                  <w:szCs w:val="21"/>
                  <w:lang w:val="en-US" w:eastAsia="zh-CN"/>
                </w:rPr>
                <m:t>N</m:t>
              </m:r>
              <m:ctrlPr>
                <w:rPr>
                  <w:rFonts w:hint="default" w:ascii="Cambria Math" w:hAnsi="Cambria Math" w:eastAsia="宋体" w:cs="Cambria Math"/>
                  <w:i/>
                  <w:sz w:val="21"/>
                  <w:szCs w:val="21"/>
                  <w:lang w:val="en-US" w:eastAsia="zh-CN"/>
                </w:rPr>
              </m:ctrlPr>
            </m:e>
            <m:sub>
              <m:r>
                <m:rPr/>
                <w:rPr>
                  <w:rFonts w:hint="default" w:ascii="Cambria Math" w:hAnsi="Cambria Math" w:eastAsia="宋体" w:cs="Cambria Math"/>
                  <w:sz w:val="21"/>
                  <w:szCs w:val="21"/>
                  <w:lang w:val="en-US" w:eastAsia="zh-CN"/>
                </w:rPr>
                <m:t>ch</m:t>
              </m:r>
              <m:ctrlPr>
                <w:rPr>
                  <w:rFonts w:hint="default" w:ascii="Cambria Math" w:hAnsi="Cambria Math" w:eastAsia="宋体" w:cs="Cambria Math"/>
                  <w:i/>
                  <w:sz w:val="21"/>
                  <w:szCs w:val="21"/>
                  <w:lang w:val="en-US" w:eastAsia="zh-CN"/>
                </w:rPr>
              </m:ctrlPr>
            </m:sub>
          </m:sSub>
        </m:oMath>
      </m:oMathPara>
    </w:p>
    <w:p w14:paraId="398C784B">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Based on the formula above, the number of features in my project is 1448. Evaluations of model accuracy are shown in Table2: </w:t>
      </w:r>
    </w:p>
    <w:p w14:paraId="56EE2080">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396"/>
        <w:gridCol w:w="2397"/>
        <w:gridCol w:w="2397"/>
      </w:tblGrid>
      <w:tr w14:paraId="231C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6" w:type="dxa"/>
            <w:gridSpan w:val="4"/>
            <w:tcBorders>
              <w:top w:val="thinThickSmallGap" w:color="auto" w:sz="24" w:space="0"/>
              <w:left w:val="nil"/>
              <w:bottom w:val="single" w:color="auto" w:sz="4" w:space="0"/>
              <w:right w:val="nil"/>
            </w:tcBorders>
          </w:tcPr>
          <w:p w14:paraId="6A012DE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Times New Roman" w:cs="Times New Roman"/>
                <w:b/>
                <w:sz w:val="24"/>
                <w:szCs w:val="24"/>
                <w:rtl w:val="0"/>
                <w:lang w:val="en-US" w:eastAsia="zh-CN"/>
              </w:rPr>
              <w:t xml:space="preserve">Table 2. </w:t>
            </w:r>
            <w:r>
              <w:rPr>
                <w:rFonts w:hint="eastAsia" w:ascii="Times New Roman" w:hAnsi="Times New Roman" w:eastAsia="宋体" w:cs="Times New Roman"/>
                <w:b/>
                <w:sz w:val="24"/>
                <w:szCs w:val="24"/>
                <w:rtl w:val="0"/>
                <w:lang w:val="en-US" w:eastAsia="zh-CN"/>
              </w:rPr>
              <w:t>Accuracy of each model</w:t>
            </w:r>
          </w:p>
        </w:tc>
      </w:tr>
      <w:tr w14:paraId="7C62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single" w:color="auto" w:sz="4" w:space="0"/>
              <w:left w:val="nil"/>
              <w:bottom w:val="nil"/>
              <w:right w:val="nil"/>
            </w:tcBorders>
          </w:tcPr>
          <w:p w14:paraId="61FAE50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Accuracy</w:t>
            </w:r>
          </w:p>
        </w:tc>
        <w:tc>
          <w:tcPr>
            <w:tcW w:w="2396" w:type="dxa"/>
            <w:tcBorders>
              <w:top w:val="single" w:color="auto" w:sz="4" w:space="0"/>
              <w:left w:val="nil"/>
              <w:bottom w:val="nil"/>
              <w:right w:val="nil"/>
            </w:tcBorders>
          </w:tcPr>
          <w:p w14:paraId="0991D68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w:t>
            </w:r>
          </w:p>
        </w:tc>
        <w:tc>
          <w:tcPr>
            <w:tcW w:w="2397" w:type="dxa"/>
            <w:tcBorders>
              <w:top w:val="single" w:color="auto" w:sz="4" w:space="0"/>
              <w:left w:val="nil"/>
              <w:bottom w:val="nil"/>
              <w:right w:val="nil"/>
            </w:tcBorders>
          </w:tcPr>
          <w:p w14:paraId="17F071E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2</w:t>
            </w:r>
          </w:p>
        </w:tc>
        <w:tc>
          <w:tcPr>
            <w:tcW w:w="2397" w:type="dxa"/>
            <w:tcBorders>
              <w:top w:val="single" w:color="auto" w:sz="4" w:space="0"/>
              <w:left w:val="nil"/>
              <w:bottom w:val="nil"/>
              <w:right w:val="nil"/>
            </w:tcBorders>
          </w:tcPr>
          <w:p w14:paraId="0688846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1+2</w:t>
            </w:r>
          </w:p>
        </w:tc>
      </w:tr>
      <w:tr w14:paraId="433B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5FB67CC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1</w:t>
            </w:r>
          </w:p>
        </w:tc>
        <w:tc>
          <w:tcPr>
            <w:tcW w:w="2396" w:type="dxa"/>
            <w:tcBorders>
              <w:top w:val="nil"/>
              <w:left w:val="nil"/>
              <w:bottom w:val="nil"/>
              <w:right w:val="nil"/>
            </w:tcBorders>
          </w:tcPr>
          <w:p w14:paraId="68116D2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74.26%</w:t>
            </w:r>
          </w:p>
        </w:tc>
        <w:tc>
          <w:tcPr>
            <w:tcW w:w="2397" w:type="dxa"/>
            <w:tcBorders>
              <w:top w:val="nil"/>
              <w:left w:val="nil"/>
              <w:bottom w:val="nil"/>
              <w:right w:val="nil"/>
            </w:tcBorders>
          </w:tcPr>
          <w:p w14:paraId="19B0483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75.61%</w:t>
            </w:r>
          </w:p>
        </w:tc>
        <w:tc>
          <w:tcPr>
            <w:tcW w:w="2397" w:type="dxa"/>
            <w:tcBorders>
              <w:top w:val="nil"/>
              <w:left w:val="nil"/>
              <w:bottom w:val="nil"/>
              <w:right w:val="nil"/>
            </w:tcBorders>
          </w:tcPr>
          <w:p w14:paraId="5712904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75.13%</w:t>
            </w:r>
          </w:p>
        </w:tc>
      </w:tr>
      <w:tr w14:paraId="6B8D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380A320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2</w:t>
            </w:r>
          </w:p>
        </w:tc>
        <w:tc>
          <w:tcPr>
            <w:tcW w:w="2396" w:type="dxa"/>
            <w:tcBorders>
              <w:top w:val="nil"/>
              <w:left w:val="nil"/>
              <w:bottom w:val="nil"/>
              <w:right w:val="nil"/>
            </w:tcBorders>
          </w:tcPr>
          <w:p w14:paraId="16ADF8E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69.14%</w:t>
            </w:r>
          </w:p>
        </w:tc>
        <w:tc>
          <w:tcPr>
            <w:tcW w:w="2397" w:type="dxa"/>
            <w:tcBorders>
              <w:top w:val="nil"/>
              <w:left w:val="nil"/>
              <w:bottom w:val="nil"/>
              <w:right w:val="nil"/>
            </w:tcBorders>
          </w:tcPr>
          <w:p w14:paraId="062EDC2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80.67%</w:t>
            </w:r>
          </w:p>
        </w:tc>
        <w:tc>
          <w:tcPr>
            <w:tcW w:w="2397" w:type="dxa"/>
            <w:tcBorders>
              <w:top w:val="nil"/>
              <w:left w:val="nil"/>
              <w:bottom w:val="nil"/>
              <w:right w:val="nil"/>
            </w:tcBorders>
          </w:tcPr>
          <w:p w14:paraId="56310BA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76.61%</w:t>
            </w:r>
          </w:p>
        </w:tc>
      </w:tr>
      <w:tr w14:paraId="2C05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thickThinSmallGap" w:color="auto" w:sz="24" w:space="0"/>
              <w:right w:val="nil"/>
            </w:tcBorders>
          </w:tcPr>
          <w:p w14:paraId="1C54D56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1+2</w:t>
            </w:r>
          </w:p>
        </w:tc>
        <w:tc>
          <w:tcPr>
            <w:tcW w:w="2396" w:type="dxa"/>
            <w:tcBorders>
              <w:top w:val="nil"/>
              <w:left w:val="nil"/>
              <w:bottom w:val="thickThinSmallGap" w:color="auto" w:sz="24" w:space="0"/>
              <w:right w:val="nil"/>
            </w:tcBorders>
          </w:tcPr>
          <w:p w14:paraId="2AD3639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77.04%</w:t>
            </w:r>
          </w:p>
        </w:tc>
        <w:tc>
          <w:tcPr>
            <w:tcW w:w="2397" w:type="dxa"/>
            <w:tcBorders>
              <w:top w:val="nil"/>
              <w:left w:val="nil"/>
              <w:bottom w:val="thickThinSmallGap" w:color="auto" w:sz="24" w:space="0"/>
              <w:right w:val="nil"/>
            </w:tcBorders>
          </w:tcPr>
          <w:p w14:paraId="65CB22F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83.50%</w:t>
            </w:r>
          </w:p>
        </w:tc>
        <w:tc>
          <w:tcPr>
            <w:tcW w:w="2397" w:type="dxa"/>
            <w:tcBorders>
              <w:top w:val="nil"/>
              <w:left w:val="nil"/>
              <w:bottom w:val="thickThinSmallGap" w:color="auto" w:sz="24" w:space="0"/>
              <w:right w:val="nil"/>
            </w:tcBorders>
          </w:tcPr>
          <w:p w14:paraId="4990670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81.23%</w:t>
            </w:r>
          </w:p>
        </w:tc>
      </w:tr>
    </w:tbl>
    <w:p w14:paraId="5BF90AA6">
      <w:pPr>
        <w:spacing w:before="98"/>
        <w:jc w:val="both"/>
        <w:rPr>
          <w:rFonts w:hint="default"/>
          <w:rtl w:val="0"/>
          <w:lang w:val="en-US" w:eastAsia="zh-CN"/>
        </w:rPr>
      </w:pPr>
    </w:p>
    <w:p w14:paraId="3E83CDA1">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Since P300 mainly appears between 300ms to 600ms and there is a huge gap between target and non-target ERP waveforms, so I choose to set the new time range from 300ms to 600ms. And evaluations of new model accuracy are shown in Table3: </w:t>
      </w:r>
    </w:p>
    <w:p w14:paraId="3F8BE1FF">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396"/>
        <w:gridCol w:w="2397"/>
        <w:gridCol w:w="2397"/>
      </w:tblGrid>
      <w:tr w14:paraId="3A20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6" w:type="dxa"/>
            <w:gridSpan w:val="4"/>
            <w:tcBorders>
              <w:top w:val="thinThickSmallGap" w:color="auto" w:sz="24" w:space="0"/>
              <w:left w:val="nil"/>
              <w:bottom w:val="single" w:color="auto" w:sz="4" w:space="0"/>
              <w:right w:val="nil"/>
            </w:tcBorders>
          </w:tcPr>
          <w:p w14:paraId="4758CF4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Times New Roman" w:cs="Times New Roman"/>
                <w:b/>
                <w:sz w:val="24"/>
                <w:szCs w:val="24"/>
                <w:rtl w:val="0"/>
                <w:lang w:val="en-US" w:eastAsia="zh-CN"/>
              </w:rPr>
              <w:t xml:space="preserve">Table 3. </w:t>
            </w:r>
            <w:r>
              <w:rPr>
                <w:rFonts w:hint="eastAsia" w:ascii="Times New Roman" w:hAnsi="Times New Roman" w:eastAsia="宋体" w:cs="Times New Roman"/>
                <w:b/>
                <w:sz w:val="24"/>
                <w:szCs w:val="24"/>
                <w:rtl w:val="0"/>
                <w:lang w:val="en-US" w:eastAsia="zh-CN"/>
              </w:rPr>
              <w:t>Accuracy of each model (new time range)</w:t>
            </w:r>
          </w:p>
        </w:tc>
      </w:tr>
      <w:tr w14:paraId="41F2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single" w:color="auto" w:sz="4" w:space="0"/>
              <w:left w:val="nil"/>
              <w:bottom w:val="nil"/>
              <w:right w:val="nil"/>
            </w:tcBorders>
          </w:tcPr>
          <w:p w14:paraId="245B6ED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Accuracy</w:t>
            </w:r>
          </w:p>
        </w:tc>
        <w:tc>
          <w:tcPr>
            <w:tcW w:w="2396" w:type="dxa"/>
            <w:tcBorders>
              <w:top w:val="single" w:color="auto" w:sz="4" w:space="0"/>
              <w:left w:val="nil"/>
              <w:bottom w:val="nil"/>
              <w:right w:val="nil"/>
            </w:tcBorders>
          </w:tcPr>
          <w:p w14:paraId="69A07CC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w:t>
            </w:r>
          </w:p>
        </w:tc>
        <w:tc>
          <w:tcPr>
            <w:tcW w:w="2397" w:type="dxa"/>
            <w:tcBorders>
              <w:top w:val="single" w:color="auto" w:sz="4" w:space="0"/>
              <w:left w:val="nil"/>
              <w:bottom w:val="nil"/>
              <w:right w:val="nil"/>
            </w:tcBorders>
          </w:tcPr>
          <w:p w14:paraId="652AC76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2</w:t>
            </w:r>
          </w:p>
        </w:tc>
        <w:tc>
          <w:tcPr>
            <w:tcW w:w="2397" w:type="dxa"/>
            <w:tcBorders>
              <w:top w:val="single" w:color="auto" w:sz="4" w:space="0"/>
              <w:left w:val="nil"/>
              <w:bottom w:val="nil"/>
              <w:right w:val="nil"/>
            </w:tcBorders>
          </w:tcPr>
          <w:p w14:paraId="67D57D5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1+2</w:t>
            </w:r>
          </w:p>
        </w:tc>
      </w:tr>
      <w:tr w14:paraId="42C6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7E78DF2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Model1</w:t>
            </w:r>
          </w:p>
        </w:tc>
        <w:tc>
          <w:tcPr>
            <w:tcW w:w="2396" w:type="dxa"/>
            <w:tcBorders>
              <w:top w:val="nil"/>
              <w:left w:val="nil"/>
              <w:bottom w:val="nil"/>
              <w:right w:val="nil"/>
            </w:tcBorders>
          </w:tcPr>
          <w:p w14:paraId="0D71D0D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79.46%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2222CE8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77.78%</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5589699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78.37%</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r>
      <w:tr w14:paraId="5D2C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6EB7076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2</w:t>
            </w:r>
          </w:p>
        </w:tc>
        <w:tc>
          <w:tcPr>
            <w:tcW w:w="2396" w:type="dxa"/>
            <w:tcBorders>
              <w:top w:val="nil"/>
              <w:left w:val="nil"/>
              <w:bottom w:val="nil"/>
              <w:right w:val="nil"/>
            </w:tcBorders>
          </w:tcPr>
          <w:p w14:paraId="039DF6D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70.63%</w:t>
            </w:r>
            <w:r>
              <w:rPr>
                <w:rFonts w:hint="eastAsia" w:ascii="Times New Roman" w:hAnsi="Times New Roman" w:eastAsia="宋体" w:cs="Times New Roman"/>
                <w:i w:val="0"/>
                <w:iCs w:val="0"/>
                <w:sz w:val="24"/>
                <w:szCs w:val="24"/>
                <w:vertAlign w:val="baseline"/>
                <w:rtl w:val="0"/>
                <w:lang w:val="en-US" w:eastAsia="zh-CN"/>
              </w:rPr>
              <w:t>(</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2D68417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83.00%</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773504A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78.64%</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r>
      <w:tr w14:paraId="484A2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thickThinSmallGap" w:color="auto" w:sz="24" w:space="0"/>
              <w:right w:val="nil"/>
            </w:tcBorders>
          </w:tcPr>
          <w:p w14:paraId="205456E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1+2</w:t>
            </w:r>
          </w:p>
        </w:tc>
        <w:tc>
          <w:tcPr>
            <w:tcW w:w="2396" w:type="dxa"/>
            <w:tcBorders>
              <w:top w:val="nil"/>
              <w:left w:val="nil"/>
              <w:bottom w:val="thickThinSmallGap" w:color="auto" w:sz="24" w:space="0"/>
              <w:right w:val="nil"/>
            </w:tcBorders>
          </w:tcPr>
          <w:p w14:paraId="25A795D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80.76%</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thickThinSmallGap" w:color="auto" w:sz="24" w:space="0"/>
              <w:right w:val="nil"/>
            </w:tcBorders>
          </w:tcPr>
          <w:p w14:paraId="14B2803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83.91%</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thickThinSmallGap" w:color="auto" w:sz="24" w:space="0"/>
              <w:right w:val="nil"/>
            </w:tcBorders>
          </w:tcPr>
          <w:p w14:paraId="3B26C48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82.80%</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r>
    </w:tbl>
    <w:p w14:paraId="4B1DF620">
      <w:pPr>
        <w:spacing w:before="98"/>
        <w:jc w:val="both"/>
        <w:rPr>
          <w:rFonts w:hint="default"/>
          <w:rtl w:val="0"/>
          <w:lang w:val="en-US" w:eastAsia="zh-CN"/>
        </w:rPr>
      </w:pPr>
    </w:p>
    <w:p w14:paraId="3C76FF2F">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By comparing Table 1 and Table 2, it is evident that the performance improved remarkably in all cases. Therefore, we can conclude that focusing on a narrow time window of 300–600 ms after stimulus onset, corresponding to the P300 component, helps the model achieve significantly better performance.</w:t>
      </w:r>
    </w:p>
    <w:p w14:paraId="7F6299A2">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229BA5FA">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According to Table 2, the combination of Model</w:t>
      </w:r>
      <w:r>
        <w:rPr>
          <w:rFonts w:hint="eastAsia" w:ascii="Times New Roman" w:hAnsi="Times New Roman" w:eastAsia="宋体" w:cs="Times New Roman"/>
          <w:i w:val="0"/>
          <w:iCs w:val="0"/>
          <w:sz w:val="24"/>
          <w:szCs w:val="24"/>
          <w:vertAlign w:val="subscript"/>
          <w:rtl w:val="0"/>
          <w:lang w:val="en-US" w:eastAsia="zh-CN"/>
        </w:rPr>
        <w:t>1+2</w:t>
      </w:r>
      <w:r>
        <w:rPr>
          <w:rFonts w:hint="eastAsia" w:ascii="Times New Roman" w:hAnsi="Times New Roman" w:eastAsia="宋体" w:cs="Times New Roman"/>
          <w:i w:val="0"/>
          <w:iCs w:val="0"/>
          <w:sz w:val="24"/>
          <w:szCs w:val="24"/>
          <w:rtl w:val="0"/>
          <w:lang w:val="en-US" w:eastAsia="zh-CN"/>
        </w:rPr>
        <w:t xml:space="preserve"> and Test Set 2 achieve the highest accuracy. This can be explained by the fact that Model</w:t>
      </w:r>
      <w:r>
        <w:rPr>
          <w:rFonts w:hint="eastAsia" w:ascii="Times New Roman" w:hAnsi="Times New Roman" w:eastAsia="宋体" w:cs="Times New Roman"/>
          <w:i w:val="0"/>
          <w:iCs w:val="0"/>
          <w:sz w:val="24"/>
          <w:szCs w:val="24"/>
          <w:vertAlign w:val="subscript"/>
          <w:rtl w:val="0"/>
          <w:lang w:val="en-US" w:eastAsia="zh-CN"/>
        </w:rPr>
        <w:t>1+2</w:t>
      </w:r>
      <w:r>
        <w:rPr>
          <w:rFonts w:hint="eastAsia" w:ascii="Times New Roman" w:hAnsi="Times New Roman" w:eastAsia="宋体" w:cs="Times New Roman"/>
          <w:i w:val="0"/>
          <w:iCs w:val="0"/>
          <w:sz w:val="24"/>
          <w:szCs w:val="24"/>
          <w:rtl w:val="0"/>
          <w:lang w:val="en-US" w:eastAsia="zh-CN"/>
        </w:rPr>
        <w:t xml:space="preserve"> was trained on the largest dataset (train1.mat + train2.mat), which helps the model avoid underfitting and learn more robust features. Moreover, it was tested on Test Set 2, which represents only a subset of the entire testing dataset (test1.mat + test2.mat). As a result, the testing data are relatively less complex and contain fewer variations, making it easier for the model to achieve higher accuracy.</w:t>
      </w:r>
    </w:p>
    <w:p w14:paraId="5F09C973">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31EC32D2">
      <w:pPr>
        <w:keepNext w:val="0"/>
        <w:keepLines w:val="0"/>
        <w:widowControl/>
        <w:suppressLineNumbers w:val="0"/>
        <w:jc w:val="left"/>
        <w:rPr>
          <w:rFonts w:hint="eastAsia"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rtl w:val="0"/>
          <w:lang w:val="en-US" w:eastAsia="zh-CN"/>
        </w:rPr>
        <w:t>As for generalizing ability, we should examine models trained and tested with data from totally different trials. Model</w:t>
      </w:r>
      <w:r>
        <w:rPr>
          <w:rFonts w:hint="eastAsia" w:ascii="Times New Roman" w:hAnsi="Times New Roman" w:eastAsia="宋体" w:cs="Times New Roman"/>
          <w:i w:val="0"/>
          <w:iCs w:val="0"/>
          <w:sz w:val="24"/>
          <w:szCs w:val="24"/>
          <w:vertAlign w:val="subscript"/>
          <w:rtl w:val="0"/>
          <w:lang w:val="en-US" w:eastAsia="zh-CN"/>
        </w:rPr>
        <w:t xml:space="preserve">1 </w:t>
      </w:r>
      <w:r>
        <w:rPr>
          <w:rFonts w:hint="eastAsia" w:ascii="Times New Roman" w:hAnsi="Times New Roman" w:eastAsia="宋体" w:cs="Times New Roman"/>
          <w:i w:val="0"/>
          <w:iCs w:val="0"/>
          <w:sz w:val="24"/>
          <w:szCs w:val="24"/>
          <w:vertAlign w:val="baseline"/>
          <w:rtl w:val="0"/>
          <w:lang w:val="en-US" w:eastAsia="zh-CN"/>
        </w:rPr>
        <w:t xml:space="preserve">tested on </w:t>
      </w:r>
      <w:r>
        <w:rPr>
          <w:rFonts w:hint="eastAsia" w:ascii="Times New Roman" w:hAnsi="Times New Roman" w:eastAsia="宋体" w:cs="Times New Roman"/>
          <w:i w:val="0"/>
          <w:iCs w:val="0"/>
          <w:sz w:val="24"/>
          <w:szCs w:val="24"/>
          <w:rtl w:val="0"/>
          <w:lang w:val="en-US" w:eastAsia="zh-CN"/>
        </w:rPr>
        <w:t>Test Set 2 achieves a higher accuracy (77.78%) than Model</w:t>
      </w:r>
      <w:r>
        <w:rPr>
          <w:rFonts w:hint="eastAsia" w:ascii="Times New Roman" w:hAnsi="Times New Roman" w:eastAsia="宋体" w:cs="Times New Roman"/>
          <w:i w:val="0"/>
          <w:iCs w:val="0"/>
          <w:sz w:val="24"/>
          <w:szCs w:val="24"/>
          <w:vertAlign w:val="subscript"/>
          <w:rtl w:val="0"/>
          <w:lang w:val="en-US" w:eastAsia="zh-CN"/>
        </w:rPr>
        <w:t xml:space="preserve">2 </w:t>
      </w:r>
      <w:r>
        <w:rPr>
          <w:rFonts w:hint="eastAsia" w:ascii="Times New Roman" w:hAnsi="Times New Roman" w:eastAsia="宋体" w:cs="Times New Roman"/>
          <w:i w:val="0"/>
          <w:iCs w:val="0"/>
          <w:sz w:val="24"/>
          <w:szCs w:val="24"/>
          <w:vertAlign w:val="baseline"/>
          <w:rtl w:val="0"/>
          <w:lang w:val="en-US" w:eastAsia="zh-CN"/>
        </w:rPr>
        <w:t xml:space="preserve">tested on </w:t>
      </w:r>
      <w:r>
        <w:rPr>
          <w:rFonts w:hint="eastAsia" w:ascii="Times New Roman" w:hAnsi="Times New Roman" w:eastAsia="宋体" w:cs="Times New Roman"/>
          <w:i w:val="0"/>
          <w:iCs w:val="0"/>
          <w:sz w:val="24"/>
          <w:szCs w:val="24"/>
          <w:rtl w:val="0"/>
          <w:lang w:val="en-US" w:eastAsia="zh-CN"/>
        </w:rPr>
        <w:t>Test Set 1 (70.63%). So the conclusion is that Model</w:t>
      </w:r>
      <w:r>
        <w:rPr>
          <w:rFonts w:hint="eastAsia" w:ascii="Times New Roman" w:hAnsi="Times New Roman" w:eastAsia="宋体" w:cs="Times New Roman"/>
          <w:i w:val="0"/>
          <w:iCs w:val="0"/>
          <w:sz w:val="24"/>
          <w:szCs w:val="24"/>
          <w:vertAlign w:val="subscript"/>
          <w:rtl w:val="0"/>
          <w:lang w:val="en-US" w:eastAsia="zh-CN"/>
        </w:rPr>
        <w:t xml:space="preserve">1 </w:t>
      </w:r>
      <w:r>
        <w:rPr>
          <w:rFonts w:hint="eastAsia" w:ascii="Times New Roman" w:hAnsi="Times New Roman" w:eastAsia="宋体" w:cs="Times New Roman"/>
          <w:i w:val="0"/>
          <w:iCs w:val="0"/>
          <w:sz w:val="24"/>
          <w:szCs w:val="24"/>
          <w:vertAlign w:val="baseline"/>
          <w:rtl w:val="0"/>
          <w:lang w:val="en-US" w:eastAsia="zh-CN"/>
        </w:rPr>
        <w:t>has a better generalization.</w:t>
      </w:r>
    </w:p>
    <w:p w14:paraId="07613AF9">
      <w:pPr>
        <w:keepNext w:val="0"/>
        <w:keepLines w:val="0"/>
        <w:widowControl/>
        <w:suppressLineNumbers w:val="0"/>
        <w:jc w:val="left"/>
        <w:rPr>
          <w:rFonts w:hint="eastAsia" w:ascii="Times New Roman" w:hAnsi="Times New Roman" w:eastAsia="宋体" w:cs="Times New Roman"/>
          <w:i w:val="0"/>
          <w:iCs w:val="0"/>
          <w:sz w:val="24"/>
          <w:szCs w:val="24"/>
          <w:vertAlign w:val="baseline"/>
          <w:rtl w:val="0"/>
          <w:lang w:val="en-US" w:eastAsia="zh-CN"/>
        </w:rPr>
      </w:pPr>
    </w:p>
    <w:p w14:paraId="44ED6E2E">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vertAlign w:val="baseline"/>
          <w:rtl w:val="0"/>
          <w:lang w:val="en-US" w:eastAsia="zh-CN"/>
        </w:rPr>
        <w:t>As for the</w:t>
      </w:r>
      <w:r>
        <w:rPr>
          <w:rFonts w:hint="eastAsia" w:ascii="Times New Roman" w:hAnsi="Times New Roman" w:eastAsia="宋体" w:cs="Times New Roman"/>
          <w:i w:val="0"/>
          <w:iCs w:val="0"/>
          <w:sz w:val="24"/>
          <w:szCs w:val="24"/>
          <w:rtl w:val="0"/>
          <w:lang w:val="en-US" w:eastAsia="zh-CN"/>
        </w:rPr>
        <w:t xml:space="preserve"> comparison between </w:t>
      </w:r>
      <w:r>
        <w:rPr>
          <w:rFonts w:hint="default" w:ascii="Times New Roman" w:hAnsi="Times New Roman" w:eastAsia="宋体" w:cs="Times New Roman"/>
          <w:i w:val="0"/>
          <w:iCs w:val="0"/>
          <w:sz w:val="24"/>
          <w:szCs w:val="24"/>
          <w:rtl w:val="0"/>
          <w:lang w:val="en-US" w:eastAsia="zh-CN"/>
        </w:rPr>
        <w:t>cross-session model</w:t>
      </w:r>
      <w:r>
        <w:rPr>
          <w:rFonts w:hint="eastAsia" w:ascii="Times New Roman" w:hAnsi="Times New Roman" w:eastAsia="宋体" w:cs="Times New Roman"/>
          <w:i w:val="0"/>
          <w:iCs w:val="0"/>
          <w:sz w:val="24"/>
          <w:szCs w:val="24"/>
          <w:rtl w:val="0"/>
          <w:lang w:val="en-US" w:eastAsia="zh-CN"/>
        </w:rPr>
        <w:t xml:space="preserve"> and</w:t>
      </w:r>
      <w:r>
        <w:rPr>
          <w:rFonts w:hint="default" w:ascii="Times New Roman" w:hAnsi="Times New Roman" w:eastAsia="宋体" w:cs="Times New Roman"/>
          <w:i w:val="0"/>
          <w:iCs w:val="0"/>
          <w:sz w:val="24"/>
          <w:szCs w:val="24"/>
          <w:rtl w:val="0"/>
          <w:lang w:val="en-US" w:eastAsia="zh-CN"/>
        </w:rPr>
        <w:t xml:space="preserve"> within-session model</w:t>
      </w:r>
      <w:r>
        <w:rPr>
          <w:rFonts w:hint="eastAsia" w:ascii="Times New Roman" w:hAnsi="Times New Roman" w:eastAsia="宋体" w:cs="Times New Roman"/>
          <w:i w:val="0"/>
          <w:iCs w:val="0"/>
          <w:sz w:val="24"/>
          <w:szCs w:val="24"/>
          <w:rtl w:val="0"/>
          <w:lang w:val="en-US" w:eastAsia="zh-CN"/>
        </w:rPr>
        <w:t>, we should check models trained on data from multiple sessions versus models trained on data from only a single session (Model</w:t>
      </w:r>
      <w:r>
        <w:rPr>
          <w:rFonts w:hint="eastAsia" w:ascii="Times New Roman" w:hAnsi="Times New Roman" w:eastAsia="宋体" w:cs="Times New Roman"/>
          <w:i w:val="0"/>
          <w:iCs w:val="0"/>
          <w:sz w:val="24"/>
          <w:szCs w:val="24"/>
          <w:vertAlign w:val="subscript"/>
          <w:rtl w:val="0"/>
          <w:lang w:val="en-US" w:eastAsia="zh-CN"/>
        </w:rPr>
        <w:t xml:space="preserve">1+2 </w:t>
      </w:r>
      <w:r>
        <w:rPr>
          <w:rFonts w:hint="eastAsia" w:ascii="Times New Roman" w:hAnsi="Times New Roman" w:eastAsia="宋体" w:cs="Times New Roman"/>
          <w:i w:val="0"/>
          <w:iCs w:val="0"/>
          <w:sz w:val="24"/>
          <w:szCs w:val="24"/>
          <w:vertAlign w:val="baseline"/>
          <w:rtl w:val="0"/>
          <w:lang w:val="en-US" w:eastAsia="zh-CN"/>
        </w:rPr>
        <w:t xml:space="preserve">vs </w:t>
      </w:r>
      <w:r>
        <w:rPr>
          <w:rFonts w:hint="eastAsia" w:ascii="Times New Roman" w:hAnsi="Times New Roman" w:eastAsia="宋体" w:cs="Times New Roman"/>
          <w:i w:val="0"/>
          <w:iCs w:val="0"/>
          <w:sz w:val="24"/>
          <w:szCs w:val="24"/>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 xml:space="preserve">1 </w:t>
      </w:r>
      <w:r>
        <w:rPr>
          <w:rFonts w:hint="eastAsia" w:ascii="Times New Roman" w:hAnsi="Times New Roman" w:eastAsia="宋体" w:cs="Times New Roman"/>
          <w:i w:val="0"/>
          <w:iCs w:val="0"/>
          <w:sz w:val="24"/>
          <w:szCs w:val="24"/>
          <w:rtl w:val="0"/>
          <w:lang w:val="en-US" w:eastAsia="zh-CN"/>
        </w:rPr>
        <w:t>and Model2). There is no doubt that Model</w:t>
      </w:r>
      <w:r>
        <w:rPr>
          <w:rFonts w:hint="eastAsia" w:ascii="Times New Roman" w:hAnsi="Times New Roman" w:eastAsia="宋体" w:cs="Times New Roman"/>
          <w:i w:val="0"/>
          <w:iCs w:val="0"/>
          <w:sz w:val="24"/>
          <w:szCs w:val="24"/>
          <w:vertAlign w:val="subscript"/>
          <w:rtl w:val="0"/>
          <w:lang w:val="en-US" w:eastAsia="zh-CN"/>
        </w:rPr>
        <w:t xml:space="preserve">1+2 </w:t>
      </w:r>
      <w:r>
        <w:rPr>
          <w:rFonts w:hint="eastAsia" w:ascii="Times New Roman" w:hAnsi="Times New Roman" w:eastAsia="宋体" w:cs="Times New Roman"/>
          <w:i w:val="0"/>
          <w:iCs w:val="0"/>
          <w:sz w:val="24"/>
          <w:szCs w:val="24"/>
          <w:vertAlign w:val="baseline"/>
          <w:rtl w:val="0"/>
          <w:lang w:val="en-US" w:eastAsia="zh-CN"/>
        </w:rPr>
        <w:t>,</w:t>
      </w:r>
      <w:r>
        <w:rPr>
          <w:rFonts w:hint="eastAsia" w:ascii="Times New Roman" w:hAnsi="Times New Roman" w:eastAsia="宋体" w:cs="Times New Roman"/>
          <w:i w:val="0"/>
          <w:iCs w:val="0"/>
          <w:sz w:val="24"/>
          <w:szCs w:val="24"/>
          <w:vertAlign w:val="subscript"/>
          <w:rtl w:val="0"/>
          <w:lang w:val="en-US" w:eastAsia="zh-CN"/>
        </w:rPr>
        <w:t xml:space="preserve"> </w:t>
      </w:r>
      <w:r>
        <w:rPr>
          <w:rFonts w:hint="eastAsia" w:ascii="Times New Roman" w:hAnsi="Times New Roman" w:eastAsia="宋体" w:cs="Times New Roman"/>
          <w:i w:val="0"/>
          <w:iCs w:val="0"/>
          <w:sz w:val="24"/>
          <w:szCs w:val="24"/>
          <w:vertAlign w:val="baseline"/>
          <w:rtl w:val="0"/>
          <w:lang w:val="en-US" w:eastAsia="zh-CN"/>
        </w:rPr>
        <w:t xml:space="preserve">a </w:t>
      </w:r>
      <w:r>
        <w:rPr>
          <w:rFonts w:hint="default" w:ascii="Times New Roman" w:hAnsi="Times New Roman" w:eastAsia="宋体" w:cs="Times New Roman"/>
          <w:i w:val="0"/>
          <w:iCs w:val="0"/>
          <w:sz w:val="24"/>
          <w:szCs w:val="24"/>
          <w:rtl w:val="0"/>
          <w:lang w:val="en-US" w:eastAsia="zh-CN"/>
        </w:rPr>
        <w:t>cross-session mode</w:t>
      </w:r>
      <w:r>
        <w:rPr>
          <w:rFonts w:hint="eastAsia" w:ascii="Times New Roman" w:hAnsi="Times New Roman" w:eastAsia="宋体" w:cs="Times New Roman"/>
          <w:i w:val="0"/>
          <w:iCs w:val="0"/>
          <w:sz w:val="24"/>
          <w:szCs w:val="24"/>
          <w:rtl w:val="0"/>
          <w:lang w:val="en-US" w:eastAsia="zh-CN"/>
        </w:rPr>
        <w:t xml:space="preserve">l, achieves a higher average accuracy than the other two </w:t>
      </w:r>
      <w:r>
        <w:rPr>
          <w:rFonts w:hint="default" w:ascii="Times New Roman" w:hAnsi="Times New Roman" w:eastAsia="宋体" w:cs="Times New Roman"/>
          <w:i w:val="0"/>
          <w:iCs w:val="0"/>
          <w:sz w:val="24"/>
          <w:szCs w:val="24"/>
          <w:rtl w:val="0"/>
          <w:lang w:val="en-US" w:eastAsia="zh-CN"/>
        </w:rPr>
        <w:t>within-session model</w:t>
      </w:r>
      <w:r>
        <w:rPr>
          <w:rFonts w:hint="eastAsia" w:ascii="Times New Roman" w:hAnsi="Times New Roman" w:eastAsia="宋体" w:cs="Times New Roman"/>
          <w:i w:val="0"/>
          <w:iCs w:val="0"/>
          <w:sz w:val="24"/>
          <w:szCs w:val="24"/>
          <w:rtl w:val="0"/>
          <w:lang w:val="en-US" w:eastAsia="zh-CN"/>
        </w:rPr>
        <w:t>s</w:t>
      </w:r>
    </w:p>
    <w:p w14:paraId="39F999EE">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p>
    <w:p w14:paraId="5B1429D1">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t>Besides, following methods could be utilized for model evaluation</w:t>
      </w:r>
      <w:r>
        <w:rPr>
          <w:rFonts w:hint="eastAsia" w:ascii="Times New Roman" w:hAnsi="Times New Roman" w:eastAsia="宋体" w:cs="Times New Roman"/>
          <w:i w:val="0"/>
          <w:iCs w:val="0"/>
          <w:sz w:val="24"/>
          <w:szCs w:val="24"/>
          <w:rtl w:val="0"/>
          <w:lang w:val="en-US" w:eastAsia="zh-CN"/>
        </w:rPr>
        <w:t>.</w:t>
      </w:r>
      <w:r>
        <w:rPr>
          <w:rFonts w:hint="default" w:ascii="Times New Roman" w:hAnsi="Times New Roman" w:eastAsia="宋体" w:cs="Times New Roman"/>
          <w:i w:val="0"/>
          <w:iCs w:val="0"/>
          <w:sz w:val="24"/>
          <w:szCs w:val="24"/>
          <w:rtl w:val="0"/>
          <w:lang w:val="en-US" w:eastAsia="zh-CN"/>
        </w:rPr>
        <w:t xml:space="preserve"> The ROC curve</w:t>
      </w:r>
      <w:r>
        <w:rPr>
          <w:rFonts w:hint="eastAsia" w:ascii="Times New Roman" w:hAnsi="Times New Roman" w:eastAsia="宋体" w:cs="Times New Roman"/>
          <w:i w:val="0"/>
          <w:iCs w:val="0"/>
          <w:sz w:val="24"/>
          <w:szCs w:val="24"/>
          <w:rtl w:val="0"/>
          <w:lang w:val="en-US" w:eastAsia="zh-CN"/>
        </w:rPr>
        <w:t xml:space="preserve"> </w:t>
      </w:r>
      <w:r>
        <w:rPr>
          <w:rFonts w:hint="default" w:ascii="Times New Roman" w:hAnsi="Times New Roman" w:eastAsia="宋体" w:cs="Times New Roman"/>
          <w:i w:val="0"/>
          <w:iCs w:val="0"/>
          <w:sz w:val="24"/>
          <w:szCs w:val="24"/>
          <w:rtl w:val="0"/>
          <w:lang w:val="en-US" w:eastAsia="zh-CN"/>
        </w:rPr>
        <w:t>(Figure 8)</w:t>
      </w:r>
      <w:r>
        <w:rPr>
          <w:rFonts w:hint="eastAsia" w:ascii="Times New Roman" w:hAnsi="Times New Roman" w:eastAsia="宋体" w:cs="Times New Roman"/>
          <w:i w:val="0"/>
          <w:iCs w:val="0"/>
          <w:sz w:val="24"/>
          <w:szCs w:val="24"/>
          <w:rtl w:val="0"/>
          <w:lang w:val="en-US" w:eastAsia="zh-CN"/>
        </w:rPr>
        <w:t xml:space="preserve"> </w:t>
      </w:r>
      <w:r>
        <w:rPr>
          <w:rFonts w:hint="default" w:ascii="Times New Roman" w:hAnsi="Times New Roman" w:eastAsia="宋体" w:cs="Times New Roman"/>
          <w:i w:val="0"/>
          <w:iCs w:val="0"/>
          <w:sz w:val="24"/>
          <w:szCs w:val="24"/>
          <w:rtl w:val="0"/>
          <w:lang w:val="en-US" w:eastAsia="zh-CN"/>
        </w:rPr>
        <w:t>evaluates the model’s overall discriminative ability by illustrating the trade-off between true positive and false positive rates</w:t>
      </w:r>
      <w:r>
        <w:rPr>
          <w:rFonts w:hint="eastAsia" w:ascii="Times New Roman" w:hAnsi="Times New Roman" w:eastAsia="宋体" w:cs="Times New Roman"/>
          <w:i w:val="0"/>
          <w:iCs w:val="0"/>
          <w:sz w:val="24"/>
          <w:szCs w:val="24"/>
          <w:rtl w:val="0"/>
          <w:lang w:val="en-US" w:eastAsia="zh-CN"/>
        </w:rPr>
        <w:t>.</w:t>
      </w:r>
      <w:r>
        <w:rPr>
          <w:rFonts w:hint="default" w:ascii="Times New Roman" w:hAnsi="Times New Roman" w:eastAsia="宋体" w:cs="Times New Roman"/>
          <w:i w:val="0"/>
          <w:iCs w:val="0"/>
          <w:sz w:val="24"/>
          <w:szCs w:val="24"/>
          <w:rtl w:val="0"/>
          <w:lang w:val="en-US" w:eastAsia="zh-CN"/>
        </w:rPr>
        <w:t xml:space="preserve"> The confusion matrix</w:t>
      </w:r>
      <w:r>
        <w:rPr>
          <w:rFonts w:hint="eastAsia" w:ascii="Times New Roman" w:hAnsi="Times New Roman" w:eastAsia="宋体" w:cs="Times New Roman"/>
          <w:i w:val="0"/>
          <w:iCs w:val="0"/>
          <w:sz w:val="24"/>
          <w:szCs w:val="24"/>
          <w:rtl w:val="0"/>
          <w:lang w:val="en-US" w:eastAsia="zh-CN"/>
        </w:rPr>
        <w:t xml:space="preserve"> </w:t>
      </w:r>
      <w:r>
        <w:rPr>
          <w:rFonts w:hint="default" w:ascii="Times New Roman" w:hAnsi="Times New Roman" w:eastAsia="宋体" w:cs="Times New Roman"/>
          <w:i w:val="0"/>
          <w:iCs w:val="0"/>
          <w:sz w:val="24"/>
          <w:szCs w:val="24"/>
          <w:rtl w:val="0"/>
          <w:lang w:val="en-US" w:eastAsia="zh-CN"/>
        </w:rPr>
        <w:t xml:space="preserve">(Figure </w:t>
      </w:r>
      <w:r>
        <w:rPr>
          <w:rFonts w:hint="eastAsia" w:ascii="Times New Roman" w:hAnsi="Times New Roman" w:eastAsia="宋体" w:cs="Times New Roman"/>
          <w:i w:val="0"/>
          <w:iCs w:val="0"/>
          <w:sz w:val="24"/>
          <w:szCs w:val="24"/>
          <w:rtl w:val="0"/>
          <w:lang w:val="en-US" w:eastAsia="zh-CN"/>
        </w:rPr>
        <w:t>9</w:t>
      </w:r>
      <w:r>
        <w:rPr>
          <w:rFonts w:hint="default" w:ascii="Times New Roman" w:hAnsi="Times New Roman" w:eastAsia="宋体" w:cs="Times New Roman"/>
          <w:i w:val="0"/>
          <w:iCs w:val="0"/>
          <w:sz w:val="24"/>
          <w:szCs w:val="24"/>
          <w:rtl w:val="0"/>
          <w:lang w:val="en-US" w:eastAsia="zh-CN"/>
        </w:rPr>
        <w:t xml:space="preserve">) provides detailed insight into prediction outcomes, enabling the calculation of accuracy, precision, recall, and F1-score. </w:t>
      </w:r>
    </w:p>
    <w:p w14:paraId="3C7F89E1">
      <w:pPr>
        <w:keepNext w:val="0"/>
        <w:keepLines w:val="0"/>
        <w:widowControl/>
        <w:suppressLineNumbers w:val="0"/>
        <w:jc w:val="center"/>
        <w:rPr>
          <w:rFonts w:hint="eastAsia"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drawing>
          <wp:inline distT="0" distB="0" distL="114300" distR="114300">
            <wp:extent cx="4483735" cy="3609975"/>
            <wp:effectExtent l="0" t="0" r="12065" b="9525"/>
            <wp:docPr id="9" name="图片 9" descr="All_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ll_ROC_Curves"/>
                    <pic:cNvPicPr>
                      <a:picLocks noChangeAspect="1"/>
                    </pic:cNvPicPr>
                  </pic:nvPicPr>
                  <pic:blipFill>
                    <a:blip r:embed="rId13"/>
                    <a:srcRect l="7703" t="3361" r="6271" b="4330"/>
                    <a:stretch>
                      <a:fillRect/>
                    </a:stretch>
                  </pic:blipFill>
                  <pic:spPr>
                    <a:xfrm>
                      <a:off x="0" y="0"/>
                      <a:ext cx="4483735" cy="3609975"/>
                    </a:xfrm>
                    <a:prstGeom prst="rect">
                      <a:avLst/>
                    </a:prstGeom>
                  </pic:spPr>
                </pic:pic>
              </a:graphicData>
            </a:graphic>
          </wp:inline>
        </w:drawing>
      </w:r>
    </w:p>
    <w:p w14:paraId="7BD34BFF">
      <w:pPr>
        <w:spacing w:before="98"/>
        <w:ind w:left="194" w:firstLine="0"/>
        <w:jc w:val="center"/>
        <w:rPr>
          <w:rFonts w:hint="default" w:ascii="Times New Roman" w:hAnsi="Times New Roman" w:eastAsia="宋体" w:cs="Times New Roman"/>
          <w:i w:val="0"/>
          <w:iCs w:val="0"/>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All ROC curves</w:t>
      </w:r>
    </w:p>
    <w:p w14:paraId="14831515">
      <w:pPr>
        <w:keepNext w:val="0"/>
        <w:keepLines w:val="0"/>
        <w:widowControl/>
        <w:suppressLineNumbers w:val="0"/>
        <w:jc w:val="center"/>
        <w:rPr>
          <w:rFonts w:hint="default"/>
          <w:rtl w:val="0"/>
          <w:lang w:val="en-US" w:eastAsia="zh-CN"/>
        </w:rPr>
      </w:pPr>
      <w:r>
        <w:rPr>
          <w:rFonts w:hint="default"/>
          <w:rtl w:val="0"/>
          <w:lang w:val="en-US" w:eastAsia="zh-CN"/>
        </w:rPr>
        <w:drawing>
          <wp:inline distT="0" distB="0" distL="114300" distR="114300">
            <wp:extent cx="4596765" cy="3844290"/>
            <wp:effectExtent l="0" t="0" r="13335" b="3810"/>
            <wp:docPr id="6" name="图片 6" descr="All_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ll_Confusion_Matrices"/>
                    <pic:cNvPicPr>
                      <a:picLocks noChangeAspect="1"/>
                    </pic:cNvPicPr>
                  </pic:nvPicPr>
                  <pic:blipFill>
                    <a:blip r:embed="rId14"/>
                    <a:srcRect l="10235" t="2991" r="7126" b="4871"/>
                    <a:stretch>
                      <a:fillRect/>
                    </a:stretch>
                  </pic:blipFill>
                  <pic:spPr>
                    <a:xfrm>
                      <a:off x="0" y="0"/>
                      <a:ext cx="4596765" cy="3844290"/>
                    </a:xfrm>
                    <a:prstGeom prst="rect">
                      <a:avLst/>
                    </a:prstGeom>
                  </pic:spPr>
                </pic:pic>
              </a:graphicData>
            </a:graphic>
          </wp:inline>
        </w:drawing>
      </w:r>
    </w:p>
    <w:p w14:paraId="0FD2F90F">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9.</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All confusion matrices</w:t>
      </w:r>
    </w:p>
    <w:p w14:paraId="7C9A66AA">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1.3. Analyze Within-Subject Decoding Models</w:t>
      </w:r>
    </w:p>
    <w:p w14:paraId="69609D89">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According to Figure 9, the image is similar to Figure 3 and Figure 6, representing that the model is focus on P300 component and assigns more weights to electrodes P3, and P4, which is consistent with the conclusions obtained in Table 1.</w:t>
      </w:r>
    </w:p>
    <w:p w14:paraId="4C724E55">
      <w:pPr>
        <w:keepNext w:val="0"/>
        <w:keepLines w:val="0"/>
        <w:widowControl/>
        <w:numPr>
          <w:ilvl w:val="0"/>
          <w:numId w:val="0"/>
        </w:numPr>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2326005" cy="2220595"/>
            <wp:effectExtent l="0" t="0" r="17145" b="8255"/>
            <wp:docPr id="10" name="图片 10" descr="topoplot of the average squared weight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opoplot of the average squared weights over time"/>
                    <pic:cNvPicPr>
                      <a:picLocks noChangeAspect="1"/>
                    </pic:cNvPicPr>
                  </pic:nvPicPr>
                  <pic:blipFill>
                    <a:blip r:embed="rId15">
                      <a:lum bright="-6000"/>
                    </a:blip>
                    <a:srcRect l="14964" r="6440"/>
                    <a:stretch>
                      <a:fillRect/>
                    </a:stretch>
                  </pic:blipFill>
                  <pic:spPr>
                    <a:xfrm>
                      <a:off x="0" y="0"/>
                      <a:ext cx="2326005" cy="2220595"/>
                    </a:xfrm>
                    <a:prstGeom prst="rect">
                      <a:avLst/>
                    </a:prstGeom>
                  </pic:spPr>
                </pic:pic>
              </a:graphicData>
            </a:graphic>
          </wp:inline>
        </w:drawing>
      </w:r>
    </w:p>
    <w:p w14:paraId="75A870C8">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9.</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Topoplot of the average squared weights at each electrode</w:t>
      </w:r>
    </w:p>
    <w:p w14:paraId="4D7B5784">
      <w:pPr>
        <w:spacing w:before="98"/>
        <w:ind w:left="194" w:firstLine="0"/>
        <w:jc w:val="center"/>
        <w:rPr>
          <w:rFonts w:hint="eastAsia" w:ascii="Times New Roman" w:hAnsi="Times New Roman" w:eastAsia="宋体" w:cs="Times New Roman"/>
          <w:b w:val="0"/>
          <w:bCs/>
          <w:sz w:val="24"/>
          <w:szCs w:val="24"/>
          <w:rtl w:val="0"/>
          <w:lang w:val="en-US" w:eastAsia="zh-CN"/>
        </w:rPr>
      </w:pPr>
    </w:p>
    <w:p w14:paraId="30E378F7">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The average squared weights over electrodes are shown in Figure 10, along with the mean ERP waveform from 300 ms to 600 ms. To examine their temporal relationship, a sliding-window correlation was performed between the average squared weights and the mean ERP waveform (averaged across train1 and train2). Both signals contained 181 time points covering 300–600 ms after stimulus onset. Using a 20-sample moving window, the Pearson correlation was computed at each step to obtain a time-resolved correlation curve, from which the maximum correlation and its corresponding time point were determined. The results are shown in Figure 11.</w:t>
      </w:r>
    </w:p>
    <w:p w14:paraId="1E40B3AB">
      <w:pPr>
        <w:keepNext w:val="0"/>
        <w:keepLines w:val="0"/>
        <w:widowControl/>
        <w:numPr>
          <w:ilvl w:val="0"/>
          <w:numId w:val="0"/>
        </w:numPr>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4579620" cy="3435350"/>
            <wp:effectExtent l="0" t="0" r="11430" b="12700"/>
            <wp:docPr id="11" name="图片 11" descr="topoplot of the average squared weights over telectr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opoplot of the average squared weights over telectrodes"/>
                    <pic:cNvPicPr>
                      <a:picLocks noChangeAspect="1"/>
                    </pic:cNvPicPr>
                  </pic:nvPicPr>
                  <pic:blipFill>
                    <a:blip r:embed="rId16"/>
                    <a:stretch>
                      <a:fillRect/>
                    </a:stretch>
                  </pic:blipFill>
                  <pic:spPr>
                    <a:xfrm>
                      <a:off x="0" y="0"/>
                      <a:ext cx="4579620" cy="3435350"/>
                    </a:xfrm>
                    <a:prstGeom prst="rect">
                      <a:avLst/>
                    </a:prstGeom>
                  </pic:spPr>
                </pic:pic>
              </a:graphicData>
            </a:graphic>
          </wp:inline>
        </w:drawing>
      </w:r>
    </w:p>
    <w:p w14:paraId="204B0BBC">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10.</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Comparison of Power of Weights and Mean ERP</w:t>
      </w:r>
    </w:p>
    <w:p w14:paraId="3D8D1A76">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5334000" cy="4001770"/>
            <wp:effectExtent l="0" t="0" r="0" b="17780"/>
            <wp:docPr id="14" name="图片 14" descr="Sliding correlation between Power of Weights and Mean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liding correlation between Power of Weights and Mean ERP"/>
                    <pic:cNvPicPr>
                      <a:picLocks noChangeAspect="1"/>
                    </pic:cNvPicPr>
                  </pic:nvPicPr>
                  <pic:blipFill>
                    <a:blip r:embed="rId17"/>
                    <a:stretch>
                      <a:fillRect/>
                    </a:stretch>
                  </pic:blipFill>
                  <pic:spPr>
                    <a:xfrm>
                      <a:off x="0" y="0"/>
                      <a:ext cx="5334000" cy="4001770"/>
                    </a:xfrm>
                    <a:prstGeom prst="rect">
                      <a:avLst/>
                    </a:prstGeom>
                  </pic:spPr>
                </pic:pic>
              </a:graphicData>
            </a:graphic>
          </wp:inline>
        </w:drawing>
      </w:r>
    </w:p>
    <w:p w14:paraId="24C8A825">
      <w:pPr>
        <w:spacing w:before="98"/>
        <w:ind w:left="194" w:firstLine="0"/>
        <w:jc w:val="center"/>
        <w:rPr>
          <w:rFonts w:hint="default" w:ascii="Times New Roman" w:hAnsi="Times New Roman" w:eastAsia="宋体" w:cs="Times New Roman"/>
          <w:b w:val="0"/>
          <w:bCs/>
          <w:sz w:val="24"/>
          <w:szCs w:val="24"/>
          <w:rtl w:val="0"/>
          <w:lang w:val="en-US" w:eastAsia="zh-CN"/>
        </w:rPr>
      </w:pPr>
      <w:r>
        <w:t>.</w:t>
      </w: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11.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Sliding correlation between power of weights and mean ERP</w:t>
      </w:r>
    </w:p>
    <w:p w14:paraId="2EC76750">
      <w:pP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br w:type="page"/>
      </w:r>
    </w:p>
    <w:p w14:paraId="390A70CA">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Part 2. Cross-Subject Analysis</w:t>
      </w:r>
    </w:p>
    <w:p w14:paraId="3866240A">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2.1. ERP Response to Target and Non-Target Flashes</w:t>
      </w:r>
    </w:p>
    <w:p w14:paraId="1444E513">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4821555" cy="3616960"/>
            <wp:effectExtent l="0" t="0" r="17145" b="2540"/>
            <wp:docPr id="5" name="图片 5" descr="train1_mean_ERP_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rain1_mean_ERP_task2"/>
                    <pic:cNvPicPr>
                      <a:picLocks noChangeAspect="1"/>
                    </pic:cNvPicPr>
                  </pic:nvPicPr>
                  <pic:blipFill>
                    <a:blip r:embed="rId18"/>
                    <a:stretch>
                      <a:fillRect/>
                    </a:stretch>
                  </pic:blipFill>
                  <pic:spPr>
                    <a:xfrm>
                      <a:off x="0" y="0"/>
                      <a:ext cx="4821555" cy="3616960"/>
                    </a:xfrm>
                    <a:prstGeom prst="rect">
                      <a:avLst/>
                    </a:prstGeom>
                  </pic:spPr>
                </pic:pic>
              </a:graphicData>
            </a:graphic>
          </wp:inline>
        </w:drawing>
      </w:r>
    </w:p>
    <w:p w14:paraId="2091CB50">
      <w:pPr>
        <w:spacing w:before="98"/>
        <w:ind w:left="194" w:firstLine="0"/>
        <w:jc w:val="center"/>
        <w:rPr>
          <w:rFonts w:hint="default" w:ascii="Times New Roman" w:hAnsi="Times New Roman" w:eastAsia="宋体" w:cs="Times New Roman"/>
          <w:i w:val="0"/>
          <w:iCs w:val="0"/>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Average ERP over all datasets from train1.m</w:t>
      </w:r>
    </w:p>
    <w:p w14:paraId="2B4A8473">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4917440" cy="3689985"/>
            <wp:effectExtent l="0" t="0" r="16510" b="5715"/>
            <wp:docPr id="7" name="图片 7" descr="train2_mean_ERP_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rain2_mean_ERP_task2"/>
                    <pic:cNvPicPr>
                      <a:picLocks noChangeAspect="1"/>
                    </pic:cNvPicPr>
                  </pic:nvPicPr>
                  <pic:blipFill>
                    <a:blip r:embed="rId19"/>
                    <a:stretch>
                      <a:fillRect/>
                    </a:stretch>
                  </pic:blipFill>
                  <pic:spPr>
                    <a:xfrm>
                      <a:off x="0" y="0"/>
                      <a:ext cx="4917440" cy="3689985"/>
                    </a:xfrm>
                    <a:prstGeom prst="rect">
                      <a:avLst/>
                    </a:prstGeom>
                  </pic:spPr>
                </pic:pic>
              </a:graphicData>
            </a:graphic>
          </wp:inline>
        </w:drawing>
      </w:r>
    </w:p>
    <w:p w14:paraId="47D9829B">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Average ERP over all datasets from train2.m</w:t>
      </w:r>
    </w:p>
    <w:p w14:paraId="6236776B">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5958205" cy="3812540"/>
            <wp:effectExtent l="0" t="0" r="4445" b="16510"/>
            <wp:docPr id="18" name="图片 18" descr="train2_target_topoplot_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rain2_target_topoplot_task2"/>
                    <pic:cNvPicPr>
                      <a:picLocks noChangeAspect="1"/>
                    </pic:cNvPicPr>
                  </pic:nvPicPr>
                  <pic:blipFill>
                    <a:blip r:embed="rId20"/>
                    <a:srcRect t="4649" b="10060"/>
                    <a:stretch>
                      <a:fillRect/>
                    </a:stretch>
                  </pic:blipFill>
                  <pic:spPr>
                    <a:xfrm>
                      <a:off x="0" y="0"/>
                      <a:ext cx="5958205" cy="3812540"/>
                    </a:xfrm>
                    <a:prstGeom prst="rect">
                      <a:avLst/>
                    </a:prstGeom>
                  </pic:spPr>
                </pic:pic>
              </a:graphicData>
            </a:graphic>
          </wp:inline>
        </w:drawing>
      </w:r>
    </w:p>
    <w:p w14:paraId="44324CA8">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 xml:space="preserve"> 14.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non-target flash from train1.m</w:t>
      </w:r>
    </w:p>
    <w:p w14:paraId="76BFCFB9">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5844540" cy="3814445"/>
            <wp:effectExtent l="0" t="0" r="3810" b="14605"/>
            <wp:docPr id="17" name="图片 17" descr="train1_non_target_topoplot_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rain1_non_target_topoplot_task2"/>
                    <pic:cNvPicPr>
                      <a:picLocks noChangeAspect="1"/>
                    </pic:cNvPicPr>
                  </pic:nvPicPr>
                  <pic:blipFill>
                    <a:blip r:embed="rId21"/>
                    <a:srcRect t="4268" b="8743"/>
                    <a:stretch>
                      <a:fillRect/>
                    </a:stretch>
                  </pic:blipFill>
                  <pic:spPr>
                    <a:xfrm>
                      <a:off x="0" y="0"/>
                      <a:ext cx="5844540" cy="3814445"/>
                    </a:xfrm>
                    <a:prstGeom prst="rect">
                      <a:avLst/>
                    </a:prstGeom>
                  </pic:spPr>
                </pic:pic>
              </a:graphicData>
            </a:graphic>
          </wp:inline>
        </w:drawing>
      </w:r>
    </w:p>
    <w:p w14:paraId="57953F6C">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 xml:space="preserve"> 15.</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target flash from train1.m</w:t>
      </w:r>
    </w:p>
    <w:p w14:paraId="11AAB57A">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p>
    <w:p w14:paraId="06BED003">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5951220" cy="3817620"/>
            <wp:effectExtent l="0" t="0" r="11430" b="11430"/>
            <wp:docPr id="16" name="图片 16" descr="train1_target_topoplot_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rain1_target_topoplot_task2"/>
                    <pic:cNvPicPr>
                      <a:picLocks noChangeAspect="1"/>
                    </pic:cNvPicPr>
                  </pic:nvPicPr>
                  <pic:blipFill>
                    <a:blip r:embed="rId22"/>
                    <a:srcRect t="4173" b="10330"/>
                    <a:stretch>
                      <a:fillRect/>
                    </a:stretch>
                  </pic:blipFill>
                  <pic:spPr>
                    <a:xfrm>
                      <a:off x="0" y="0"/>
                      <a:ext cx="5951220" cy="3817620"/>
                    </a:xfrm>
                    <a:prstGeom prst="rect">
                      <a:avLst/>
                    </a:prstGeom>
                  </pic:spPr>
                </pic:pic>
              </a:graphicData>
            </a:graphic>
          </wp:inline>
        </w:drawing>
      </w:r>
    </w:p>
    <w:p w14:paraId="153FD83B">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 xml:space="preserve"> 16.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non-target flash from train2.m</w:t>
      </w:r>
    </w:p>
    <w:p w14:paraId="6C1751F7">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6035040" cy="3963670"/>
            <wp:effectExtent l="0" t="0" r="3810" b="17780"/>
            <wp:docPr id="15" name="图片 15" descr="train2_non_target_topoplot_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rain2_non_target_topoplot_task2"/>
                    <pic:cNvPicPr>
                      <a:picLocks noChangeAspect="1"/>
                    </pic:cNvPicPr>
                  </pic:nvPicPr>
                  <pic:blipFill>
                    <a:blip r:embed="rId23"/>
                    <a:srcRect t="3824" b="8648"/>
                    <a:stretch>
                      <a:fillRect/>
                    </a:stretch>
                  </pic:blipFill>
                  <pic:spPr>
                    <a:xfrm>
                      <a:off x="0" y="0"/>
                      <a:ext cx="6035040" cy="3963670"/>
                    </a:xfrm>
                    <a:prstGeom prst="rect">
                      <a:avLst/>
                    </a:prstGeom>
                  </pic:spPr>
                </pic:pic>
              </a:graphicData>
            </a:graphic>
          </wp:inline>
        </w:drawing>
      </w:r>
    </w:p>
    <w:p w14:paraId="467FABD6">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 xml:space="preserve"> 17.</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target flash from train2.m</w:t>
      </w:r>
    </w:p>
    <w:p w14:paraId="039A9FAD">
      <w:pPr>
        <w:keepNext w:val="0"/>
        <w:keepLines w:val="0"/>
        <w:widowControl/>
        <w:suppressLineNumbers w:val="0"/>
        <w:spacing w:line="240" w:lineRule="auto"/>
        <w:jc w:val="both"/>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The average ERP waveforms are similar between Figure2&amp;5 (my group) and Figure 12&amp;13 (all datasets). Although the overall waveform pattern shows no difference, the P300 component in the ERP computed from the entire dataset appears earlier in time. This may be related to variations in reaction speed across different participants.</w:t>
      </w:r>
    </w:p>
    <w:p w14:paraId="5C18CF74">
      <w:pPr>
        <w:keepNext w:val="0"/>
        <w:keepLines w:val="0"/>
        <w:widowControl/>
        <w:suppressLineNumbers w:val="0"/>
        <w:spacing w:line="240" w:lineRule="auto"/>
        <w:jc w:val="both"/>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Similarly, though the specific values differ, the topoplots show consistent patterns in terms of overall trends. Mainly because ERP components correspond to activity in specific brain regions, and this pattern is relatively stable across individuals.</w:t>
      </w:r>
    </w:p>
    <w:p w14:paraId="0FA06704">
      <w:pPr>
        <w:keepNext w:val="0"/>
        <w:keepLines w:val="0"/>
        <w:widowControl/>
        <w:suppressLineNumbers w:val="0"/>
        <w:spacing w:line="240" w:lineRule="auto"/>
        <w:jc w:val="both"/>
        <w:rPr>
          <w:rFonts w:hint="eastAsia" w:ascii="Times New Roman" w:hAnsi="Times New Roman" w:eastAsia="宋体" w:cs="Times New Roman"/>
          <w:i w:val="0"/>
          <w:iCs w:val="0"/>
          <w:sz w:val="24"/>
          <w:szCs w:val="24"/>
          <w:rtl w:val="0"/>
          <w:lang w:val="en-US" w:eastAsia="zh-CN"/>
        </w:rPr>
      </w:pPr>
    </w:p>
    <w:p w14:paraId="60CDF911">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2.2. Training and Testing Cross-Subject Decoding Models</w:t>
      </w:r>
    </w:p>
    <w:p w14:paraId="16144F83">
      <w:pPr>
        <w:keepNext w:val="0"/>
        <w:keepLines w:val="0"/>
        <w:widowControl/>
        <w:suppressLineNumbers w:val="0"/>
        <w:spacing w:line="240" w:lineRule="auto"/>
        <w:jc w:val="both"/>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According to the Figure 12 and 13, I choose to set the time range from 300 to 450, due to the variations in reaction speed across different subjects. Here is the result:</w:t>
      </w:r>
    </w:p>
    <w:p w14:paraId="2C754CE9">
      <w:pPr>
        <w:keepNext w:val="0"/>
        <w:keepLines w:val="0"/>
        <w:widowControl/>
        <w:suppressLineNumbers w:val="0"/>
        <w:spacing w:line="240" w:lineRule="auto"/>
        <w:jc w:val="both"/>
        <w:rPr>
          <w:rFonts w:hint="default" w:ascii="Times New Roman" w:hAnsi="Times New Roman" w:eastAsia="宋体" w:cs="Times New Roman"/>
          <w:i w:val="0"/>
          <w:iCs w:val="0"/>
          <w:sz w:val="24"/>
          <w:szCs w:val="24"/>
          <w:rtl w:val="0"/>
          <w:lang w:val="en-US" w:eastAsia="zh-CN"/>
        </w:rPr>
      </w:pPr>
    </w:p>
    <w:tbl>
      <w:tblPr>
        <w:tblStyle w:val="16"/>
        <w:tblW w:w="9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9"/>
        <w:gridCol w:w="1212"/>
        <w:gridCol w:w="1338"/>
        <w:gridCol w:w="1087"/>
        <w:gridCol w:w="1124"/>
      </w:tblGrid>
      <w:tr w14:paraId="1D5B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9740" w:type="dxa"/>
            <w:gridSpan w:val="5"/>
            <w:tcBorders>
              <w:top w:val="thinThickSmallGap" w:color="auto" w:sz="24" w:space="0"/>
              <w:left w:val="nil"/>
              <w:bottom w:val="single" w:color="auto" w:sz="4" w:space="0"/>
              <w:right w:val="nil"/>
            </w:tcBorders>
          </w:tcPr>
          <w:p w14:paraId="0BB5CC18">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b/>
                <w:sz w:val="24"/>
                <w:szCs w:val="24"/>
                <w:rtl w:val="0"/>
                <w:lang w:val="en-US" w:eastAsia="zh-CN"/>
              </w:rPr>
            </w:pPr>
            <w:r>
              <w:rPr>
                <w:rFonts w:hint="eastAsia" w:ascii="Times New Roman" w:hAnsi="Times New Roman" w:eastAsia="Times New Roman" w:cs="Times New Roman"/>
                <w:b/>
                <w:sz w:val="24"/>
                <w:szCs w:val="24"/>
                <w:rtl w:val="0"/>
                <w:lang w:val="en-US" w:eastAsia="zh-CN"/>
              </w:rPr>
              <w:t xml:space="preserve">Table 4. </w:t>
            </w:r>
            <w:r>
              <w:rPr>
                <w:rFonts w:hint="eastAsia" w:ascii="Times New Roman" w:hAnsi="Times New Roman" w:eastAsia="宋体" w:cs="Times New Roman"/>
                <w:b/>
                <w:sz w:val="24"/>
                <w:szCs w:val="24"/>
                <w:rtl w:val="0"/>
                <w:lang w:val="en-US" w:eastAsia="zh-CN"/>
              </w:rPr>
              <w:t>Evaluation of cross-subjects model</w:t>
            </w:r>
          </w:p>
        </w:tc>
      </w:tr>
      <w:tr w14:paraId="3226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979" w:type="dxa"/>
            <w:tcBorders>
              <w:top w:val="single" w:color="auto" w:sz="4" w:space="0"/>
              <w:left w:val="nil"/>
              <w:bottom w:val="nil"/>
              <w:right w:val="nil"/>
            </w:tcBorders>
          </w:tcPr>
          <w:p w14:paraId="19FE55F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Setting</w:t>
            </w:r>
          </w:p>
        </w:tc>
        <w:tc>
          <w:tcPr>
            <w:tcW w:w="1212" w:type="dxa"/>
            <w:tcBorders>
              <w:top w:val="single" w:color="auto" w:sz="4" w:space="0"/>
              <w:left w:val="nil"/>
              <w:bottom w:val="nil"/>
              <w:right w:val="nil"/>
            </w:tcBorders>
          </w:tcPr>
          <w:p w14:paraId="55C6CED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Accuracy</w:t>
            </w:r>
          </w:p>
        </w:tc>
        <w:tc>
          <w:tcPr>
            <w:tcW w:w="1338" w:type="dxa"/>
            <w:tcBorders>
              <w:top w:val="single" w:color="auto" w:sz="4" w:space="0"/>
              <w:left w:val="nil"/>
              <w:bottom w:val="nil"/>
              <w:right w:val="nil"/>
            </w:tcBorders>
          </w:tcPr>
          <w:p w14:paraId="44C1D5C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Precision</w:t>
            </w:r>
          </w:p>
        </w:tc>
        <w:tc>
          <w:tcPr>
            <w:tcW w:w="1087" w:type="dxa"/>
            <w:tcBorders>
              <w:top w:val="single" w:color="auto" w:sz="4" w:space="0"/>
              <w:left w:val="nil"/>
              <w:bottom w:val="nil"/>
              <w:right w:val="nil"/>
            </w:tcBorders>
          </w:tcPr>
          <w:p w14:paraId="2E98F40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Recall</w:t>
            </w:r>
          </w:p>
        </w:tc>
        <w:tc>
          <w:tcPr>
            <w:tcW w:w="1124" w:type="dxa"/>
            <w:tcBorders>
              <w:top w:val="single" w:color="auto" w:sz="4" w:space="0"/>
              <w:left w:val="nil"/>
              <w:bottom w:val="nil"/>
              <w:right w:val="nil"/>
            </w:tcBorders>
          </w:tcPr>
          <w:p w14:paraId="08A8CCE8">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F1</w:t>
            </w:r>
          </w:p>
        </w:tc>
      </w:tr>
      <w:tr w14:paraId="25D9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4979" w:type="dxa"/>
            <w:tcBorders>
              <w:top w:val="nil"/>
              <w:left w:val="nil"/>
              <w:bottom w:val="nil"/>
              <w:right w:val="nil"/>
            </w:tcBorders>
          </w:tcPr>
          <w:p w14:paraId="123FE29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2"/>
                <w:szCs w:val="22"/>
                <w:vertAlign w:val="baseline"/>
                <w:rtl w:val="0"/>
                <w:lang w:val="en-US" w:eastAsia="zh-CN"/>
              </w:rPr>
            </w:pPr>
            <w:r>
              <w:rPr>
                <w:rFonts w:hint="eastAsia" w:ascii="Times New Roman" w:hAnsi="Times New Roman" w:eastAsia="宋体" w:cs="Times New Roman"/>
                <w:i w:val="0"/>
                <w:iCs w:val="0"/>
                <w:sz w:val="22"/>
                <w:szCs w:val="22"/>
                <w:vertAlign w:val="baseline"/>
                <w:rtl w:val="0"/>
                <w:lang w:val="en-US" w:eastAsia="zh-CN"/>
              </w:rPr>
              <w:t xml:space="preserve">Cross-Subject Model + </w:t>
            </w:r>
            <w:r>
              <w:rPr>
                <w:rFonts w:hint="default" w:ascii="Times New Roman" w:hAnsi="Times New Roman" w:eastAsia="宋体" w:cs="Times New Roman"/>
                <w:i w:val="0"/>
                <w:iCs w:val="0"/>
                <w:sz w:val="22"/>
                <w:szCs w:val="22"/>
                <w:vertAlign w:val="baseline"/>
                <w:rtl w:val="0"/>
                <w:lang w:val="en-US" w:eastAsia="zh-CN"/>
              </w:rPr>
              <w:t>Group</w:t>
            </w:r>
            <w:r>
              <w:rPr>
                <w:rFonts w:hint="eastAsia" w:ascii="Times New Roman" w:hAnsi="Times New Roman" w:eastAsia="宋体" w:cs="Times New Roman"/>
                <w:i w:val="0"/>
                <w:iCs w:val="0"/>
                <w:sz w:val="22"/>
                <w:szCs w:val="22"/>
                <w:vertAlign w:val="baseline"/>
                <w:rtl w:val="0"/>
                <w:lang w:val="en-US" w:eastAsia="zh-CN"/>
              </w:rPr>
              <w:t>1</w:t>
            </w:r>
            <w:r>
              <w:rPr>
                <w:rFonts w:hint="default" w:ascii="Times New Roman" w:hAnsi="Times New Roman" w:eastAsia="宋体" w:cs="Times New Roman"/>
                <w:i w:val="0"/>
                <w:iCs w:val="0"/>
                <w:sz w:val="22"/>
                <w:szCs w:val="22"/>
                <w:vertAlign w:val="baseline"/>
                <w:rtl w:val="0"/>
                <w:lang w:val="en-US" w:eastAsia="zh-CN"/>
              </w:rPr>
              <w:t xml:space="preserve"> Test</w:t>
            </w:r>
          </w:p>
        </w:tc>
        <w:tc>
          <w:tcPr>
            <w:tcW w:w="1212" w:type="dxa"/>
            <w:tcBorders>
              <w:top w:val="nil"/>
              <w:left w:val="nil"/>
              <w:bottom w:val="nil"/>
              <w:right w:val="nil"/>
            </w:tcBorders>
          </w:tcPr>
          <w:p w14:paraId="26DA10D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64.71%</w:t>
            </w:r>
          </w:p>
        </w:tc>
        <w:tc>
          <w:tcPr>
            <w:tcW w:w="1338" w:type="dxa"/>
            <w:tcBorders>
              <w:top w:val="nil"/>
              <w:left w:val="nil"/>
              <w:bottom w:val="nil"/>
              <w:right w:val="nil"/>
            </w:tcBorders>
          </w:tcPr>
          <w:p w14:paraId="6F21795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0.23</w:t>
            </w:r>
          </w:p>
        </w:tc>
        <w:tc>
          <w:tcPr>
            <w:tcW w:w="1087" w:type="dxa"/>
            <w:tcBorders>
              <w:top w:val="nil"/>
              <w:left w:val="nil"/>
              <w:bottom w:val="nil"/>
              <w:right w:val="nil"/>
            </w:tcBorders>
          </w:tcPr>
          <w:p w14:paraId="68E3B93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0.47</w:t>
            </w:r>
          </w:p>
        </w:tc>
        <w:tc>
          <w:tcPr>
            <w:tcW w:w="1124" w:type="dxa"/>
            <w:tcBorders>
              <w:top w:val="nil"/>
              <w:left w:val="nil"/>
              <w:bottom w:val="nil"/>
              <w:right w:val="nil"/>
            </w:tcBorders>
          </w:tcPr>
          <w:p w14:paraId="1E2ABAF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0.31</w:t>
            </w:r>
          </w:p>
        </w:tc>
      </w:tr>
      <w:tr w14:paraId="3258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4979" w:type="dxa"/>
            <w:tcBorders>
              <w:top w:val="nil"/>
              <w:left w:val="nil"/>
              <w:bottom w:val="nil"/>
              <w:right w:val="nil"/>
            </w:tcBorders>
          </w:tcPr>
          <w:p w14:paraId="268D93D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2"/>
                <w:szCs w:val="22"/>
                <w:vertAlign w:val="baseline"/>
                <w:rtl w:val="0"/>
                <w:lang w:val="en-US" w:eastAsia="zh-CN"/>
              </w:rPr>
            </w:pPr>
            <w:r>
              <w:rPr>
                <w:rFonts w:hint="eastAsia" w:ascii="Times New Roman" w:hAnsi="Times New Roman" w:eastAsia="宋体" w:cs="Times New Roman"/>
                <w:i w:val="0"/>
                <w:iCs w:val="0"/>
                <w:sz w:val="22"/>
                <w:szCs w:val="22"/>
                <w:vertAlign w:val="baseline"/>
                <w:rtl w:val="0"/>
                <w:lang w:val="en-US" w:eastAsia="zh-CN"/>
              </w:rPr>
              <w:t xml:space="preserve">Cross-Subject Model + </w:t>
            </w:r>
            <w:r>
              <w:rPr>
                <w:rFonts w:hint="default" w:ascii="Times New Roman" w:hAnsi="Times New Roman" w:eastAsia="宋体" w:cs="Times New Roman"/>
                <w:i w:val="0"/>
                <w:iCs w:val="0"/>
                <w:sz w:val="22"/>
                <w:szCs w:val="22"/>
                <w:vertAlign w:val="baseline"/>
                <w:rtl w:val="0"/>
                <w:lang w:val="en-US" w:eastAsia="zh-CN"/>
              </w:rPr>
              <w:t>All Other Groups Test</w:t>
            </w:r>
          </w:p>
        </w:tc>
        <w:tc>
          <w:tcPr>
            <w:tcW w:w="1212" w:type="dxa"/>
            <w:tcBorders>
              <w:top w:val="nil"/>
              <w:left w:val="nil"/>
              <w:bottom w:val="nil"/>
              <w:right w:val="nil"/>
            </w:tcBorders>
          </w:tcPr>
          <w:p w14:paraId="4807B91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69.70%</w:t>
            </w:r>
          </w:p>
        </w:tc>
        <w:tc>
          <w:tcPr>
            <w:tcW w:w="1338" w:type="dxa"/>
            <w:tcBorders>
              <w:top w:val="nil"/>
              <w:left w:val="nil"/>
              <w:bottom w:val="nil"/>
              <w:right w:val="nil"/>
            </w:tcBorders>
          </w:tcPr>
          <w:p w14:paraId="299F321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0.24</w:t>
            </w:r>
          </w:p>
        </w:tc>
        <w:tc>
          <w:tcPr>
            <w:tcW w:w="1087" w:type="dxa"/>
            <w:tcBorders>
              <w:top w:val="nil"/>
              <w:left w:val="nil"/>
              <w:bottom w:val="nil"/>
              <w:right w:val="nil"/>
            </w:tcBorders>
          </w:tcPr>
          <w:p w14:paraId="6DF1FB9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0.44</w:t>
            </w:r>
          </w:p>
        </w:tc>
        <w:tc>
          <w:tcPr>
            <w:tcW w:w="1124" w:type="dxa"/>
            <w:tcBorders>
              <w:top w:val="nil"/>
              <w:left w:val="nil"/>
              <w:bottom w:val="nil"/>
              <w:right w:val="nil"/>
            </w:tcBorders>
          </w:tcPr>
          <w:p w14:paraId="0CE3849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0.31</w:t>
            </w:r>
          </w:p>
        </w:tc>
      </w:tr>
      <w:tr w14:paraId="6EC6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4979" w:type="dxa"/>
            <w:tcBorders>
              <w:top w:val="nil"/>
              <w:left w:val="nil"/>
              <w:bottom w:val="nil"/>
              <w:right w:val="nil"/>
            </w:tcBorders>
          </w:tcPr>
          <w:p w14:paraId="3D2BE21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2"/>
                <w:szCs w:val="22"/>
                <w:vertAlign w:val="baseline"/>
                <w:rtl w:val="0"/>
                <w:lang w:val="en-US" w:eastAsia="zh-CN"/>
              </w:rPr>
            </w:pPr>
            <w:r>
              <w:rPr>
                <w:rFonts w:hint="eastAsia" w:ascii="Times New Roman" w:hAnsi="Times New Roman" w:eastAsia="宋体" w:cs="Times New Roman"/>
                <w:i w:val="0"/>
                <w:iCs w:val="0"/>
                <w:sz w:val="22"/>
                <w:szCs w:val="22"/>
                <w:vertAlign w:val="baseline"/>
                <w:rtl w:val="0"/>
                <w:lang w:val="en-US" w:eastAsia="zh-CN"/>
              </w:rPr>
              <w:t>Within-Subject Model + Group1 Test</w:t>
            </w:r>
          </w:p>
        </w:tc>
        <w:tc>
          <w:tcPr>
            <w:tcW w:w="1212" w:type="dxa"/>
            <w:tcBorders>
              <w:top w:val="nil"/>
              <w:left w:val="nil"/>
              <w:bottom w:val="nil"/>
              <w:right w:val="nil"/>
            </w:tcBorders>
          </w:tcPr>
          <w:p w14:paraId="4928DE2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82.96%</w:t>
            </w:r>
          </w:p>
        </w:tc>
        <w:tc>
          <w:tcPr>
            <w:tcW w:w="1338" w:type="dxa"/>
            <w:tcBorders>
              <w:top w:val="nil"/>
              <w:left w:val="nil"/>
              <w:bottom w:val="nil"/>
              <w:right w:val="nil"/>
            </w:tcBorders>
          </w:tcPr>
          <w:p w14:paraId="7989AC2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0.48</w:t>
            </w:r>
          </w:p>
        </w:tc>
        <w:tc>
          <w:tcPr>
            <w:tcW w:w="1087" w:type="dxa"/>
            <w:tcBorders>
              <w:top w:val="nil"/>
              <w:left w:val="nil"/>
              <w:bottom w:val="nil"/>
              <w:right w:val="nil"/>
            </w:tcBorders>
          </w:tcPr>
          <w:p w14:paraId="0C0AC86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0.29</w:t>
            </w:r>
          </w:p>
        </w:tc>
        <w:tc>
          <w:tcPr>
            <w:tcW w:w="1124" w:type="dxa"/>
            <w:tcBorders>
              <w:top w:val="nil"/>
              <w:left w:val="nil"/>
              <w:bottom w:val="nil"/>
              <w:right w:val="nil"/>
            </w:tcBorders>
          </w:tcPr>
          <w:p w14:paraId="55EE1C7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0.36</w:t>
            </w:r>
          </w:p>
        </w:tc>
      </w:tr>
      <w:tr w14:paraId="5BAF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4979" w:type="dxa"/>
            <w:tcBorders>
              <w:top w:val="nil"/>
              <w:left w:val="nil"/>
              <w:bottom w:val="thickThinSmallGap" w:color="auto" w:sz="24" w:space="0"/>
              <w:right w:val="nil"/>
            </w:tcBorders>
          </w:tcPr>
          <w:p w14:paraId="2EC87A01">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i w:val="0"/>
                <w:iCs w:val="0"/>
                <w:sz w:val="22"/>
                <w:szCs w:val="22"/>
                <w:vertAlign w:val="baseline"/>
                <w:rtl w:val="0"/>
                <w:lang w:val="en-US" w:eastAsia="zh-CN"/>
              </w:rPr>
            </w:pPr>
            <w:r>
              <w:rPr>
                <w:rFonts w:hint="eastAsia" w:ascii="Times New Roman" w:hAnsi="Times New Roman" w:eastAsia="宋体" w:cs="Times New Roman"/>
                <w:i w:val="0"/>
                <w:iCs w:val="0"/>
                <w:sz w:val="22"/>
                <w:szCs w:val="22"/>
                <w:vertAlign w:val="baseline"/>
                <w:rtl w:val="0"/>
                <w:lang w:val="en-US" w:eastAsia="zh-CN"/>
              </w:rPr>
              <w:t>Within-Subject Model + All Other Groups Test</w:t>
            </w:r>
          </w:p>
        </w:tc>
        <w:tc>
          <w:tcPr>
            <w:tcW w:w="1212" w:type="dxa"/>
            <w:tcBorders>
              <w:top w:val="nil"/>
              <w:left w:val="nil"/>
              <w:bottom w:val="thickThinSmallGap" w:color="auto" w:sz="24" w:space="0"/>
              <w:right w:val="nil"/>
            </w:tcBorders>
          </w:tcPr>
          <w:p w14:paraId="0C1985D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75.91%</w:t>
            </w:r>
          </w:p>
        </w:tc>
        <w:tc>
          <w:tcPr>
            <w:tcW w:w="1338" w:type="dxa"/>
            <w:tcBorders>
              <w:top w:val="nil"/>
              <w:left w:val="nil"/>
              <w:bottom w:val="thickThinSmallGap" w:color="auto" w:sz="24" w:space="0"/>
              <w:right w:val="nil"/>
            </w:tcBorders>
          </w:tcPr>
          <w:p w14:paraId="3EAD0E1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0.24</w:t>
            </w:r>
          </w:p>
        </w:tc>
        <w:tc>
          <w:tcPr>
            <w:tcW w:w="1087" w:type="dxa"/>
            <w:tcBorders>
              <w:top w:val="nil"/>
              <w:left w:val="nil"/>
              <w:bottom w:val="thickThinSmallGap" w:color="auto" w:sz="24" w:space="0"/>
              <w:right w:val="nil"/>
            </w:tcBorders>
          </w:tcPr>
          <w:p w14:paraId="2F0B2AF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0.24</w:t>
            </w:r>
          </w:p>
        </w:tc>
        <w:tc>
          <w:tcPr>
            <w:tcW w:w="1124" w:type="dxa"/>
            <w:tcBorders>
              <w:top w:val="nil"/>
              <w:left w:val="nil"/>
              <w:bottom w:val="thickThinSmallGap" w:color="auto" w:sz="24" w:space="0"/>
              <w:right w:val="nil"/>
            </w:tcBorders>
          </w:tcPr>
          <w:p w14:paraId="5ED3797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0.24</w:t>
            </w:r>
          </w:p>
        </w:tc>
      </w:tr>
    </w:tbl>
    <w:p w14:paraId="7813176C">
      <w:pPr>
        <w:keepNext w:val="0"/>
        <w:keepLines w:val="0"/>
        <w:widowControl/>
        <w:suppressLineNumbers w:val="0"/>
        <w:spacing w:line="240" w:lineRule="auto"/>
        <w:jc w:val="both"/>
        <w:rPr>
          <w:rFonts w:ascii="宋体" w:hAnsi="宋体" w:eastAsia="宋体" w:cs="宋体"/>
          <w:sz w:val="24"/>
          <w:szCs w:val="24"/>
        </w:rPr>
      </w:pPr>
    </w:p>
    <w:p w14:paraId="552379C4">
      <w:pPr>
        <w:keepNext w:val="0"/>
        <w:keepLines w:val="0"/>
        <w:widowControl/>
        <w:suppressLineNumbers w:val="0"/>
        <w:spacing w:line="240" w:lineRule="auto"/>
        <w:jc w:val="both"/>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The results show that the Within-Subject model performs best when evaluated on the same subject (</w:t>
      </w:r>
      <w:r>
        <w:rPr>
          <w:rFonts w:hint="eastAsia" w:ascii="Times New Roman" w:hAnsi="Times New Roman" w:eastAsia="宋体" w:cs="Times New Roman"/>
          <w:i w:val="0"/>
          <w:iCs w:val="0"/>
          <w:sz w:val="24"/>
          <w:szCs w:val="24"/>
          <w:vertAlign w:val="baseline"/>
          <w:rtl w:val="0"/>
          <w:lang w:val="en-US" w:eastAsia="zh-CN"/>
        </w:rPr>
        <w:t>Accuracy</w:t>
      </w:r>
      <w:r>
        <w:rPr>
          <w:rFonts w:hint="eastAsia" w:ascii="Times New Roman" w:hAnsi="Times New Roman" w:eastAsia="宋体" w:cs="Times New Roman"/>
          <w:i w:val="0"/>
          <w:iCs w:val="0"/>
          <w:sz w:val="24"/>
          <w:szCs w:val="24"/>
          <w:rtl w:val="0"/>
          <w:lang w:val="en-US" w:eastAsia="zh-CN"/>
        </w:rPr>
        <w:t xml:space="preserve"> is </w:t>
      </w:r>
      <w:r>
        <w:rPr>
          <w:rFonts w:hint="default" w:ascii="Times New Roman" w:hAnsi="Times New Roman" w:eastAsia="宋体" w:cs="Times New Roman"/>
          <w:i w:val="0"/>
          <w:iCs w:val="0"/>
          <w:sz w:val="24"/>
          <w:szCs w:val="24"/>
          <w:rtl w:val="0"/>
          <w:lang w:val="en-US" w:eastAsia="zh-CN"/>
        </w:rPr>
        <w:t>82.96%</w:t>
      </w:r>
      <w:r>
        <w:rPr>
          <w:rFonts w:hint="eastAsia" w:ascii="Times New Roman" w:hAnsi="Times New Roman" w:eastAsia="宋体" w:cs="Times New Roman"/>
          <w:i w:val="0"/>
          <w:iCs w:val="0"/>
          <w:sz w:val="24"/>
          <w:szCs w:val="24"/>
          <w:rtl w:val="0"/>
          <w:lang w:val="en-US" w:eastAsia="zh-CN"/>
        </w:rPr>
        <w:t>), indicating strong within-subject ERP consistency. However, its performance drops substantially when applied to other subjects (F1 is only 0.24), highlighting pronounced cross-subject variability and domain shift, indicating lower generalization ability. In contrast, the Cross-Subject model achieves moderate but stable performance across testing conditions (Accuracy range from 65% to 70%), suggesting that it captures generalizable P300 characteristics but lacks subject-specific adaptation. Therefore, cross-subject models are suitable for calibration-free usage, while within-subject models are preferable for personalized BCI scenarios.</w:t>
      </w:r>
    </w:p>
    <w:p w14:paraId="233AC512">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p>
    <w:p w14:paraId="2E8AC209">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2.3. Analyze Cross-Subject Decoding Models</w:t>
      </w:r>
    </w:p>
    <w:p w14:paraId="7F152D37">
      <w:pPr>
        <w:keepNext w:val="0"/>
        <w:keepLines w:val="0"/>
        <w:widowControl/>
        <w:suppressLineNumbers w:val="0"/>
        <w:spacing w:line="240" w:lineRule="auto"/>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2821940" cy="2449195"/>
            <wp:effectExtent l="0" t="0" r="16510" b="8255"/>
            <wp:docPr id="23" name="图片 23" descr="topoplot of the average squared weights over time (task2)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topoplot of the average squared weights over time (task2) 300"/>
                    <pic:cNvPicPr>
                      <a:picLocks noChangeAspect="1"/>
                    </pic:cNvPicPr>
                  </pic:nvPicPr>
                  <pic:blipFill>
                    <a:blip r:embed="rId24"/>
                    <a:srcRect l="17110" t="2365" r="5682" b="8333"/>
                    <a:stretch>
                      <a:fillRect/>
                    </a:stretch>
                  </pic:blipFill>
                  <pic:spPr>
                    <a:xfrm>
                      <a:off x="0" y="0"/>
                      <a:ext cx="2821940" cy="2449195"/>
                    </a:xfrm>
                    <a:prstGeom prst="rect">
                      <a:avLst/>
                    </a:prstGeom>
                  </pic:spPr>
                </pic:pic>
              </a:graphicData>
            </a:graphic>
          </wp:inline>
        </w:drawing>
      </w:r>
    </w:p>
    <w:p w14:paraId="3CEC39CB">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Topoplot of the average squared weights at each electrode</w:t>
      </w:r>
    </w:p>
    <w:p w14:paraId="17E8D95D">
      <w:pPr>
        <w:spacing w:before="98"/>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i w:val="0"/>
          <w:iCs w:val="0"/>
          <w:sz w:val="24"/>
          <w:szCs w:val="24"/>
          <w:rtl w:val="0"/>
          <w:lang w:val="en-US" w:eastAsia="zh-CN"/>
        </w:rPr>
        <w:t>Figure 18 is different to Figure 9, showing that the cross-subject model assigns more weights to electrodes PO7 PO8 and Oz more than P3, P4 and Pz.</w:t>
      </w:r>
    </w:p>
    <w:p w14:paraId="0629047B">
      <w:pPr>
        <w:spacing w:before="98"/>
        <w:ind w:left="194" w:firstLine="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4309745" cy="3233420"/>
            <wp:effectExtent l="0" t="0" r="14605" b="5080"/>
            <wp:docPr id="24" name="图片 24" descr="topoplot of the average squared weights over telectrodes (task2)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opoplot of the average squared weights over telectrodes (task2) 300"/>
                    <pic:cNvPicPr>
                      <a:picLocks noChangeAspect="1"/>
                    </pic:cNvPicPr>
                  </pic:nvPicPr>
                  <pic:blipFill>
                    <a:blip r:embed="rId25"/>
                    <a:stretch>
                      <a:fillRect/>
                    </a:stretch>
                  </pic:blipFill>
                  <pic:spPr>
                    <a:xfrm>
                      <a:off x="0" y="0"/>
                      <a:ext cx="4309745" cy="3233420"/>
                    </a:xfrm>
                    <a:prstGeom prst="rect">
                      <a:avLst/>
                    </a:prstGeom>
                  </pic:spPr>
                </pic:pic>
              </a:graphicData>
            </a:graphic>
          </wp:inline>
        </w:drawing>
      </w:r>
    </w:p>
    <w:p w14:paraId="2EA8A5A4">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19.</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Comparison of Power of Weights and Mean ERP</w:t>
      </w:r>
    </w:p>
    <w:p w14:paraId="56BF18AA">
      <w:pPr>
        <w:spacing w:before="98"/>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4257040" cy="3194050"/>
            <wp:effectExtent l="0" t="0" r="10160" b="6350"/>
            <wp:docPr id="27" name="图片 27" descr="Sliding correlation between Power of Weights and Mean ERP (task2)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liding correlation between Power of Weights and Mean ERP (task2) 300"/>
                    <pic:cNvPicPr>
                      <a:picLocks noChangeAspect="1"/>
                    </pic:cNvPicPr>
                  </pic:nvPicPr>
                  <pic:blipFill>
                    <a:blip r:embed="rId26"/>
                    <a:stretch>
                      <a:fillRect/>
                    </a:stretch>
                  </pic:blipFill>
                  <pic:spPr>
                    <a:xfrm>
                      <a:off x="0" y="0"/>
                      <a:ext cx="4257040" cy="3194050"/>
                    </a:xfrm>
                    <a:prstGeom prst="rect">
                      <a:avLst/>
                    </a:prstGeom>
                  </pic:spPr>
                </pic:pic>
              </a:graphicData>
            </a:graphic>
          </wp:inline>
        </w:drawing>
      </w:r>
    </w:p>
    <w:p w14:paraId="554F5658">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20.</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Sliding correlation between power of weights and mean ERP</w:t>
      </w:r>
    </w:p>
    <w:p w14:paraId="16280466">
      <w:pPr>
        <w:spacing w:before="98"/>
        <w:jc w:val="both"/>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Figure 19 shows the relationship between power of weights over time and mean ERP waveforms between 300 to 450ms. Figure 20 use a sliding window to calculate the correlation between power of weights and ERP, showing that the model's highest attention occurs at 371.2 ms, which is very close to the P300 peak at 357 ms shown in Figure 11.</w:t>
      </w:r>
    </w:p>
    <w:p w14:paraId="307FAD53">
      <w:pPr>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br w:type="page"/>
      </w:r>
    </w:p>
    <w:p w14:paraId="73B759C2">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Discussion</w:t>
      </w:r>
    </w:p>
    <w:p w14:paraId="7DF056F2">
      <w:pPr>
        <w:keepNext w:val="0"/>
        <w:keepLines w:val="0"/>
        <w:widowControl/>
        <w:suppressLineNumbers w:val="0"/>
        <w:spacing w:line="240" w:lineRule="auto"/>
        <w:jc w:val="both"/>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Within-session models provide the highest accuracy because the data distribution remains stable, but they require retraining every time and are thus inconvenient for real use. Within-subject models retain personalization across sessions and generally achieve higher performance, though they still need occasional calibration due to physiological variability. In contrast, cross-subject models offer the best convenience and generalization by enabling plug-and-play usage, but their accuracy is typically lower due to large inter-subject differences in EEG patterns (That</w:t>
      </w:r>
      <w:r>
        <w:rPr>
          <w:rFonts w:hint="default" w:ascii="Times New Roman" w:hAnsi="Times New Roman" w:eastAsia="宋体" w:cs="Times New Roman"/>
          <w:i w:val="0"/>
          <w:iCs w:val="0"/>
          <w:sz w:val="24"/>
          <w:szCs w:val="24"/>
          <w:rtl w:val="0"/>
          <w:lang w:val="en-US" w:eastAsia="zh-CN"/>
        </w:rPr>
        <w:t>’</w:t>
      </w:r>
      <w:r>
        <w:rPr>
          <w:rFonts w:hint="eastAsia" w:ascii="Times New Roman" w:hAnsi="Times New Roman" w:eastAsia="宋体" w:cs="Times New Roman"/>
          <w:i w:val="0"/>
          <w:iCs w:val="0"/>
          <w:sz w:val="24"/>
          <w:szCs w:val="24"/>
          <w:rtl w:val="0"/>
          <w:lang w:val="en-US" w:eastAsia="zh-CN"/>
        </w:rPr>
        <w:t xml:space="preserve">s why z-score normalization </w:t>
      </w:r>
      <w:r>
        <w:rPr>
          <w:rFonts w:hint="eastAsia" w:ascii="Times New Roman" w:hAnsi="Times New Roman" w:eastAsia="宋体" w:cs="Times New Roman"/>
          <w:i w:val="0"/>
          <w:iCs w:val="0"/>
          <w:sz w:val="24"/>
          <w:szCs w:val="24"/>
          <w:rtl w:val="0"/>
          <w:lang w:val="en-US" w:eastAsia="zh-CN"/>
        </w:rPr>
        <w:t>is important in pre-processing stage).</w:t>
      </w:r>
    </w:p>
    <w:p w14:paraId="2356B71F">
      <w:pPr>
        <w:keepNext w:val="0"/>
        <w:keepLines w:val="0"/>
        <w:widowControl/>
        <w:suppressLineNumbers w:val="0"/>
        <w:spacing w:line="240" w:lineRule="auto"/>
        <w:jc w:val="both"/>
        <w:rPr>
          <w:rFonts w:hint="default" w:ascii="Times New Roman" w:hAnsi="Times New Roman" w:eastAsia="宋体" w:cs="Times New Roman"/>
          <w:i w:val="0"/>
          <w:iCs w:val="0"/>
          <w:sz w:val="24"/>
          <w:szCs w:val="24"/>
          <w:rtl w:val="0"/>
          <w:lang w:val="en-US" w:eastAsia="zh-CN"/>
        </w:rPr>
      </w:pPr>
      <w:bookmarkStart w:id="0" w:name="_GoBack"/>
      <w:bookmarkEnd w:id="0"/>
    </w:p>
    <w:tbl>
      <w:tblPr>
        <w:tblStyle w:val="16"/>
        <w:tblW w:w="9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7"/>
        <w:gridCol w:w="1500"/>
        <w:gridCol w:w="1875"/>
        <w:gridCol w:w="1365"/>
        <w:gridCol w:w="3293"/>
      </w:tblGrid>
      <w:tr w14:paraId="69FA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9740" w:type="dxa"/>
            <w:gridSpan w:val="5"/>
            <w:tcBorders>
              <w:top w:val="thinThickSmallGap" w:color="auto" w:sz="24" w:space="0"/>
              <w:left w:val="nil"/>
              <w:bottom w:val="single" w:color="auto" w:sz="4" w:space="0"/>
              <w:right w:val="nil"/>
            </w:tcBorders>
          </w:tcPr>
          <w:p w14:paraId="7E415E03">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sz w:val="24"/>
                <w:szCs w:val="24"/>
                <w:rtl w:val="0"/>
                <w:lang w:val="en-US" w:eastAsia="zh-CN"/>
              </w:rPr>
            </w:pPr>
            <w:r>
              <w:rPr>
                <w:rFonts w:hint="eastAsia" w:ascii="Times New Roman" w:hAnsi="Times New Roman" w:eastAsia="Times New Roman" w:cs="Times New Roman"/>
                <w:b/>
                <w:sz w:val="24"/>
                <w:szCs w:val="24"/>
                <w:rtl w:val="0"/>
                <w:lang w:val="en-US" w:eastAsia="zh-CN"/>
              </w:rPr>
              <w:t xml:space="preserve">Table 5. </w:t>
            </w:r>
            <w:r>
              <w:rPr>
                <w:rFonts w:hint="eastAsia" w:ascii="Times New Roman" w:hAnsi="Times New Roman" w:eastAsia="宋体" w:cs="Times New Roman"/>
                <w:b/>
                <w:sz w:val="24"/>
                <w:szCs w:val="24"/>
                <w:rtl w:val="0"/>
                <w:lang w:val="en-US" w:eastAsia="zh-CN"/>
              </w:rPr>
              <w:t>Comparison between 3 kinds of models</w:t>
            </w:r>
          </w:p>
        </w:tc>
      </w:tr>
      <w:tr w14:paraId="0AA7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707" w:type="dxa"/>
            <w:tcBorders>
              <w:top w:val="nil"/>
              <w:left w:val="nil"/>
              <w:bottom w:val="nil"/>
              <w:right w:val="nil"/>
            </w:tcBorders>
            <w:vAlign w:val="center"/>
          </w:tcPr>
          <w:p w14:paraId="5FF2F0C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 Type</w:t>
            </w:r>
          </w:p>
        </w:tc>
        <w:tc>
          <w:tcPr>
            <w:tcW w:w="1500" w:type="dxa"/>
            <w:tcBorders>
              <w:top w:val="nil"/>
              <w:left w:val="nil"/>
              <w:bottom w:val="nil"/>
              <w:right w:val="nil"/>
            </w:tcBorders>
            <w:vAlign w:val="center"/>
          </w:tcPr>
          <w:p w14:paraId="4FD36E60">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 xml:space="preserve">Calibration </w:t>
            </w:r>
          </w:p>
          <w:p w14:paraId="2A1262A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Needed</w:t>
            </w:r>
          </w:p>
        </w:tc>
        <w:tc>
          <w:tcPr>
            <w:tcW w:w="1875" w:type="dxa"/>
            <w:tcBorders>
              <w:top w:val="nil"/>
              <w:left w:val="nil"/>
              <w:bottom w:val="nil"/>
              <w:right w:val="nil"/>
            </w:tcBorders>
            <w:vAlign w:val="center"/>
          </w:tcPr>
          <w:p w14:paraId="07C8DA9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Personalization</w:t>
            </w:r>
          </w:p>
        </w:tc>
        <w:tc>
          <w:tcPr>
            <w:tcW w:w="1365" w:type="dxa"/>
            <w:tcBorders>
              <w:top w:val="nil"/>
              <w:left w:val="nil"/>
              <w:bottom w:val="nil"/>
              <w:right w:val="nil"/>
            </w:tcBorders>
            <w:vAlign w:val="center"/>
          </w:tcPr>
          <w:p w14:paraId="78448E1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Accuracy</w:t>
            </w:r>
          </w:p>
        </w:tc>
        <w:tc>
          <w:tcPr>
            <w:tcW w:w="3293" w:type="dxa"/>
            <w:tcBorders>
              <w:top w:val="nil"/>
              <w:left w:val="nil"/>
              <w:bottom w:val="nil"/>
              <w:right w:val="nil"/>
            </w:tcBorders>
            <w:vAlign w:val="center"/>
          </w:tcPr>
          <w:p w14:paraId="279DD9F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Suitable Scenario</w:t>
            </w:r>
          </w:p>
        </w:tc>
      </w:tr>
      <w:tr w14:paraId="7AF6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707" w:type="dxa"/>
            <w:tcBorders>
              <w:top w:val="nil"/>
              <w:left w:val="nil"/>
              <w:bottom w:val="nil"/>
              <w:right w:val="nil"/>
            </w:tcBorders>
            <w:vAlign w:val="center"/>
          </w:tcPr>
          <w:p w14:paraId="39BB8D2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Within-Session</w:t>
            </w:r>
          </w:p>
        </w:tc>
        <w:tc>
          <w:tcPr>
            <w:tcW w:w="1500" w:type="dxa"/>
            <w:tcBorders>
              <w:top w:val="nil"/>
              <w:left w:val="nil"/>
              <w:bottom w:val="nil"/>
              <w:right w:val="nil"/>
            </w:tcBorders>
            <w:vAlign w:val="center"/>
          </w:tcPr>
          <w:p w14:paraId="13471BE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High</w:t>
            </w:r>
          </w:p>
        </w:tc>
        <w:tc>
          <w:tcPr>
            <w:tcW w:w="1875" w:type="dxa"/>
            <w:tcBorders>
              <w:top w:val="nil"/>
              <w:left w:val="nil"/>
              <w:bottom w:val="nil"/>
              <w:right w:val="nil"/>
            </w:tcBorders>
            <w:vAlign w:val="center"/>
          </w:tcPr>
          <w:p w14:paraId="20E1E10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Very High</w:t>
            </w:r>
          </w:p>
        </w:tc>
        <w:tc>
          <w:tcPr>
            <w:tcW w:w="1365" w:type="dxa"/>
            <w:tcBorders>
              <w:top w:val="nil"/>
              <w:left w:val="nil"/>
              <w:bottom w:val="nil"/>
              <w:right w:val="nil"/>
            </w:tcBorders>
            <w:vAlign w:val="center"/>
          </w:tcPr>
          <w:p w14:paraId="671D1EB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Highest</w:t>
            </w:r>
          </w:p>
        </w:tc>
        <w:tc>
          <w:tcPr>
            <w:tcW w:w="3293" w:type="dxa"/>
            <w:tcBorders>
              <w:top w:val="nil"/>
              <w:left w:val="nil"/>
              <w:bottom w:val="nil"/>
              <w:right w:val="nil"/>
            </w:tcBorders>
            <w:vAlign w:val="center"/>
          </w:tcPr>
          <w:p w14:paraId="14BA73F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Short-term lab experiments</w:t>
            </w:r>
          </w:p>
        </w:tc>
      </w:tr>
      <w:tr w14:paraId="5418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707" w:type="dxa"/>
            <w:tcBorders>
              <w:top w:val="nil"/>
              <w:left w:val="nil"/>
              <w:bottom w:val="nil"/>
              <w:right w:val="nil"/>
            </w:tcBorders>
            <w:vAlign w:val="center"/>
          </w:tcPr>
          <w:p w14:paraId="30145DC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Within-Subject</w:t>
            </w:r>
          </w:p>
        </w:tc>
        <w:tc>
          <w:tcPr>
            <w:tcW w:w="1500" w:type="dxa"/>
            <w:tcBorders>
              <w:top w:val="nil"/>
              <w:left w:val="nil"/>
              <w:bottom w:val="nil"/>
              <w:right w:val="nil"/>
            </w:tcBorders>
            <w:vAlign w:val="center"/>
          </w:tcPr>
          <w:p w14:paraId="4878FF7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 xml:space="preserve">Moderate </w:t>
            </w:r>
          </w:p>
        </w:tc>
        <w:tc>
          <w:tcPr>
            <w:tcW w:w="1875" w:type="dxa"/>
            <w:tcBorders>
              <w:top w:val="nil"/>
              <w:left w:val="nil"/>
              <w:bottom w:val="nil"/>
              <w:right w:val="nil"/>
            </w:tcBorders>
            <w:vAlign w:val="center"/>
          </w:tcPr>
          <w:p w14:paraId="44A66FC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High</w:t>
            </w:r>
          </w:p>
        </w:tc>
        <w:tc>
          <w:tcPr>
            <w:tcW w:w="1365" w:type="dxa"/>
            <w:tcBorders>
              <w:top w:val="nil"/>
              <w:left w:val="nil"/>
              <w:bottom w:val="nil"/>
              <w:right w:val="nil"/>
            </w:tcBorders>
            <w:vAlign w:val="center"/>
          </w:tcPr>
          <w:p w14:paraId="0C9FFB5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Higher</w:t>
            </w:r>
          </w:p>
        </w:tc>
        <w:tc>
          <w:tcPr>
            <w:tcW w:w="3293" w:type="dxa"/>
            <w:tcBorders>
              <w:top w:val="nil"/>
              <w:left w:val="nil"/>
              <w:bottom w:val="nil"/>
              <w:right w:val="nil"/>
            </w:tcBorders>
            <w:vAlign w:val="center"/>
          </w:tcPr>
          <w:p w14:paraId="7147EA8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Personalized BCI use</w:t>
            </w:r>
          </w:p>
        </w:tc>
      </w:tr>
      <w:tr w14:paraId="0CD7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707" w:type="dxa"/>
            <w:tcBorders>
              <w:top w:val="nil"/>
              <w:left w:val="nil"/>
              <w:bottom w:val="thickThinSmallGap" w:color="auto" w:sz="24" w:space="0"/>
              <w:right w:val="nil"/>
            </w:tcBorders>
            <w:vAlign w:val="center"/>
          </w:tcPr>
          <w:p w14:paraId="1AA460D3">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Cross-Subject</w:t>
            </w:r>
          </w:p>
        </w:tc>
        <w:tc>
          <w:tcPr>
            <w:tcW w:w="1500" w:type="dxa"/>
            <w:tcBorders>
              <w:top w:val="nil"/>
              <w:left w:val="nil"/>
              <w:bottom w:val="thickThinSmallGap" w:color="auto" w:sz="24" w:space="0"/>
              <w:right w:val="nil"/>
            </w:tcBorders>
            <w:vAlign w:val="center"/>
          </w:tcPr>
          <w:p w14:paraId="20C3503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Minimal</w:t>
            </w:r>
          </w:p>
        </w:tc>
        <w:tc>
          <w:tcPr>
            <w:tcW w:w="1875" w:type="dxa"/>
            <w:tcBorders>
              <w:top w:val="nil"/>
              <w:left w:val="nil"/>
              <w:bottom w:val="thickThinSmallGap" w:color="auto" w:sz="24" w:space="0"/>
              <w:right w:val="nil"/>
            </w:tcBorders>
            <w:vAlign w:val="center"/>
          </w:tcPr>
          <w:p w14:paraId="4CB8056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Low</w:t>
            </w:r>
          </w:p>
        </w:tc>
        <w:tc>
          <w:tcPr>
            <w:tcW w:w="1365" w:type="dxa"/>
            <w:tcBorders>
              <w:top w:val="nil"/>
              <w:left w:val="nil"/>
              <w:bottom w:val="thickThinSmallGap" w:color="auto" w:sz="24" w:space="0"/>
              <w:right w:val="nil"/>
            </w:tcBorders>
            <w:vAlign w:val="center"/>
          </w:tcPr>
          <w:p w14:paraId="74E48D2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Moderate</w:t>
            </w:r>
          </w:p>
        </w:tc>
        <w:tc>
          <w:tcPr>
            <w:tcW w:w="3293" w:type="dxa"/>
            <w:tcBorders>
              <w:top w:val="nil"/>
              <w:left w:val="nil"/>
              <w:bottom w:val="thickThinSmallGap" w:color="auto" w:sz="24" w:space="0"/>
              <w:right w:val="nil"/>
            </w:tcBorders>
            <w:vAlign w:val="center"/>
          </w:tcPr>
          <w:p w14:paraId="2F1011E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Practical deployment</w:t>
            </w:r>
          </w:p>
        </w:tc>
      </w:tr>
    </w:tbl>
    <w:p w14:paraId="0F6D3E70">
      <w:pPr>
        <w:spacing w:before="98"/>
        <w:jc w:val="both"/>
        <w:rPr>
          <w:rFonts w:hint="default" w:ascii="Times New Roman" w:hAnsi="Times New Roman" w:eastAsia="宋体" w:cs="Times New Roman"/>
          <w:i w:val="0"/>
          <w:iCs w:val="0"/>
          <w:sz w:val="24"/>
          <w:szCs w:val="24"/>
          <w:rtl w:val="0"/>
          <w:lang w:val="en-US" w:eastAsia="zh-CN"/>
        </w:rPr>
      </w:pPr>
    </w:p>
    <w:sectPr>
      <w:footerReference r:id="rId3" w:type="default"/>
      <w:pgSz w:w="12240" w:h="15840"/>
      <w:pgMar w:top="1346" w:right="1430" w:bottom="1309" w:left="1440" w:header="0" w:footer="1021"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B3930">
    <w:pPr>
      <w:pStyle w:val="9"/>
      <w:jc w:val="center"/>
      <w:rPr>
        <w:rFonts w:hint="default" w:eastAsia="宋体"/>
        <w:i/>
        <w:iCs/>
        <w:color w:val="808080" w:themeColor="background1" w:themeShade="80"/>
        <w:lang w:val="en-US" w:eastAsia="zh-C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A17751"/>
    <w:multiLevelType w:val="singleLevel"/>
    <w:tmpl w:val="70A17751"/>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5461B09"/>
    <w:rsid w:val="05504108"/>
    <w:rsid w:val="059C5BCD"/>
    <w:rsid w:val="0B373DE1"/>
    <w:rsid w:val="0B811AED"/>
    <w:rsid w:val="0B941820"/>
    <w:rsid w:val="0D063485"/>
    <w:rsid w:val="0FC1582A"/>
    <w:rsid w:val="11522A6B"/>
    <w:rsid w:val="11BD13A5"/>
    <w:rsid w:val="123A0C48"/>
    <w:rsid w:val="13B925E8"/>
    <w:rsid w:val="149363ED"/>
    <w:rsid w:val="19536C48"/>
    <w:rsid w:val="1AB343D2"/>
    <w:rsid w:val="1D2247B2"/>
    <w:rsid w:val="1D8564EE"/>
    <w:rsid w:val="1DA21EAE"/>
    <w:rsid w:val="1DBA0A0D"/>
    <w:rsid w:val="1E7E5DCB"/>
    <w:rsid w:val="1EE241F9"/>
    <w:rsid w:val="1F4F710D"/>
    <w:rsid w:val="1F6C085C"/>
    <w:rsid w:val="1F78690B"/>
    <w:rsid w:val="20291A06"/>
    <w:rsid w:val="20DE59B9"/>
    <w:rsid w:val="2197576F"/>
    <w:rsid w:val="223E5A6D"/>
    <w:rsid w:val="247358E9"/>
    <w:rsid w:val="25D615F9"/>
    <w:rsid w:val="26613AB8"/>
    <w:rsid w:val="28014A38"/>
    <w:rsid w:val="28663D24"/>
    <w:rsid w:val="2BD958F2"/>
    <w:rsid w:val="2E430593"/>
    <w:rsid w:val="2F5F0146"/>
    <w:rsid w:val="303E14D7"/>
    <w:rsid w:val="318930AE"/>
    <w:rsid w:val="33385A47"/>
    <w:rsid w:val="338B5090"/>
    <w:rsid w:val="35B62BD9"/>
    <w:rsid w:val="371F5B92"/>
    <w:rsid w:val="3776777C"/>
    <w:rsid w:val="37D83F93"/>
    <w:rsid w:val="3B404329"/>
    <w:rsid w:val="3D033860"/>
    <w:rsid w:val="3E742A80"/>
    <w:rsid w:val="3ED8453B"/>
    <w:rsid w:val="3F36162B"/>
    <w:rsid w:val="3F7945D3"/>
    <w:rsid w:val="3FA13EB9"/>
    <w:rsid w:val="40285B16"/>
    <w:rsid w:val="431467C7"/>
    <w:rsid w:val="46A03DF8"/>
    <w:rsid w:val="49542DE4"/>
    <w:rsid w:val="4AFE462F"/>
    <w:rsid w:val="4C4D68A6"/>
    <w:rsid w:val="4CB80A9A"/>
    <w:rsid w:val="4EC72940"/>
    <w:rsid w:val="515C3E00"/>
    <w:rsid w:val="51F7735F"/>
    <w:rsid w:val="54E12281"/>
    <w:rsid w:val="55E77D6B"/>
    <w:rsid w:val="575C7BC4"/>
    <w:rsid w:val="58380DA6"/>
    <w:rsid w:val="5C2D3FFE"/>
    <w:rsid w:val="5C855BE8"/>
    <w:rsid w:val="5DB82952"/>
    <w:rsid w:val="62210161"/>
    <w:rsid w:val="63860F05"/>
    <w:rsid w:val="676236F6"/>
    <w:rsid w:val="67C8799B"/>
    <w:rsid w:val="6B3635C4"/>
    <w:rsid w:val="6B4262FC"/>
    <w:rsid w:val="6C567B8C"/>
    <w:rsid w:val="6CBC7381"/>
    <w:rsid w:val="6D8851AE"/>
    <w:rsid w:val="6D8E1C2F"/>
    <w:rsid w:val="6FA319B1"/>
    <w:rsid w:val="70C1585D"/>
    <w:rsid w:val="710639CC"/>
    <w:rsid w:val="72DB32E2"/>
    <w:rsid w:val="75087A40"/>
    <w:rsid w:val="75104791"/>
    <w:rsid w:val="77A16C9F"/>
    <w:rsid w:val="7879089F"/>
    <w:rsid w:val="7A7858F2"/>
    <w:rsid w:val="7C4739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7">
    <w:name w:val="Default Paragraph Font"/>
    <w:semiHidden/>
    <w:qFormat/>
    <w:uiPriority w:val="0"/>
  </w:style>
  <w:style w:type="table" w:default="1" w:styleId="15">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0"/>
    <w:pPr>
      <w:keepNext/>
      <w:keepLines/>
      <w:pageBreakBefore w:val="0"/>
      <w:spacing w:before="480" w:after="120"/>
    </w:pPr>
    <w:rPr>
      <w:b/>
      <w:sz w:val="72"/>
      <w:szCs w:val="72"/>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uiPriority w:val="0"/>
    <w:rPr>
      <w:color w:val="0000FF"/>
      <w:u w:val="single"/>
    </w:rPr>
  </w:style>
  <w:style w:type="character" w:styleId="21">
    <w:name w:val="HTML Code"/>
    <w:basedOn w:val="17"/>
    <w:uiPriority w:val="0"/>
    <w:rPr>
      <w:rFonts w:ascii="Courier New" w:hAnsi="Courier New"/>
      <w:sz w:val="20"/>
    </w:r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Table Normal"/>
    <w:semiHidden/>
    <w:unhideWhenUsed/>
    <w:qFormat/>
    <w:uiPriority w:val="0"/>
    <w:tblPr>
      <w:tblCellMar>
        <w:top w:w="0" w:type="dxa"/>
        <w:left w:w="0" w:type="dxa"/>
        <w:bottom w:w="0" w:type="dxa"/>
        <w:right w:w="0" w:type="dxa"/>
      </w:tblCellMar>
    </w:tblPr>
  </w:style>
  <w:style w:type="table" w:customStyle="1" w:styleId="24">
    <w:name w:val="_Style 14"/>
    <w:basedOn w:val="22"/>
    <w:qFormat/>
    <w:uiPriority w:val="0"/>
  </w:style>
  <w:style w:type="table" w:customStyle="1" w:styleId="25">
    <w:name w:val="_Style 16"/>
    <w:basedOn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15</Pages>
  <Words>1424</Words>
  <Characters>7310</Characters>
  <TotalTime>12</TotalTime>
  <ScaleCrop>false</ScaleCrop>
  <LinksUpToDate>false</LinksUpToDate>
  <CharactersWithSpaces>8613</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2025-11-01T17:58:41Z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2052-12.1.0.23125</vt:lpwstr>
  </property>
  <property fmtid="{D5CDD505-2E9C-101B-9397-08002B2CF9AE}" pid="6" name="ICV">
    <vt:lpwstr>2D7841F0EFA247B79E427C0D4EC33E7C_13</vt:lpwstr>
  </property>
</Properties>
</file>