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before="0" w:after="120"/>
        <w:jc w:val="center"/>
      </w:pPr>
      <w:r>
        <w:rPr>
          <w:rFonts w:ascii="Arial" w:cs="Arial" w:eastAsia="Arial" w:hAnsi="Arial"/>
          <w:b/>
          <w:bCs/>
          <w:color w:val="1B4F72"/>
          <w:sz w:val="28"/>
          <w:szCs w:val="28"/>
        </w:rPr>
        <w:t xml:space="preserve">GHANA BLUE CARBON ASSESSMENT</w:t>
      </w:r>
    </w:p>
    <w:p>
      <w:pPr>
        <w:pBdr>
          <w:bottom w:val="single" w:color="1B4F72" w:sz="6" w:space="1"/>
        </w:pBdr>
        <w:spacing w:before="120" w:after="120"/>
      </w:pPr>
      <w:r>
        <w:t xml:space="preserve"/>
      </w:r>
    </w:p>
    <w:p>
      <w:pPr>
        <w:spacing w:before="0" w:after="80"/>
      </w:pPr>
      <w:r>
        <w:t xml:space="preserve"/>
      </w:r>
    </w:p>
    <w:p>
      <w:pPr>
        <w:spacing w:before="0" w:after="360"/>
        <w:jc w:val="center"/>
      </w:pPr>
      <w:r>
        <w:rPr>
          <w:rFonts w:ascii="Arial" w:cs="Arial" w:eastAsia="Arial" w:hAnsi="Arial"/>
          <w:b/>
          <w:bCs/>
          <w:color w:val="1B4F72"/>
          <w:sz w:val="40"/>
          <w:szCs w:val="40"/>
        </w:rPr>
        <w:t xml:space="preserve">National Blue Carbon Monitoring, Reporting and Verification (MRV) Framework</w:t>
      </w:r>
    </w:p>
    <w:p>
      <w:pPr>
        <w:spacing w:before="0" w:after="600"/>
        <w:jc w:val="center"/>
      </w:pPr>
      <w:r>
        <w:rPr>
          <w:rFonts w:ascii="Arial" w:cs="Arial" w:eastAsia="Arial" w:hAnsi="Arial"/>
          <w:b w:val="false"/>
          <w:bCs w:val="false"/>
          <w:i/>
          <w:iCs/>
          <w:color w:val="1A6B7A"/>
          <w:sz w:val="28"/>
          <w:szCs w:val="28"/>
        </w:rPr>
        <w:t xml:space="preserve">Standalone Report</w:t>
      </w:r>
    </w:p>
    <w:p>
      <w:pPr>
        <w:spacing w:before="0" w:after="400"/>
      </w:pPr>
      <w:r>
        <w:t xml:space="preserve"/>
      </w:r>
    </w:p>
    <w:p>
      <w:pPr>
        <w:spacing w:before="0" w:after="80"/>
        <w:jc w:val="center"/>
      </w:pPr>
      <w:r>
        <w:rPr>
          <w:rFonts w:ascii="Arial" w:cs="Arial" w:eastAsia="Arial" w:hAnsi="Arial"/>
          <w:color w:val="1A1A1A"/>
          <w:sz w:val="22"/>
          <w:szCs w:val="22"/>
        </w:rPr>
        <w:t xml:space="preserve">Prepared by:</w:t>
      </w:r>
    </w:p>
    <w:p>
      <w:pPr>
        <w:spacing w:before="0" w:after="80"/>
        <w:jc w:val="center"/>
      </w:pPr>
      <w:r>
        <w:rPr>
          <w:rFonts w:ascii="Arial" w:cs="Arial" w:eastAsia="Arial" w:hAnsi="Arial"/>
          <w:b/>
          <w:bCs/>
          <w:color w:val="1B4F72"/>
          <w:sz w:val="24"/>
          <w:szCs w:val="24"/>
        </w:rPr>
        <w:t xml:space="preserve">GAB Climate Smart Investment Ltd</w:t>
      </w:r>
    </w:p>
    <w:p>
      <w:pPr>
        <w:spacing w:before="0" w:after="200"/>
      </w:pPr>
      <w:r>
        <w:t xml:space="preserve"/>
      </w:r>
    </w:p>
    <w:p>
      <w:pPr>
        <w:spacing w:before="0" w:after="80"/>
        <w:jc w:val="center"/>
      </w:pPr>
      <w:r>
        <w:rPr>
          <w:rFonts w:ascii="Arial" w:cs="Arial" w:eastAsia="Arial" w:hAnsi="Arial"/>
          <w:color w:val="1A1A1A"/>
          <w:sz w:val="22"/>
          <w:szCs w:val="22"/>
        </w:rPr>
        <w:t xml:space="preserve">Submitted to:</w:t>
      </w:r>
    </w:p>
    <w:p>
      <w:pPr>
        <w:spacing w:before="0" w:after="80"/>
        <w:jc w:val="center"/>
      </w:pPr>
      <w:r>
        <w:rPr>
          <w:rFonts w:ascii="Arial" w:cs="Arial" w:eastAsia="Arial" w:hAnsi="Arial"/>
          <w:b/>
          <w:bCs/>
          <w:color w:val="1A1A1A"/>
          <w:sz w:val="22"/>
          <w:szCs w:val="22"/>
        </w:rPr>
        <w:t xml:space="preserve">Ministry of Lands and Natural Resources, Ghana</w:t>
      </w:r>
    </w:p>
    <w:p>
      <w:pPr>
        <w:spacing w:before="0" w:after="200"/>
      </w:pPr>
      <w:r>
        <w:t xml:space="preserve"/>
      </w:r>
    </w:p>
    <w:p>
      <w:pPr>
        <w:spacing w:before="0" w:after="80"/>
        <w:jc w:val="center"/>
      </w:pPr>
      <w:r>
        <w:rPr>
          <w:rFonts w:ascii="Arial" w:cs="Arial" w:eastAsia="Arial" w:hAnsi="Arial"/>
          <w:color w:val="1A1A1A"/>
          <w:sz w:val="22"/>
          <w:szCs w:val="22"/>
        </w:rPr>
        <w:t xml:space="preserve">March 2026</w:t>
      </w:r>
    </w:p>
    <w:p>
      <w:pPr>
        <w:spacing w:before="0" w:after="0"/>
        <w:jc w:val="center"/>
      </w:pPr>
      <w:r>
        <w:rPr>
          <w:rFonts w:ascii="Arial" w:cs="Arial" w:eastAsia="Arial" w:hAnsi="Arial"/>
          <w:i/>
          <w:iCs/>
          <w:color w:val="1A6B7A"/>
          <w:sz w:val="20"/>
          <w:szCs w:val="20"/>
        </w:rPr>
        <w:t xml:space="preserve">Draft for Review</w:t>
      </w:r>
    </w:p>
    <w:p>
      <w:r>
        <w:br w:type="page"/>
      </w:r>
    </w:p>
    <w:p>
      <w:pPr>
        <w:pStyle w:val="Heading1"/>
        <w:spacing w:before="240" w:after="240"/>
      </w:pPr>
      <w:r>
        <w:rPr>
          <w:rFonts w:ascii="Arial" w:cs="Arial" w:eastAsia="Arial" w:hAnsi="Arial"/>
          <w:b/>
          <w:bCs/>
          <w:color w:val="1B4F72"/>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before="480" w:after="240"/>
      </w:pPr>
      <w:r>
        <w:rPr>
          <w:rFonts w:ascii="Arial" w:cs="Arial" w:eastAsia="Arial" w:hAnsi="Arial"/>
          <w:b/>
          <w:bCs/>
          <w:color w:val="1B4F72"/>
          <w:sz w:val="30"/>
          <w:szCs w:val="30"/>
        </w:rPr>
        <w:t xml:space="preserve">Executive Summary</w:t>
      </w:r>
    </w:p>
    <w:p>
      <w:pPr>
        <w:pStyle w:val="Heading2"/>
        <w:spacing w:before="300" w:after="160"/>
      </w:pPr>
      <w:r>
        <w:rPr>
          <w:rFonts w:ascii="Arial" w:cs="Arial" w:eastAsia="Arial" w:hAnsi="Arial"/>
          <w:b/>
          <w:bCs/>
          <w:color w:val="1A6B7A"/>
          <w:sz w:val="26"/>
          <w:szCs w:val="26"/>
        </w:rPr>
        <w:t xml:space="preserve">Assignment Mandate and Policy Context</w:t>
      </w:r>
    </w:p>
    <w:p>
      <w:pPr>
        <w:spacing w:before="80" w:after="120" w:line="276"/>
        <w:jc w:val="both"/>
      </w:pPr>
      <w:r>
        <w:rPr>
          <w:rFonts w:ascii="Arial" w:cs="Arial" w:eastAsia="Arial" w:hAnsi="Arial"/>
          <w:b w:val="false"/>
          <w:bCs w:val="false"/>
          <w:i w:val="false"/>
          <w:iCs w:val="false"/>
          <w:color w:val="1A1A1A"/>
          <w:sz w:val="22"/>
          <w:szCs w:val="22"/>
        </w:rPr>
        <w:t xml:space="preserve">This report presents the National Blue Carbon Monitoring, Reporting and Verification (MRV) Framework developed under the West Africa Coastal Areas Resilience Investment Project (WACA ResIP 2, World Bank Project P175525), approved by the World Bank in December 2022. The assignment was coordinated by the Ministry of Environment, Science, Technology and Innovation (MESTI), with direct technical supervision by the Ministry of Lands and Natural Resources (MLNR) Focal Point Unit, and covered the entire coast of Ghana. Its stated objective was to assess and prioritise Ghana's blue carbon ecosystem potential and provide the baseline data necessary to develop blue carbon projects meeting both compliance and voluntary carbon market standards.</w:t>
      </w:r>
    </w:p>
    <w:p>
      <w:pPr>
        <w:spacing w:before="80" w:after="120" w:line="276"/>
        <w:jc w:val="both"/>
      </w:pPr>
      <w:r>
        <w:rPr>
          <w:rFonts w:ascii="Arial" w:cs="Arial" w:eastAsia="Arial" w:hAnsi="Arial"/>
          <w:b w:val="false"/>
          <w:bCs w:val="false"/>
          <w:i w:val="false"/>
          <w:iCs w:val="false"/>
          <w:color w:val="1A1A1A"/>
          <w:sz w:val="22"/>
          <w:szCs w:val="22"/>
        </w:rPr>
        <w:t xml:space="preserve">Ghana's ratification of the Paris Agreement and commitments under its Nationally Determined Contributions (NDCs) require accounting for carbon removals from coastal ecosystems. Blue carbon ecosystems — mangroves, salt marshes, and seagrasses — store up to ten times more carbon per hectare than terrestrial forests. Although covering less than two percent of the global ocean area, they are among the most productive carbon sinks on Earth. Ghana's 550-kilometre coastline contains a nationally significant share of these assets, the protection and management of which is the primary subject of this Framework.</w:t>
      </w:r>
    </w:p>
    <w:p>
      <w:pPr>
        <w:pStyle w:val="Heading2"/>
        <w:spacing w:before="300" w:after="160"/>
      </w:pPr>
      <w:r>
        <w:rPr>
          <w:rFonts w:ascii="Arial" w:cs="Arial" w:eastAsia="Arial" w:hAnsi="Arial"/>
          <w:b/>
          <w:bCs/>
          <w:color w:val="1A6B7A"/>
          <w:sz w:val="26"/>
          <w:szCs w:val="26"/>
        </w:rPr>
        <w:t xml:space="preserve">National Baseline: What the Assessment Found</w:t>
      </w:r>
    </w:p>
    <w:p>
      <w:pPr>
        <w:spacing w:before="80" w:after="120" w:line="276"/>
        <w:jc w:val="both"/>
      </w:pPr>
      <w:r>
        <w:rPr>
          <w:rFonts w:ascii="Arial" w:cs="Arial" w:eastAsia="Arial" w:hAnsi="Arial"/>
          <w:b w:val="false"/>
          <w:bCs w:val="false"/>
          <w:i w:val="false"/>
          <w:iCs w:val="false"/>
          <w:color w:val="1A1A1A"/>
          <w:sz w:val="22"/>
          <w:szCs w:val="22"/>
        </w:rPr>
        <w:t xml:space="preserve">The 2024–2025 national assessment surveyed a coastal landscape of 1,068,361.48 hectares across 35 political districts. Using Harmonised Sentinel-2 multispectral satellite imagery at 10–20 metre resolution, a Random Forest classifier processed on Google Earth Engine, and 319 participatory ground-truth reference points, the assessment established a total national mangrove extent of approximately 30,025 hectares, equivalent to 2.81% of the assessed coastal landscape. This figure is substantially larger than all previous estimates, which ranged from 7,240 hectares in a 2013 assessment to 18,100 hectares in a 1980 baseline. The difference is not evidence of recent ecosystem expansion. It reflects a methodological advance: higher-resolution imagery and machine-learning classification capture small, fragmented, and fringing mangrove stands that were missed or misclassified in coarser Landsat-based historical surveys. Community participatory mapping conducted across 37 communities during the socio-economic fieldwork further identified previously undocumented stands, confirming that local ecological knowledge was integral to the accuracy of the final classification.</w:t>
      </w:r>
    </w:p>
    <w:p>
      <w:pPr>
        <w:spacing w:before="80" w:after="120" w:line="276"/>
        <w:jc w:val="both"/>
      </w:pPr>
      <w:r>
        <w:rPr>
          <w:rFonts w:ascii="Arial" w:cs="Arial" w:eastAsia="Arial" w:hAnsi="Arial"/>
          <w:b w:val="false"/>
          <w:bCs w:val="false"/>
          <w:i w:val="false"/>
          <w:iCs w:val="false"/>
          <w:color w:val="1A1A1A"/>
          <w:sz w:val="22"/>
          <w:szCs w:val="22"/>
        </w:rPr>
        <w:t xml:space="preserve">The national distribution is highly asymmetric. The Keta Lagoon Complex Ramsar Site, situated in the Volta Region, contains an estimated 20,717.95 hectares of mangroves — approximately 69% of Ghana's entire coastal mangrove resource. The dominant species are Red Mangrove (Rhizophora racemosa) and Black Mangrove (Avicennia germinans), forming large, continuous stretches between the main lagoon body and the Volta River estuary. This single site is Ghana's principal blue carbon asset, and its management is a matter of strategic national importance for climate and biodiversity targets. By contrast, the Songor Ramsar Site and UNESCO Biosphere Reserve retains only 465.76 hectares of mangroves — approximately 2% of the national total — with its landscape now dominated by salt pans and grassland, the quantitative result of long-term mangrove replacement driven by the expansion of industrial and artisanal salt mining. The Muni-Pomadze Ramsar Site was found to have ecologically insignificant mangrove cover at the scale of analysis: it is not a landscape for conservation of existing carbon stocks but a priority for restoration and ecosystem re-establishment. Beyond the three focal Ramsar sites, mangroves occur in fragmented patches at Ada, Winneba, Shama, and the Amansuri Wetland in the Western Region.</w:t>
      </w:r>
    </w:p>
    <w:p>
      <w:pPr>
        <w:pStyle w:val="Heading2"/>
        <w:spacing w:before="300" w:after="160"/>
      </w:pPr>
      <w:r>
        <w:rPr>
          <w:rFonts w:ascii="Arial" w:cs="Arial" w:eastAsia="Arial" w:hAnsi="Arial"/>
          <w:b/>
          <w:bCs/>
          <w:color w:val="1A6B7A"/>
          <w:sz w:val="26"/>
          <w:szCs w:val="26"/>
        </w:rPr>
        <w:t xml:space="preserve">Socio-Economic Conditions and Degradation Pressures</w:t>
      </w:r>
    </w:p>
    <w:p>
      <w:pPr>
        <w:spacing w:before="80" w:after="120" w:line="276"/>
        <w:jc w:val="both"/>
      </w:pPr>
      <w:r>
        <w:rPr>
          <w:rFonts w:ascii="Arial" w:cs="Arial" w:eastAsia="Arial" w:hAnsi="Arial"/>
          <w:b w:val="false"/>
          <w:bCs w:val="false"/>
          <w:i w:val="false"/>
          <w:iCs w:val="false"/>
          <w:color w:val="1A1A1A"/>
          <w:sz w:val="22"/>
          <w:szCs w:val="22"/>
        </w:rPr>
        <w:t xml:space="preserve">Socio-economic fieldwork conducted between June and August 2025 profiled 37 communities across the three Ramsar sites using focus group discussions, key informant interviews, participatory resource mapping, and transect-based observations. More than 70% of households in the study areas depend on mangrove-linked activities — principally fish smoking, artisanal fishing, salt production, and fuelwood harvesting. In the Keta Lagoon Complex, this dependency takes the form of a social-ecological trap: the vast mangrove resource has fostered a thriving artisanal fishing industry and a large women-led fish-smoking economy, and the primary fuel source for the thousands of fish-smoking kilns operating in communities including Agbatsivi, Galotse, Bomigo, and Salo is Rhizophora mangrove wood. The result is a historical deforestation rate of 2.15% per year at Keta, driven by the same livelihood system that depends on the ecosystem it is degrading. The demographic profile compounds this pressure: youth cohorts in project communities exceed 50% of the population (against a national average of 38.2%), age dependency ratios in the Volta and Central regions reach 73.1 and 70.0 respectively against a national rate of 66.0, and female-headed households in Anloga district account for 46.2% of all households — against a national figure of 35.3%.</w:t>
      </w:r>
    </w:p>
    <w:p>
      <w:pPr>
        <w:spacing w:before="80" w:after="120" w:line="276"/>
        <w:jc w:val="both"/>
      </w:pPr>
      <w:r>
        <w:rPr>
          <w:rFonts w:ascii="Arial" w:cs="Arial" w:eastAsia="Arial" w:hAnsi="Arial"/>
          <w:b w:val="false"/>
          <w:bCs w:val="false"/>
          <w:i w:val="false"/>
          <w:iCs w:val="false"/>
          <w:color w:val="1A1A1A"/>
          <w:sz w:val="22"/>
          <w:szCs w:val="22"/>
        </w:rPr>
        <w:t xml:space="preserve">The ecological trajectory of the Keta Lagoon is further shaped by a landscape-level driver outside the programme's direct control: the Akosombo Dam, constructed in 1964 approximately 60 kilometres upstream, now traps over 90% of the Volta River's natural sediment load. This has transformed the delta from a sediment-accreting to an erosion-dominated system, placing the narrow coastal sandbar on which the 20,717.95-hectare mangrove forest grows under progressive wave-driven retreat. Any carbon project in the Keta landscape must account for this non-project-related structural risk in its design, monitoring assumptions, and permanence provisions. At Songor, the near-complete replacement of mangroves by salt pans at sites including Elavanyo and Obane is both a documented degradation outcome and an ongoing governance conflict, with artisanal and industrial salt producers competing over the same landscapes. At Muni-Pomadze, charcoal and fuelwood pressure from transition-forest and wetland-edge areas continues alongside culturally protected sacred groves that represent relative ecological refuges. Grievance systems are informal in more than 80% of profiled communities, and CREMA readiness is uneven: high community interest at Muni-Pomadze, emerging at Songor, and fragmented at Keta — a direct implication for the sequencing and depth of governance investment.</w:t>
      </w:r>
    </w:p>
    <w:p>
      <w:pPr>
        <w:pStyle w:val="Heading2"/>
        <w:spacing w:before="300" w:after="160"/>
      </w:pPr>
      <w:r>
        <w:rPr>
          <w:rFonts w:ascii="Arial" w:cs="Arial" w:eastAsia="Arial" w:hAnsi="Arial"/>
          <w:b/>
          <w:bCs/>
          <w:color w:val="1A6B7A"/>
          <w:sz w:val="26"/>
          <w:szCs w:val="26"/>
        </w:rPr>
        <w:t xml:space="preserve">The National MRV Framework</w:t>
      </w:r>
    </w:p>
    <w:p>
      <w:pPr>
        <w:spacing w:before="80" w:after="120" w:line="276"/>
        <w:jc w:val="both"/>
      </w:pPr>
      <w:r>
        <w:rPr>
          <w:rFonts w:ascii="Arial" w:cs="Arial" w:eastAsia="Arial" w:hAnsi="Arial"/>
          <w:b w:val="false"/>
          <w:bCs w:val="false"/>
          <w:i w:val="false"/>
          <w:iCs w:val="false"/>
          <w:color w:val="1A1A1A"/>
          <w:sz w:val="22"/>
          <w:szCs w:val="22"/>
        </w:rPr>
        <w:t xml:space="preserve">The National Blue Carbon MRV Framework responds to this landscape by establishing a monitoring, reporting and verification system structured for institutional permanence rather than project duration. The Framework operates across four coordinated institutional tiers — community (CREMAs and Community Change Agents), district (Metropolitan, Municipal and District Assemblies and the Wildlife Division of the Forestry Commission), national technical (MLNR, MEST, and the Forestry Commission), and independent review where required — and through three integrated functional layers: Ecological and Carbon Integrity, Environmental Pressure Surveillance, and Governance and Safeguard Assurance. The 2025 assessment package — mangrove extent, carbon inventory, ecosystem health, socio-economic profiling, and environmental pressure evaluation — constitutes the Year 0 baseline against which all future monitoring, carbon stock changes, and restoration performance will be benchmarked.</w:t>
      </w:r>
    </w:p>
    <w:p>
      <w:pPr>
        <w:spacing w:before="80" w:after="120" w:line="276"/>
        <w:jc w:val="both"/>
      </w:pPr>
      <w:r>
        <w:rPr>
          <w:rFonts w:ascii="Arial" w:cs="Arial" w:eastAsia="Arial" w:hAnsi="Arial"/>
          <w:b w:val="false"/>
          <w:bCs w:val="false"/>
          <w:i w:val="false"/>
          <w:iCs w:val="false"/>
          <w:color w:val="1A1A1A"/>
          <w:sz w:val="22"/>
          <w:szCs w:val="22"/>
        </w:rPr>
        <w:t xml:space="preserve">The carbon accounting architecture covers four IPCC Wetlands Supplement-aligned carbon pools: above-ground biomass, below-ground biomass, deadwood where relevant, and soil organic carbon to a depth of 0–100 centimetres. Permanent Sample Plots established during the Carbon Inventory Assessment serve as the long-term monitoring backbone, with biomass remeasurement on a three-to-five-year cycle. Annual satellite-based extent monitoring uses Sentinel-2 or equivalent imagery with supervised change detection, supported by ground-truth validation through CREMA and Wildlife Division field teams. The environmental pressure surveillance system tracks five core indicators — land conversion, mangrove cutting signals, fuel source shift, charcoal and extraction hotspots, and conflict and access pressure — on quarterly and annual cycles, cross-referenced against PSP locations and carbon risk zones. The governance and safeguard layer mandates a minimum 40% female representation in CREMA executive leadership, documented grievance redress mechanisms in every blue carbon landscape, and annual benefit-sharing transparency reporting. Field ecosystem monitoring at the Keta and Ada wetlands operates through a network of 57 and 23 designated sampling stations respectively, conducting quarterly physico-chemical water and soil measurements. A web-based spatial monitoring platform ties all workstreams together through weekly satellite imagery updates, integrated PSP and restoration registries, automated pressure alert overlays, and a community-through-national data flow architecture.</w:t>
      </w:r>
    </w:p>
    <w:p>
      <w:pPr>
        <w:pStyle w:val="Heading2"/>
        <w:spacing w:before="300" w:after="160"/>
      </w:pPr>
      <w:r>
        <w:rPr>
          <w:rFonts w:ascii="Arial" w:cs="Arial" w:eastAsia="Arial" w:hAnsi="Arial"/>
          <w:b/>
          <w:bCs/>
          <w:color w:val="1A6B7A"/>
          <w:sz w:val="26"/>
          <w:szCs w:val="26"/>
        </w:rPr>
        <w:t xml:space="preserve">Pilot Implementation and Report Structure</w:t>
      </w:r>
    </w:p>
    <w:p>
      <w:pPr>
        <w:spacing w:before="80" w:after="120" w:line="276"/>
        <w:jc w:val="both"/>
      </w:pPr>
      <w:r>
        <w:rPr>
          <w:rFonts w:ascii="Arial" w:cs="Arial" w:eastAsia="Arial" w:hAnsi="Arial"/>
          <w:b w:val="false"/>
          <w:bCs w:val="false"/>
          <w:i w:val="false"/>
          <w:iCs w:val="false"/>
          <w:color w:val="1A1A1A"/>
          <w:sz w:val="22"/>
          <w:szCs w:val="22"/>
        </w:rPr>
        <w:t xml:space="preserve">Keta Lagoon Complex is the primary pilot implementation context for the Framework, reflecting the depth of georeferenced field evidence, operational monitoring infrastructure, and community capacity developed during the assessment. Three communities have been identified as early action hubs: Dzita in the Keta Lagoon Complex, Pute in Songor, and Sankor in Muni-Pomadze — each selected on the basis of social readiness aligned with their respective ecological contexts. The Framework is designed to expand progressively as detailed baselines mature across additional coastal landscapes. This report documents the completed design in full and is the standalone MRV source report within the wider Blue Carbon Final Report package.</w:t>
      </w:r>
    </w:p>
    <w:p>
      <w:pPr>
        <w:spacing w:before="0" w:after="100"/>
      </w:pPr>
      <w:r>
        <w:t xml:space="preserve"/>
      </w:r>
    </w:p>
    <w:p>
      <w:pPr>
        <w:pBdr>
          <w:bottom w:val="single" w:color="1B4F72" w:sz="6" w:space="1"/>
        </w:pBdr>
        <w:spacing w:before="120" w:after="120"/>
      </w:pPr>
      <w:r>
        <w:t xml:space="preserve"/>
      </w:r>
    </w:p>
    <w:p>
      <w:pPr>
        <w:spacing w:before="0" w:after="60"/>
      </w:pPr>
      <w:r>
        <w:t xml:space="preserve"/>
      </w:r>
    </w:p>
    <w:p>
      <w:pPr>
        <w:spacing w:before="0" w:after="120"/>
        <w:jc w:val="center"/>
      </w:pPr>
      <w:r>
        <w:rPr>
          <w:rFonts w:ascii="Arial" w:cs="Arial" w:eastAsia="Arial" w:hAnsi="Arial"/>
          <w:b/>
          <w:bCs/>
          <w:color w:val="1B4F72"/>
          <w:sz w:val="20"/>
          <w:szCs w:val="20"/>
        </w:rPr>
        <w:t xml:space="preserve">AT A GLANCE — NATIONAL BLUE CARBON ASSESSMENT AND MRV FRAMEWORK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Funding programme</w:t>
            </w:r>
          </w:p>
        </w:tc>
        <w:tc>
          <w:tcPr>
            <w:tcW w:type="dxa" w:w="6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WACA ResIP 2 (World Bank P175525), approved December 2022</w:t>
            </w:r>
          </w:p>
        </w:tc>
      </w:tr>
      <w:tr>
        <w:tc>
          <w:tcPr>
            <w:tcW w:type="dxa" w:w="30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Coastal area assessed</w:t>
            </w:r>
          </w:p>
        </w:tc>
        <w:tc>
          <w:tcPr>
            <w:tcW w:type="dxa" w:w="6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1,068,361.48 ha across 35 districts | 550 km coastline</w:t>
            </w:r>
          </w:p>
        </w:tc>
      </w:tr>
      <w:tr>
        <w:tc>
          <w:tcPr>
            <w:tcW w:type="dxa" w:w="30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Total national mangrove extent</w:t>
            </w:r>
          </w:p>
        </w:tc>
        <w:tc>
          <w:tcPr>
            <w:tcW w:type="dxa" w:w="6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~30,025 ha (2.81% of assessed coastal landscape)</w:t>
            </w:r>
          </w:p>
        </w:tc>
      </w:tr>
      <w:tr>
        <w:tc>
          <w:tcPr>
            <w:tcW w:type="dxa" w:w="30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Keta Lagoon Complex</w:t>
            </w:r>
          </w:p>
        </w:tc>
        <w:tc>
          <w:tcPr>
            <w:tcW w:type="dxa" w:w="6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20,717.95 ha | 69% of national total | Primary carbon asset | Rhizophora racemosa and Avicennia germinans | Deforestation rate 2.15%/yr</w:t>
            </w:r>
          </w:p>
        </w:tc>
      </w:tr>
      <w:tr>
        <w:tc>
          <w:tcPr>
            <w:tcW w:type="dxa" w:w="30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Songor Ramsar Site</w:t>
            </w:r>
          </w:p>
        </w:tc>
        <w:tc>
          <w:tcPr>
            <w:tcW w:type="dxa" w:w="6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465.76 ha | 2% of national total | Severely degraded — salt pan expansion dominant driver</w:t>
            </w:r>
          </w:p>
        </w:tc>
      </w:tr>
      <w:tr>
        <w:tc>
          <w:tcPr>
            <w:tcW w:type="dxa" w:w="30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Muni-Pomadze Ramsar Site</w:t>
            </w:r>
          </w:p>
        </w:tc>
        <w:tc>
          <w:tcPr>
            <w:tcW w:type="dxa" w:w="6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Insignificant extent | Restoration priority | Active nursery/reforestation work at Sankor</w:t>
            </w:r>
          </w:p>
        </w:tc>
      </w:tr>
      <w:tr>
        <w:tc>
          <w:tcPr>
            <w:tcW w:type="dxa" w:w="30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Communities profiled</w:t>
            </w:r>
          </w:p>
        </w:tc>
        <w:tc>
          <w:tcPr>
            <w:tcW w:type="dxa" w:w="6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37 communities (June–August 2025) | &gt;70% household dependency on mangrove-linked livelihoods</w:t>
            </w:r>
          </w:p>
        </w:tc>
      </w:tr>
      <w:tr>
        <w:tc>
          <w:tcPr>
            <w:tcW w:type="dxa" w:w="30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Early action hubs</w:t>
            </w:r>
          </w:p>
        </w:tc>
        <w:tc>
          <w:tcPr>
            <w:tcW w:type="dxa" w:w="6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Dzita (Keta) | Pute (Songor) | Sankor (Muni-Pomadze)</w:t>
            </w:r>
          </w:p>
        </w:tc>
      </w:tr>
      <w:tr>
        <w:tc>
          <w:tcPr>
            <w:tcW w:type="dxa" w:w="30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MRV institutional tiers</w:t>
            </w:r>
          </w:p>
        </w:tc>
        <w:tc>
          <w:tcPr>
            <w:tcW w:type="dxa" w:w="6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Community (CREMAs/CCAs) → District (MMDAs/WD) → National (MLNR/MEST/FC) → Independent Review (where required)</w:t>
            </w:r>
          </w:p>
        </w:tc>
      </w:tr>
      <w:tr>
        <w:tc>
          <w:tcPr>
            <w:tcW w:type="dxa" w:w="30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MRV functional layers</w:t>
            </w:r>
          </w:p>
        </w:tc>
        <w:tc>
          <w:tcPr>
            <w:tcW w:type="dxa" w:w="6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Ecological &amp; Carbon Integrity | Environmental Pressure Surveillance | Governance &amp; Safeguard Assurance</w:t>
            </w:r>
          </w:p>
        </w:tc>
      </w:tr>
      <w:tr>
        <w:tc>
          <w:tcPr>
            <w:tcW w:type="dxa" w:w="30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Carbon pools monitored</w:t>
            </w:r>
          </w:p>
        </w:tc>
        <w:tc>
          <w:tcPr>
            <w:tcW w:type="dxa" w:w="6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AGB | BGB | Deadwood (where relevant) | SOC 0–100 cm (IPCC Wetlands Supplement-aligned)</w:t>
            </w:r>
          </w:p>
        </w:tc>
      </w:tr>
      <w:tr>
        <w:tc>
          <w:tcPr>
            <w:tcW w:type="dxa" w:w="30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Monitoring cycles</w:t>
            </w:r>
          </w:p>
        </w:tc>
        <w:tc>
          <w:tcPr>
            <w:tcW w:type="dxa" w:w="6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Weekly satellite feeds | Quarterly field indicators | Annual extent and reporting | 3–5 yr carbon remeasurement</w:t>
            </w:r>
          </w:p>
        </w:tc>
      </w:tr>
      <w:tr>
        <w:tc>
          <w:tcPr>
            <w:tcW w:type="dxa" w:w="30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Field monitoring network</w:t>
            </w:r>
          </w:p>
        </w:tc>
        <w:tc>
          <w:tcPr>
            <w:tcW w:type="dxa" w:w="6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57 stations (Keta) + 23 stations (Ada) | Quarterly physico-chemical water and soil parameters</w:t>
            </w:r>
          </w:p>
        </w:tc>
      </w:tr>
      <w:tr>
        <w:tc>
          <w:tcPr>
            <w:tcW w:type="dxa" w:w="30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Governance commitments</w:t>
            </w:r>
          </w:p>
        </w:tc>
        <w:tc>
          <w:tcPr>
            <w:tcW w:type="dxa" w:w="6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Minimum 40% female representation in CREMA executive leadership | GRM mandatory at each landscape</w:t>
            </w:r>
          </w:p>
        </w:tc>
      </w:tr>
      <w:tr>
        <w:tc>
          <w:tcPr>
            <w:tcW w:type="dxa" w:w="30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Year 0 reference</w:t>
            </w:r>
          </w:p>
        </w:tc>
        <w:tc>
          <w:tcPr>
            <w:tcW w:type="dxa" w:w="6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2025 National Mangrove Extent, Ecosystem Health, and Carbon Inventory assessments</w:t>
            </w:r>
          </w:p>
        </w:tc>
      </w:tr>
      <w:tr>
        <w:tc>
          <w:tcPr>
            <w:tcW w:type="dxa" w:w="30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Pilot implementation context</w:t>
            </w:r>
          </w:p>
        </w:tc>
        <w:tc>
          <w:tcPr>
            <w:tcW w:type="dxa" w:w="6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Keta Lagoon Complex — deepest operational readiness within national MRV architecture</w:t>
            </w:r>
          </w:p>
        </w:tc>
      </w:tr>
    </w:tbl>
    <w:p>
      <w:pPr>
        <w:pStyle w:val="Heading1"/>
        <w:pageBreakBefore/>
        <w:spacing w:before="480" w:after="240"/>
      </w:pPr>
      <w:r>
        <w:rPr>
          <w:rFonts w:ascii="Arial" w:cs="Arial" w:eastAsia="Arial" w:hAnsi="Arial"/>
          <w:b/>
          <w:bCs/>
          <w:color w:val="1B4F72"/>
          <w:sz w:val="30"/>
          <w:szCs w:val="30"/>
        </w:rPr>
        <w:t xml:space="preserve">1.  Introduction</w:t>
      </w:r>
    </w:p>
    <w:p>
      <w:pPr>
        <w:pStyle w:val="Heading2"/>
        <w:spacing w:before="300" w:after="160"/>
      </w:pPr>
      <w:r>
        <w:rPr>
          <w:rFonts w:ascii="Arial" w:cs="Arial" w:eastAsia="Arial" w:hAnsi="Arial"/>
          <w:b/>
          <w:bCs/>
          <w:color w:val="1A6B7A"/>
          <w:sz w:val="26"/>
          <w:szCs w:val="26"/>
        </w:rPr>
        <w:t xml:space="preserve">1.1  The WACA Blue Carbon Assignment</w:t>
      </w:r>
    </w:p>
    <w:p>
      <w:pPr>
        <w:spacing w:before="80" w:after="120" w:line="276"/>
        <w:jc w:val="both"/>
      </w:pPr>
      <w:r>
        <w:rPr>
          <w:rFonts w:ascii="Arial" w:cs="Arial" w:eastAsia="Arial" w:hAnsi="Arial"/>
          <w:b w:val="false"/>
          <w:bCs w:val="false"/>
          <w:i w:val="false"/>
          <w:iCs w:val="false"/>
          <w:color w:val="1A1A1A"/>
          <w:sz w:val="22"/>
          <w:szCs w:val="22"/>
        </w:rPr>
        <w:t xml:space="preserve">This report is an output of the consulting assignment titled Assessment of Blue Carbon Ecosystem Potentials of Ghana (Mangrove and Tidal Salt Marsh), commissioned under the West Africa Coastal Areas Resilience Investment Project (WACA ResIP 2, World Bank Project P175625), approved by the World Bank in December 2022. The assignment was led by Ecological Nest Ltd and coordinated at national level by the Ministry of Environment, Science, Technology and Innovation (MESTI) through its Project Implementation Unit, with direct technical supervision by the Focal Point Unit of the Ministry of Lands and Natural Resources (MLNR). Supporting institutions included the Wildlife Division of the Forestry Commission, the Ministry of Works and Housing together with the Ghana Hydrological Authority, and the Environmental Protection Agency of Ghana.</w:t>
      </w:r>
    </w:p>
    <w:p>
      <w:pPr>
        <w:spacing w:before="80" w:after="120" w:line="276"/>
        <w:jc w:val="both"/>
      </w:pPr>
      <w:r>
        <w:rPr>
          <w:rFonts w:ascii="Arial" w:cs="Arial" w:eastAsia="Arial" w:hAnsi="Arial"/>
          <w:b w:val="false"/>
          <w:bCs w:val="false"/>
          <w:i w:val="false"/>
          <w:iCs w:val="false"/>
          <w:color w:val="1A1A1A"/>
          <w:sz w:val="22"/>
          <w:szCs w:val="22"/>
        </w:rPr>
        <w:t xml:space="preserve">WACA ResIP 2 was designed in response to the escalating vulnerability of West Africa's coastal communities to erosion, flooding, pollution, and ecosystem degradation — challenges that are transboundary in nature and beyond the capacity of any single country or development partner to address in isolation. Ghana is one of three beneficiary countries alongside The Gambia and Guinea-Bissau. Within Ghana, the programme targets the strengthening of coastal resilience through the protection and restoration of critical coastal ecosystems, the promotion of nature-based solutions, and the enhancement of the governance arrangements and livelihoods of coastal communities. The blue carbon assessment programme is central to that mandate.</w:t>
      </w:r>
    </w:p>
    <w:p>
      <w:pPr>
        <w:pStyle w:val="Heading2"/>
        <w:spacing w:before="300" w:after="160"/>
      </w:pPr>
      <w:r>
        <w:rPr>
          <w:rFonts w:ascii="Arial" w:cs="Arial" w:eastAsia="Arial" w:hAnsi="Arial"/>
          <w:b/>
          <w:bCs/>
          <w:color w:val="1A6B7A"/>
          <w:sz w:val="26"/>
          <w:szCs w:val="26"/>
        </w:rPr>
        <w:t xml:space="preserve">1.2  Ghana's Policy Context and Climate Commitments</w:t>
      </w:r>
    </w:p>
    <w:p>
      <w:pPr>
        <w:spacing w:before="80" w:after="120" w:line="276"/>
        <w:jc w:val="both"/>
      </w:pPr>
      <w:r>
        <w:rPr>
          <w:rFonts w:ascii="Arial" w:cs="Arial" w:eastAsia="Arial" w:hAnsi="Arial"/>
          <w:b w:val="false"/>
          <w:bCs w:val="false"/>
          <w:i w:val="false"/>
          <w:iCs w:val="false"/>
          <w:color w:val="1A1A1A"/>
          <w:sz w:val="22"/>
          <w:szCs w:val="22"/>
        </w:rPr>
        <w:t xml:space="preserve">Ghana's ratification of the Paris Agreement and its Nationally Determined Contributions (NDCs) require credible accounting for carbon removals from land-based and coastal ecosystems. As a signatory to the Convention on Biological Diversity, Ghana is also obligated under the Kunming-Montreal Global Biodiversity Framework to pursue the conservation and restoration of coastal and marine ecosystems. The Terms of Reference for this assignment identify blue carbon ecosystems — mangroves, salt marshes, and seagrasses — as the principal domain for carbon removal contributions from the land sector. Although covering less than two percent of the global ocean area, blue carbon ecosystems store up to ten times more carbon per hectare than terrestrial forests and represent a disproportionately important component of Ghana's climate mitigation potential.</w:t>
      </w:r>
    </w:p>
    <w:p>
      <w:pPr>
        <w:spacing w:before="80" w:after="120" w:line="276"/>
        <w:jc w:val="both"/>
      </w:pPr>
      <w:r>
        <w:rPr>
          <w:rFonts w:ascii="Arial" w:cs="Arial" w:eastAsia="Arial" w:hAnsi="Arial"/>
          <w:b w:val="false"/>
          <w:bCs w:val="false"/>
          <w:i w:val="false"/>
          <w:iCs w:val="false"/>
          <w:color w:val="1A1A1A"/>
          <w:sz w:val="22"/>
          <w:szCs w:val="22"/>
        </w:rPr>
        <w:t xml:space="preserve">Ghana's 550-kilometre coastline supports nationally significant mangrove and tidal wetland systems whose protection, measurement, and governance are the subject of this assignment. The ToR states explicitly that degradation of these ecosystems poses significant and potentially irreversible risks to the ecological and economic infrastructure of Ghana's coast. Understanding their vulnerability, quantifying their carbon contribution, and establishing a monitoring architecture capable of detecting and responding to change are the analytical foundations this consultancy was commissioned to provide.</w:t>
      </w:r>
    </w:p>
    <w:p>
      <w:pPr>
        <w:pStyle w:val="Heading2"/>
        <w:spacing w:before="300" w:after="160"/>
      </w:pPr>
      <w:r>
        <w:rPr>
          <w:rFonts w:ascii="Arial" w:cs="Arial" w:eastAsia="Arial" w:hAnsi="Arial"/>
          <w:b/>
          <w:bCs/>
          <w:color w:val="1A6B7A"/>
          <w:sz w:val="26"/>
          <w:szCs w:val="26"/>
        </w:rPr>
        <w:t xml:space="preserve">1.3  The Seven-Phase Work Programme</w:t>
      </w:r>
    </w:p>
    <w:p>
      <w:pPr>
        <w:spacing w:before="80" w:after="120" w:line="276"/>
        <w:jc w:val="both"/>
      </w:pPr>
      <w:r>
        <w:rPr>
          <w:rFonts w:ascii="Arial" w:cs="Arial" w:eastAsia="Arial" w:hAnsi="Arial"/>
          <w:b w:val="false"/>
          <w:bCs w:val="false"/>
          <w:i w:val="false"/>
          <w:iCs w:val="false"/>
          <w:color w:val="1A1A1A"/>
          <w:sz w:val="22"/>
          <w:szCs w:val="22"/>
        </w:rPr>
        <w:t xml:space="preserve">The assignment was structured across seven sequential phases. Phase 1 covered project inception — including the inception meeting, agreement of methodology and timelines with MLNR and MESTI, and preparation of the inception report signed off by MLNR's Focal Point Unit before submission to MESTI. Phase 2 delivered a literature review establishing secondary baseline information on carbon storage dynamics, biodiversity loss patterns, and socio-economic conditions across Ghana's blue carbon ecosystems. Phase 3 produced the national baseline land cover and land use change maps — generating a comprehensive blue carbon ecosystems dataset covering the 1990, 2000, 2010, 2020, and 2024–2025 period for trend analysis, alongside a report on degradation drivers and biodiversity loss by sector and industry.</w:t>
      </w:r>
    </w:p>
    <w:p>
      <w:pPr>
        <w:spacing w:before="80" w:after="120" w:line="276"/>
        <w:jc w:val="both"/>
      </w:pPr>
      <w:r>
        <w:rPr>
          <w:rFonts w:ascii="Arial" w:cs="Arial" w:eastAsia="Arial" w:hAnsi="Arial"/>
          <w:b w:val="false"/>
          <w:bCs w:val="false"/>
          <w:i w:val="false"/>
          <w:iCs w:val="false"/>
          <w:color w:val="1A1A1A"/>
          <w:sz w:val="22"/>
          <w:szCs w:val="22"/>
        </w:rPr>
        <w:t xml:space="preserve">Phase 4 delivered the Blue Carbon Inventory, including defined ecosystem boundaries, stratified project areas, measured carbon pools across mangrove and salt marsh types, establishment of Permanent Sample Plots, and proposed measurement frequencies agreed with MLNR and MESTI through the monthly progress meeting process. Phase 5 — of which this report is the primary deliverable — required the preparation of a monitoring protocol for each identified ecosystem type, linked to the baseline findings and land cover maps, defining the parameters to be measured, measurement frequencies, institutional and community roles, equipment requirements, and the real-time satellite monitoring system. Phase 6 produced the Restoration Strategy for Mangrove and Salt Marsh ecosystems, informed by degradation driver analysis and site-specific conditions. Phase 7 consolidates all findings into the Final Report, including ecosystem prioritisation from highest to lowest, spatial location tables, and guidance on short, medium, and long-term implementation pathways and potential partners.</w:t>
      </w:r>
    </w:p>
    <w:p>
      <w:pPr>
        <w:pStyle w:val="Heading2"/>
        <w:spacing w:before="300" w:after="160"/>
      </w:pPr>
      <w:r>
        <w:rPr>
          <w:rFonts w:ascii="Arial" w:cs="Arial" w:eastAsia="Arial" w:hAnsi="Arial"/>
          <w:b/>
          <w:bCs/>
          <w:color w:val="1A6B7A"/>
          <w:sz w:val="26"/>
          <w:szCs w:val="26"/>
        </w:rPr>
        <w:t xml:space="preserve">1.4  Purpose of This Standalone MRV Report</w:t>
      </w:r>
    </w:p>
    <w:p>
      <w:pPr>
        <w:spacing w:before="80" w:after="120" w:line="276"/>
        <w:jc w:val="both"/>
      </w:pPr>
      <w:r>
        <w:rPr>
          <w:rFonts w:ascii="Arial" w:cs="Arial" w:eastAsia="Arial" w:hAnsi="Arial"/>
          <w:b w:val="false"/>
          <w:bCs w:val="false"/>
          <w:i w:val="false"/>
          <w:iCs w:val="false"/>
          <w:color w:val="1A1A1A"/>
          <w:sz w:val="22"/>
          <w:szCs w:val="22"/>
        </w:rPr>
        <w:t xml:space="preserve">This standalone report delivers the Phase 5 monitoring protocol requirement as an independent technical document. It sets out the completed design of Ghana's National Blue Carbon Monitoring, Reporting and Verification (MRV) Framework — its institutional architecture, functional monitoring layers, field and satellite protocols, data flow systems, governance and safeguard requirements, carbon accounting protocol, and reporting structure — in a form that can be used and referenced independently of the wider Final Report package.</w:t>
      </w:r>
    </w:p>
    <w:p>
      <w:pPr>
        <w:spacing w:before="80" w:after="120" w:line="276"/>
        <w:jc w:val="both"/>
      </w:pPr>
      <w:r>
        <w:rPr>
          <w:rFonts w:ascii="Arial" w:cs="Arial" w:eastAsia="Arial" w:hAnsi="Arial"/>
          <w:b w:val="false"/>
          <w:bCs w:val="false"/>
          <w:i w:val="false"/>
          <w:iCs w:val="false"/>
          <w:color w:val="1A1A1A"/>
          <w:sz w:val="22"/>
          <w:szCs w:val="22"/>
        </w:rPr>
        <w:t xml:space="preserve">The report serves three distinct purposes. First, it is a delivery document for the Government of Ghana, providing MLNR and MESTI with a self-contained, comprehensive description of the national MRV system and the requirements for its continued operation beyond the consultancy period. Second, it is a source document for the Final Report synthesis, providing the primary reference for the MRV chapter and monitoring architecture sections. Third, it is an operational reference for the institutions, communities, and technical partners — including CREMAs, Wildlife Division, district authorities, and the national platform administration team — who will implement and sustain the system as it matures.</w:t>
      </w:r>
    </w:p>
    <w:p>
      <w:pPr>
        <w:pStyle w:val="Heading2"/>
        <w:spacing w:before="300" w:after="160"/>
      </w:pPr>
      <w:r>
        <w:rPr>
          <w:rFonts w:ascii="Arial" w:cs="Arial" w:eastAsia="Arial" w:hAnsi="Arial"/>
          <w:b/>
          <w:bCs/>
          <w:color w:val="1A6B7A"/>
          <w:sz w:val="26"/>
          <w:szCs w:val="26"/>
        </w:rPr>
        <w:t xml:space="preserve">1.5  Geographic Scope and Landscape Coverage</w:t>
      </w:r>
    </w:p>
    <w:p>
      <w:pPr>
        <w:spacing w:before="80" w:after="120" w:line="276"/>
        <w:jc w:val="both"/>
      </w:pPr>
      <w:r>
        <w:rPr>
          <w:rFonts w:ascii="Arial" w:cs="Arial" w:eastAsia="Arial" w:hAnsi="Arial"/>
          <w:b w:val="false"/>
          <w:bCs w:val="false"/>
          <w:i w:val="false"/>
          <w:iCs w:val="false"/>
          <w:color w:val="1A1A1A"/>
          <w:sz w:val="22"/>
          <w:szCs w:val="22"/>
        </w:rPr>
        <w:t xml:space="preserve">The geographic scope of the assessment was the entire coast of Ghana. The geospatial baseline covered 1,068,361.48 hectares across 35 political districts. Three priority Ramsar sites formed the landscape focus for detailed field workstreams: the Keta Lagoon Complex Ramsar Site in the Volta Region, the Songor Ramsar Site and UNESCO Biosphere Reserve near Ada, and the Muni-Pomadze Ramsar Site in the Central Region near Winneba. National mapping coverage was maintained across all coastal districts, while detailed socio-economic, ecosystem health, carbon inventory, and governance work was concentrated at the three Ramsar landscapes where ecological significance, community dependence, and institutional readiness were most developed.</w:t>
      </w:r>
    </w:p>
    <w:p>
      <w:pPr>
        <w:spacing w:before="80" w:after="120" w:line="276"/>
        <w:jc w:val="both"/>
      </w:pPr>
      <w:r>
        <w:rPr>
          <w:rFonts w:ascii="Arial" w:cs="Arial" w:eastAsia="Arial" w:hAnsi="Arial"/>
          <w:b w:val="false"/>
          <w:bCs w:val="false"/>
          <w:i w:val="false"/>
          <w:iCs w:val="false"/>
          <w:color w:val="1A1A1A"/>
          <w:sz w:val="22"/>
          <w:szCs w:val="22"/>
        </w:rPr>
        <w:t xml:space="preserve">As evidence accumulated through the phases, differentiated technical depth emerged across the three sites in line with the scope evolution logic agreed with MLNR and MESTI. The Keta Lagoon Complex — confirmed as containing approximately 20,717.95 hectares, or 69% of Ghana's total mapped mangrove extent — emerged as the site with the deepest layered baseline and the strongest operational readiness for pilot MRV implementation. Muni-Pomadze, with ecologically insignificant mangrove cover at the scale of the assessment, is treated primarily as a restoration and governance-investment priority. The severely degraded Songor landscape, where less than 466 hectares of mangroves remain amid extensive salt pan expansion, shapes both the pressure surveillance design and the governance intensity required. The monitoring framework built in this report reflects these differentiated starting points while maintaining national architecture.</w:t>
      </w:r>
    </w:p>
    <w:p>
      <w:pPr>
        <w:pStyle w:val="Heading2"/>
        <w:spacing w:before="300" w:after="160"/>
      </w:pPr>
      <w:r>
        <w:rPr>
          <w:rFonts w:ascii="Arial" w:cs="Arial" w:eastAsia="Arial" w:hAnsi="Arial"/>
          <w:b/>
          <w:bCs/>
          <w:color w:val="1A6B7A"/>
          <w:sz w:val="26"/>
          <w:szCs w:val="26"/>
        </w:rPr>
        <w:t xml:space="preserve">1.6  Relationship to the Wider Baseline Package</w:t>
      </w:r>
    </w:p>
    <w:p>
      <w:pPr>
        <w:spacing w:before="80" w:after="120" w:line="276"/>
        <w:jc w:val="both"/>
      </w:pPr>
      <w:r>
        <w:rPr>
          <w:rFonts w:ascii="Arial" w:cs="Arial" w:eastAsia="Arial" w:hAnsi="Arial"/>
          <w:b w:val="false"/>
          <w:bCs w:val="false"/>
          <w:i w:val="false"/>
          <w:iCs w:val="false"/>
          <w:color w:val="1A1A1A"/>
          <w:sz w:val="22"/>
          <w:szCs w:val="22"/>
        </w:rPr>
        <w:t xml:space="preserve">The MRV Framework does not stand alone technically. It integrates findings from six baseline workstreams produced during the course of this assignment: the Geospatial Mangrove Extent Baseline (Ecological Nest Ltd, August 2025), the Socio-Economic Baseline Report (August 2025), the Ecosystem Health Report for Keta and Ada (2025–2026), the Environmental Pressures and Community Dependency Assessment (2025), the Governance and CREMA Readiness Assessment (2025), and the Carbon Inventory Assessment (2025). Together these constitute the Year 0 reference package — the baseline against which all future monitoring outputs, carbon stock changes, and restoration performance will be benchmarked.</w:t>
      </w:r>
    </w:p>
    <w:p>
      <w:pPr>
        <w:spacing w:before="80" w:after="120" w:line="276"/>
        <w:jc w:val="both"/>
      </w:pPr>
      <w:r>
        <w:rPr>
          <w:rFonts w:ascii="Arial" w:cs="Arial" w:eastAsia="Arial" w:hAnsi="Arial"/>
          <w:b w:val="false"/>
          <w:bCs w:val="false"/>
          <w:i w:val="false"/>
          <w:iCs w:val="false"/>
          <w:color w:val="1A1A1A"/>
          <w:sz w:val="22"/>
          <w:szCs w:val="22"/>
        </w:rPr>
        <w:t xml:space="preserve">Where findings from the baseline workstreams inform design decisions in this Framework — such as the selection of pressure indicators, the specification of sampling station networks, the carbon pool priorities, or the governance risk thresholds — the relevant source document is identified in the text. Readers seeking full methodological detail on any specific baseline workstream are directed to the relevant source report.</w:t>
      </w:r>
    </w:p>
    <w:p>
      <w:pPr>
        <w:pStyle w:val="Heading2"/>
        <w:spacing w:before="300" w:after="160"/>
      </w:pPr>
      <w:r>
        <w:rPr>
          <w:rFonts w:ascii="Arial" w:cs="Arial" w:eastAsia="Arial" w:hAnsi="Arial"/>
          <w:b/>
          <w:bCs/>
          <w:color w:val="1A6B7A"/>
          <w:sz w:val="26"/>
          <w:szCs w:val="26"/>
        </w:rPr>
        <w:t xml:space="preserve">1.7  Structure of This Report</w:t>
      </w:r>
    </w:p>
    <w:p>
      <w:pPr>
        <w:spacing w:before="80" w:after="120" w:line="276"/>
        <w:jc w:val="both"/>
      </w:pPr>
      <w:r>
        <w:rPr>
          <w:rFonts w:ascii="Arial" w:cs="Arial" w:eastAsia="Arial" w:hAnsi="Arial"/>
          <w:b w:val="false"/>
          <w:bCs w:val="false"/>
          <w:i w:val="false"/>
          <w:iCs w:val="false"/>
          <w:color w:val="1A1A1A"/>
          <w:sz w:val="22"/>
          <w:szCs w:val="22"/>
        </w:rPr>
        <w:t xml:space="preserve">Section 2 presents the strategic context and national purpose of the Framework. Section 3 describes the overall MRV architecture — institutional tiers, functional layers, and guiding design principles. Sections 4, 5, and 6 address each functional layer in full: Ecological and Carbon Integrity, Environmental Pressure Surveillance, and Governance and Safeguard Assurance. Section 7 covers the Keta and Ada wetland ecosystem monitoring programme as designed in the Monitoring Plan. Section 8 describes the digital monitoring platform and its data flow architecture. Section 9 presents the Carbon Accounting Protocol and re-measurement cycle. Section 10 sets out the National Reporting and Disclosure Framework. Section 11 explains the role of Keta Lagoon Complex as the primary pilot implementation context within the national architecture. Section 12 provides an assessment of implementation maturity and the development pathway. Annex A registers pending deliverables and their target report sections.</w:t>
      </w:r>
    </w:p>
    <w:p>
      <w:pPr>
        <w:pStyle w:val="Heading1"/>
        <w:pageBreakBefore/>
        <w:spacing w:before="480" w:after="240"/>
      </w:pPr>
      <w:r>
        <w:rPr>
          <w:rFonts w:ascii="Arial" w:cs="Arial" w:eastAsia="Arial" w:hAnsi="Arial"/>
          <w:b/>
          <w:bCs/>
          <w:color w:val="1B4F72"/>
          <w:sz w:val="30"/>
          <w:szCs w:val="30"/>
        </w:rPr>
        <w:t xml:space="preserve">2.  Strategic Context and National Purpose</w:t>
      </w:r>
    </w:p>
    <w:p>
      <w:pPr>
        <w:pStyle w:val="Heading2"/>
        <w:spacing w:before="300" w:after="160"/>
      </w:pPr>
      <w:r>
        <w:rPr>
          <w:rFonts w:ascii="Arial" w:cs="Arial" w:eastAsia="Arial" w:hAnsi="Arial"/>
          <w:b/>
          <w:bCs/>
          <w:color w:val="1A6B7A"/>
          <w:sz w:val="26"/>
          <w:szCs w:val="26"/>
        </w:rPr>
        <w:t xml:space="preserve">2.1  West Africa's Coastal Crisis and Ghana's National Response</w:t>
      </w:r>
    </w:p>
    <w:p>
      <w:pPr>
        <w:spacing w:before="80" w:after="120" w:line="276"/>
        <w:jc w:val="both"/>
      </w:pPr>
      <w:r>
        <w:rPr>
          <w:rFonts w:ascii="Arial" w:cs="Arial" w:eastAsia="Arial" w:hAnsi="Arial"/>
          <w:b w:val="false"/>
          <w:bCs w:val="false"/>
          <w:i w:val="false"/>
          <w:iCs w:val="false"/>
          <w:color w:val="1A1A1A"/>
          <w:sz w:val="22"/>
          <w:szCs w:val="22"/>
        </w:rPr>
        <w:t xml:space="preserve">Ghana's 550-kilometre coastline has been under intensifying stress for decades. Coastal erosion, recurrent flooding, pollution, and the progressive degradation of critical wetland and mangrove ecosystems have combined to undermine the livelihoods, food security, and physical safety of communities that have historically depended on the health of this landscape. These are not isolated local problems. They reflect wider structural dynamics — including altered river hydrology, population growth and the expansion of extractive land uses — that are beyond the capacity of any individual district authority or coastal community to address alone.</w:t>
      </w:r>
    </w:p>
    <w:p>
      <w:pPr>
        <w:spacing w:before="80" w:after="120" w:line="276"/>
        <w:jc w:val="both"/>
      </w:pPr>
      <w:r>
        <w:rPr>
          <w:rFonts w:ascii="Arial" w:cs="Arial" w:eastAsia="Arial" w:hAnsi="Arial"/>
          <w:b w:val="false"/>
          <w:bCs w:val="false"/>
          <w:i w:val="false"/>
          <w:iCs w:val="false"/>
          <w:color w:val="1A1A1A"/>
          <w:sz w:val="22"/>
          <w:szCs w:val="22"/>
        </w:rPr>
        <w:t xml:space="preserve">It was in direct response to these shared pressures that the West Africa Coastal Areas Resilience Investment Project (WACA ResIP 2, World Bank Project P175625) was approved in December 2022, following requests from West African governments for regional-scale financing and technical support. WACA ResIP 2 operates across three beneficiary countries — Ghana, the Gambia, and Guinea-Bissau — and supports site-specific grey, green, and hybrid physical investments alongside community-level social subprojects. In Ghana, the project is led by the Ministry of Environment, Science, Technology and Innovation (MESTI), with direct support from the Ministry of Lands and Natural Resources (MLNR), the Wildlife Division of the Forestry Commission, the Ministry of Works and Housing, the Ghana Hydrological Authority, and the Environmental Protection Agency. The project's overarching objective is to strengthen the resilience of Ghana's coastal communities and to restore and protect critical coastal ecosystems that provide fisheries, income generation, storm buffering, and climate regulation services.</w:t>
      </w:r>
    </w:p>
    <w:p>
      <w:pPr>
        <w:spacing w:before="80" w:after="120" w:line="276"/>
        <w:jc w:val="both"/>
      </w:pPr>
      <w:r>
        <w:rPr>
          <w:rFonts w:ascii="Arial" w:cs="Arial" w:eastAsia="Arial" w:hAnsi="Arial"/>
          <w:b w:val="false"/>
          <w:bCs w:val="false"/>
          <w:i w:val="false"/>
          <w:iCs w:val="false"/>
          <w:color w:val="1A1A1A"/>
          <w:sz w:val="22"/>
          <w:szCs w:val="22"/>
        </w:rPr>
        <w:t xml:space="preserve">Central to Ghana's WACA programme is the recognition that blue carbon ecosystems — mangroves, tidal salt marshes, and seagrasses — represent a class of natural asset that delivers simultaneously across climate mitigation, biodiversity, and livelihood objectives. Unlocking the full value of these ecosystems requires a rigorous, credible, and institutionally durable monitoring, reporting, and verification system. The National Blue Carbon MRV Framework developed through this assignment is that system.</w:t>
      </w:r>
    </w:p>
    <w:p>
      <w:pPr>
        <w:pStyle w:val="Heading2"/>
        <w:spacing w:before="300" w:after="160"/>
      </w:pPr>
      <w:r>
        <w:rPr>
          <w:rFonts w:ascii="Arial" w:cs="Arial" w:eastAsia="Arial" w:hAnsi="Arial"/>
          <w:b/>
          <w:bCs/>
          <w:color w:val="1A6B7A"/>
          <w:sz w:val="26"/>
          <w:szCs w:val="26"/>
        </w:rPr>
        <w:t xml:space="preserve">2.2  The Scale of Ghana's Blue Carbon Resource</w:t>
      </w:r>
    </w:p>
    <w:p>
      <w:pPr>
        <w:spacing w:before="80" w:after="120" w:line="276"/>
        <w:jc w:val="both"/>
      </w:pPr>
      <w:r>
        <w:rPr>
          <w:rFonts w:ascii="Arial" w:cs="Arial" w:eastAsia="Arial" w:hAnsi="Arial"/>
          <w:b w:val="false"/>
          <w:bCs w:val="false"/>
          <w:i w:val="false"/>
          <w:iCs w:val="false"/>
          <w:color w:val="1A1A1A"/>
          <w:sz w:val="22"/>
          <w:szCs w:val="22"/>
        </w:rPr>
        <w:t xml:space="preserve">Scientific understanding of the extent of Ghana's blue carbon ecosystems has been substantially revised upward by the 2024 geospatial assessment conducted as part of this assignment. The new authoritative baseline, produced using Harmonised Sentinel-2 multispectral imagery at 10-to-20-metre spatial resolution, a Random Forest classification algorithm operating on Google Earth Engine, and 319 participatory ground-truth reference points, determined a total coastal mangrove extent of approximately 30,025 hectares. This represents 2.81% of the total coastal landscape assessed, which spans 1,068,361.48 hectares across 35 political districts.</w:t>
      </w:r>
    </w:p>
    <w:p>
      <w:pPr>
        <w:spacing w:before="80" w:after="120" w:line="276"/>
        <w:jc w:val="both"/>
      </w:pPr>
      <w:r>
        <w:rPr>
          <w:rFonts w:ascii="Arial" w:cs="Arial" w:eastAsia="Arial" w:hAnsi="Arial"/>
          <w:b w:val="false"/>
          <w:bCs w:val="false"/>
          <w:i w:val="false"/>
          <w:iCs w:val="false"/>
          <w:color w:val="1A1A1A"/>
          <w:sz w:val="22"/>
          <w:szCs w:val="22"/>
        </w:rPr>
        <w:t xml:space="preserve">The significance of this figure becomes clear when set against the range of previous national estimates, which varied from 7,240 hectares in a 2013 assessment to 18,100 hectares in a 1980 baseline. The new figure is not evidence of a sudden ecological expansion; it reflects a methodological advance. Where earlier assessments relied on 30-metre Landsat imagery, the 2024 analysis at 10-to-20-metre resolution was able to capture the narrow fringing stands, small fragmented patches, and regenerating margins that had been systematically missed or misclassified by coarser instruments. This distinction matters for MRV design: Ghana's mangrove resource is not a handful of large continuous forests but a mosaic of core stands and smaller fragments whose combined value is considerably greater than earlier records implied.</w:t>
      </w:r>
    </w:p>
    <w:p>
      <w:pPr>
        <w:spacing w:before="80" w:after="120" w:line="276"/>
        <w:jc w:val="both"/>
      </w:pPr>
      <w:r>
        <w:rPr>
          <w:rFonts w:ascii="Arial" w:cs="Arial" w:eastAsia="Arial" w:hAnsi="Arial"/>
          <w:b w:val="false"/>
          <w:bCs w:val="false"/>
          <w:i w:val="false"/>
          <w:iCs w:val="false"/>
          <w:color w:val="1A1A1A"/>
          <w:sz w:val="22"/>
          <w:szCs w:val="22"/>
        </w:rPr>
        <w:t xml:space="preserve">Blue carbon ecosystems are among the most productive carbon sinks on Earth. Although they cover less than two percent of the global ocean surface, they are estimated to store up to ten times more carbon per hectare than equivalent areas of terrestrial forest. This extraordinary storage density is attributable to the deep, oxygen-limited soils of tidal wetlands, where organic matter accumulates over centuries with minimal decomposition. In a national climate accounting context, each hectare of mangrove conserved or restored represents a disproportionately large contribution to Ghana's greenhouse gas balance, and each hectare lost releases a disproportionately large pulse of historical carbon into the atmosphere.</w:t>
      </w:r>
    </w:p>
    <w:p>
      <w:pPr>
        <w:pStyle w:val="Heading2"/>
        <w:spacing w:before="300" w:after="160"/>
      </w:pPr>
      <w:r>
        <w:rPr>
          <w:rFonts w:ascii="Arial" w:cs="Arial" w:eastAsia="Arial" w:hAnsi="Arial"/>
          <w:b/>
          <w:bCs/>
          <w:color w:val="1A6B7A"/>
          <w:sz w:val="26"/>
          <w:szCs w:val="26"/>
        </w:rPr>
        <w:t xml:space="preserve">2.3  The Landscape Concentration Risk: Keta, Songor, and Muni-Pomadze</w:t>
      </w:r>
    </w:p>
    <w:p>
      <w:pPr>
        <w:spacing w:before="80" w:after="120" w:line="276"/>
        <w:jc w:val="both"/>
      </w:pPr>
      <w:r>
        <w:rPr>
          <w:rFonts w:ascii="Arial" w:cs="Arial" w:eastAsia="Arial" w:hAnsi="Arial"/>
          <w:b w:val="false"/>
          <w:bCs w:val="false"/>
          <w:i w:val="false"/>
          <w:iCs w:val="false"/>
          <w:color w:val="1A1A1A"/>
          <w:sz w:val="22"/>
          <w:szCs w:val="22"/>
        </w:rPr>
        <w:t xml:space="preserve">The most strategically important finding of the 2024 geospatial assessment is the extreme concentration of Ghana's blue carbon resource within a single site. The Keta Lagoon Complex Ramsar Site, located in the Volta Region, contains an estimated 20,717.95 hectares of mangroves — approximately 69% of the entire national coastal mangrove total. This single ecosystem, characterised by large continuous stretches of Red Mangrove (Rhizophora racemosa) and Black Mangrove (Avicennia germinans) between the main lagoon body and the Volta River estuary, is not merely a site of local ecological importance. It is the central pillar of Ghana's national blue carbon strategy, the dominant contributor to any future national carbon accounting under the Paris Agreement, and the primary collateral for any carbon market engagement at scale.</w:t>
      </w:r>
    </w:p>
    <w:p>
      <w:pPr>
        <w:spacing w:before="80" w:after="120" w:line="276"/>
        <w:jc w:val="both"/>
      </w:pPr>
      <w:r>
        <w:rPr>
          <w:rFonts w:ascii="Arial" w:cs="Arial" w:eastAsia="Arial" w:hAnsi="Arial"/>
          <w:b w:val="false"/>
          <w:bCs w:val="false"/>
          <w:i w:val="false"/>
          <w:iCs w:val="false"/>
          <w:color w:val="1A1A1A"/>
          <w:sz w:val="22"/>
          <w:szCs w:val="22"/>
        </w:rPr>
        <w:t xml:space="preserve">The other two focal Ramsar sites present a sharply contrasting picture. The Songor Ramsar Site and UNESCO Biosphere Reserve, despite its internationally designated status, was found to contain only 465.76 hectares of mangroves — 2% of the national total — distributed as small, fragmented patches across a landscape increasingly dominated by salt pans. The expansion of industrial and artisanal salt production at Elavanyo, Obane, and surrounding areas has systematically displaced mangrove cover over recent decades, a process that the new GIS landcover maps document with stark spatial clarity. At Muni-Pomadze, the 2024 assessment concluded that the extent of mangrove cover was ecologically insignificant: small degraded fringes persist, but they do not form a functionally mappable ecosystem. Muni-Pomadze is not, in MRV terms, a conservation site. It is a restoration landscape — a priority zone for ecosystem re-establishment rather than carbon stock protection.</w:t>
      </w:r>
    </w:p>
    <w:p>
      <w:pPr>
        <w:spacing w:before="80" w:after="120" w:line="276"/>
        <w:jc w:val="both"/>
      </w:pPr>
      <w:r>
        <w:rPr>
          <w:rFonts w:ascii="Arial" w:cs="Arial" w:eastAsia="Arial" w:hAnsi="Arial"/>
          <w:b w:val="false"/>
          <w:bCs w:val="false"/>
          <w:i w:val="false"/>
          <w:iCs w:val="false"/>
          <w:color w:val="1A1A1A"/>
          <w:sz w:val="22"/>
          <w:szCs w:val="22"/>
        </w:rPr>
        <w:t xml:space="preserve">This concentration of national value within the Keta Lagoon Complex shapes every aspect of the MRV Framework's design priorities. Any significant deterioration of the Keta ecosystem is not a local environmental problem: it is a strategic risk to Ghana's ability to meet its climate targets, sustain the livelihoods of tens of thousands of coastal households, and participate in international carbon finance mechanisms. The Framework accordingly treats the integrity of the Keta landscape as a primary monitoring priority.</w:t>
      </w:r>
    </w:p>
    <w:p>
      <w:pPr>
        <w:pStyle w:val="Heading2"/>
        <w:spacing w:before="300" w:after="160"/>
      </w:pPr>
      <w:r>
        <w:rPr>
          <w:rFonts w:ascii="Arial" w:cs="Arial" w:eastAsia="Arial" w:hAnsi="Arial"/>
          <w:b/>
          <w:bCs/>
          <w:color w:val="1A6B7A"/>
          <w:sz w:val="26"/>
          <w:szCs w:val="26"/>
        </w:rPr>
        <w:t xml:space="preserve">2.4  The Drivers of Degradation</w:t>
      </w:r>
    </w:p>
    <w:p>
      <w:pPr>
        <w:spacing w:before="80" w:after="120" w:line="276"/>
        <w:jc w:val="both"/>
      </w:pPr>
      <w:r>
        <w:rPr>
          <w:rFonts w:ascii="Arial" w:cs="Arial" w:eastAsia="Arial" w:hAnsi="Arial"/>
          <w:b w:val="false"/>
          <w:bCs w:val="false"/>
          <w:i w:val="false"/>
          <w:iCs w:val="false"/>
          <w:color w:val="1A1A1A"/>
          <w:sz w:val="22"/>
          <w:szCs w:val="22"/>
        </w:rPr>
        <w:t xml:space="preserve">The socio-economic baseline conducted across 37 coastal communities between June and August 2025 documented a livelihood system profoundly dependent on mangrove resources. More than 70% of households in the study communities rely on mangrove-linked activities — primarily fish smoking, fuelwood harvesting, and salt production — as their primary source of income or subsistence. At the Keta Lagoon Complex, this dependency has generated an intense and structurally embedded demand for mangrove wood. Thousands of fish-smoking kilns operating in communities including Agbatsivi, Galotse, Bomigo, Salo, and Dzita use mangrove wood — particularly Rhizophora — as their preferred fuel source for its burning characteristics. This demand creates a relentless harvesting pressure on the very ecosystem that sustains the fisheries on which the entire local economy depends: a social-ecological trap in which the practices required to maintain livelihoods progressively undermine the ecological foundations that make those livelihoods possible.</w:t>
      </w:r>
    </w:p>
    <w:p>
      <w:pPr>
        <w:spacing w:before="80" w:after="120" w:line="276"/>
        <w:jc w:val="both"/>
      </w:pPr>
      <w:r>
        <w:rPr>
          <w:rFonts w:ascii="Arial" w:cs="Arial" w:eastAsia="Arial" w:hAnsi="Arial"/>
          <w:b w:val="false"/>
          <w:bCs w:val="false"/>
          <w:i w:val="false"/>
          <w:iCs w:val="false"/>
          <w:color w:val="1A1A1A"/>
          <w:sz w:val="22"/>
          <w:szCs w:val="22"/>
        </w:rPr>
        <w:t xml:space="preserve">Superimposed on this community-level pressure is a landscape-scale driver that operates entirely outside the project's sphere of direct influence. The construction of the Akosombo Dam in 1964, located 60 kilometres upstream of the Volta River estuary, has trapped over 90% of the river's natural sediment load. This has transformed the Volta Delta from a sediment-rich, prograding system into a wave-dominated, eroding one, triggering significant and ongoing coastal retreat along the narrow sandspit that separates the Keta Lagoon from the Atlantic Ocean. The long-term structural stability of the 20,717.95-hectare mangrove ecosystem at Keta is inseparable from the geomorphological integrity of this coastal barrier, which continues to retreat under the combined forces of sediment starvation and Atlantic wave energy. Historical analysis puts the deforestation rate at the Keta Lagoon at 2.15% per year — a trajectory that, if unchecked, would represent a substantial and accelerating loss of the country's most significant blue carbon asset.</w:t>
      </w:r>
    </w:p>
    <w:p>
      <w:pPr>
        <w:spacing w:before="80" w:after="120" w:line="276"/>
        <w:jc w:val="both"/>
      </w:pPr>
      <w:r>
        <w:rPr>
          <w:rFonts w:ascii="Arial" w:cs="Arial" w:eastAsia="Arial" w:hAnsi="Arial"/>
          <w:b w:val="false"/>
          <w:bCs w:val="false"/>
          <w:i w:val="false"/>
          <w:iCs w:val="false"/>
          <w:color w:val="1A1A1A"/>
          <w:sz w:val="22"/>
          <w:szCs w:val="22"/>
        </w:rPr>
        <w:t xml:space="preserve">At Songor, the primary driver of loss is not fuelwood demand but land conversion for salt extraction. The socio-economic data documents widespread mangrove clearance to extend salt pans, a process driven by the economic returns from commercial salt mining and by the relatively weak enforcement of conservation regulations within the Ramsar site boundary. At Muni-Pomadze, the near-complete loss of mangrove cover reflects a longer history of degradation from agricultural encroachment, charcoal production from upland forests, and an absence of sustained community conservation governance. The project communities here have more diversified livelihoods with lower direct mangrove dependency, but the restoration imperative is correspondingly greater.</w:t>
      </w:r>
    </w:p>
    <w:p>
      <w:pPr>
        <w:pStyle w:val="Heading2"/>
        <w:spacing w:before="300" w:after="160"/>
      </w:pPr>
      <w:r>
        <w:rPr>
          <w:rFonts w:ascii="Arial" w:cs="Arial" w:eastAsia="Arial" w:hAnsi="Arial"/>
          <w:b/>
          <w:bCs/>
          <w:color w:val="1A6B7A"/>
          <w:sz w:val="26"/>
          <w:szCs w:val="26"/>
        </w:rPr>
        <w:t xml:space="preserve">2.5  Ghana's Climate, Biodiversity, and Carbon Market Obligations</w:t>
      </w:r>
    </w:p>
    <w:p>
      <w:pPr>
        <w:spacing w:before="80" w:after="120" w:line="276"/>
        <w:jc w:val="both"/>
      </w:pPr>
      <w:r>
        <w:rPr>
          <w:rFonts w:ascii="Arial" w:cs="Arial" w:eastAsia="Arial" w:hAnsi="Arial"/>
          <w:b w:val="false"/>
          <w:bCs w:val="false"/>
          <w:i w:val="false"/>
          <w:iCs w:val="false"/>
          <w:color w:val="1A1A1A"/>
          <w:sz w:val="22"/>
          <w:szCs w:val="22"/>
        </w:rPr>
        <w:t xml:space="preserve">Ghana is a signatory to the Paris Agreement and has formalised its climate commitments through Nationally Determined Contributions (NDCs) that recognise the land sector — including blue carbon ecosystems — as holding the largest national potential for CO2 removals. Blue carbon conservation and restoration is explicitly identified within Ghana's climate strategy as a mechanism for achieving land sector contributions to national emissions reduction targets. This is not an aspirational alignment: it creates a formal reporting obligation. If Ghana's mangrove ecosystems are degrading, or if the carbon stored in those ecosystems is being released through uncontrolled land conversion, that must be accounted for in national greenhouse gas inventories. The MRV Framework is the institutional mechanism through which that accounting becomes possible.</w:t>
      </w:r>
    </w:p>
    <w:p>
      <w:pPr>
        <w:spacing w:before="80" w:after="120" w:line="276"/>
        <w:jc w:val="both"/>
      </w:pPr>
      <w:r>
        <w:rPr>
          <w:rFonts w:ascii="Arial" w:cs="Arial" w:eastAsia="Arial" w:hAnsi="Arial"/>
          <w:b w:val="false"/>
          <w:bCs w:val="false"/>
          <w:i w:val="false"/>
          <w:iCs w:val="false"/>
          <w:color w:val="1A1A1A"/>
          <w:sz w:val="22"/>
          <w:szCs w:val="22"/>
        </w:rPr>
        <w:t xml:space="preserve">Ghana is also a signatory to the Convention on Biological Diversity (CBD) and is committed to meeting the targets of the Kunming-Montreal Global Biodiversity Framework (GBF), which include the protection of 30% of land and ocean areas by 2030. The three Ramsar-designated sites — Keta Lagoon Complex, Songor Ramsar Site and UNESCO Biosphere Reserve, and Muni-Pomadze Ramsar Site — carry specific international conservation obligations under the Ramsar Convention. Meeting these obligations requires not only policy commitment but operational monitoring capacity: the ability to detect change, attribute cause, and demonstrate the effectiveness of management interventions. The MRV Framework provides that capacity.</w:t>
      </w:r>
    </w:p>
    <w:p>
      <w:pPr>
        <w:spacing w:before="80" w:after="120" w:line="276"/>
        <w:jc w:val="both"/>
      </w:pPr>
      <w:r>
        <w:rPr>
          <w:rFonts w:ascii="Arial" w:cs="Arial" w:eastAsia="Arial" w:hAnsi="Arial"/>
          <w:b w:val="false"/>
          <w:bCs w:val="false"/>
          <w:i w:val="false"/>
          <w:iCs w:val="false"/>
          <w:color w:val="1A1A1A"/>
          <w:sz w:val="22"/>
          <w:szCs w:val="22"/>
        </w:rPr>
        <w:t xml:space="preserve">Beyond national climate reporting and biodiversity convention compliance, there is a growing interest in positioning Ghana's blue carbon assets for participation in international voluntary and compliance carbon markets. Standards such as the Verified Carbon Standard (Verra/VCS), Gold Standard, and Plan Vivo require projects to demonstrate carbon additionality, permanence, and the avoidance of leakage against a credible quantified baseline. The 2024-2025 national baseline package — including the high-resolution mangrove extent maps, carbon inventory data from Permanent Sample Plots, and the ecosystem pressure and governance assessments — has been explicitly designed to meet the foundational data requirements of these standards. The MRV Framework that builds on this baseline ensures that Ghana's monitoring and reporting infrastructure is market-ready, providing the technical credibility and audit trail necessary for any future carbon credit issuance.</w:t>
      </w:r>
    </w:p>
    <w:p>
      <w:pPr>
        <w:pStyle w:val="Heading2"/>
        <w:spacing w:before="300" w:after="160"/>
      </w:pPr>
      <w:r>
        <w:rPr>
          <w:rFonts w:ascii="Arial" w:cs="Arial" w:eastAsia="Arial" w:hAnsi="Arial"/>
          <w:b/>
          <w:bCs/>
          <w:color w:val="1A6B7A"/>
          <w:sz w:val="26"/>
          <w:szCs w:val="26"/>
        </w:rPr>
        <w:t xml:space="preserve">2.6  The 2025 National Baseline as the Year 0 Foundation</w:t>
      </w:r>
    </w:p>
    <w:p>
      <w:pPr>
        <w:spacing w:before="80" w:after="120" w:line="276"/>
        <w:jc w:val="both"/>
      </w:pPr>
      <w:r>
        <w:rPr>
          <w:rFonts w:ascii="Arial" w:cs="Arial" w:eastAsia="Arial" w:hAnsi="Arial"/>
          <w:b w:val="false"/>
          <w:bCs w:val="false"/>
          <w:i w:val="false"/>
          <w:iCs w:val="false"/>
          <w:color w:val="1A1A1A"/>
          <w:sz w:val="22"/>
          <w:szCs w:val="22"/>
        </w:rPr>
        <w:t xml:space="preserve">The MESTI and MLNR commission to Ecological Nest Ltd under WACA ResIP 2 produced a six-workstream national baseline package, with the primary field and analytical work completed between June and August 2025. The six workstreams — Geospatial Mangrove Extent Mapping, Carbon Inventory and Permanent Sample Plot Establishment, Ecosystem Health Assessment, Environmental Pressure and Community Dependency Assessment, Governance Readiness Evaluation, and Socio-Economic Profiling — together constitute the Year 0 reference package for the MRV system. This is the anchor against which all subsequent monitoring — carbon stock changes, restoration performance, pressure trends, and governance effectiveness — will be benchmarked.</w:t>
      </w:r>
    </w:p>
    <w:p>
      <w:pPr>
        <w:spacing w:before="80" w:after="120" w:line="276"/>
        <w:jc w:val="both"/>
      </w:pPr>
      <w:r>
        <w:rPr>
          <w:rFonts w:ascii="Arial" w:cs="Arial" w:eastAsia="Arial" w:hAnsi="Arial"/>
          <w:b w:val="false"/>
          <w:bCs w:val="false"/>
          <w:i w:val="false"/>
          <w:iCs w:val="false"/>
          <w:color w:val="1A1A1A"/>
          <w:sz w:val="22"/>
          <w:szCs w:val="22"/>
        </w:rPr>
        <w:t xml:space="preserve">The breadth and integration of this baseline package is a significant institutional achievement. For the first time, Ghana possesses a spatially explicit, technically defensible, and socially validated national assessment of its blue carbon ecosystems that is capable of supporting both domestic policy reporting and international carbon market engagement. The 2025 package covers 1,068,361.48 hectares of coastal landscape across 35 districts, integrates 319 ground-truth reference points into its geospatial analysis, profiles 37 coastal communities in depth, and establishes a national monitoring station network of 57 sampling stations at Keta and 23 at Ada. The MRV Framework documented in this report is the institutional and technical instrument that transforms this baseline investment into a durable, long-term national monitoring capacity.</w:t>
      </w:r>
    </w:p>
    <w:p>
      <w:pPr>
        <w:pStyle w:val="Heading1"/>
        <w:pageBreakBefore/>
        <w:spacing w:before="480" w:after="240"/>
      </w:pPr>
      <w:r>
        <w:rPr>
          <w:rFonts w:ascii="Arial" w:cs="Arial" w:eastAsia="Arial" w:hAnsi="Arial"/>
          <w:b/>
          <w:bCs/>
          <w:color w:val="1B4F72"/>
          <w:sz w:val="30"/>
          <w:szCs w:val="30"/>
        </w:rPr>
        <w:t xml:space="preserve">3.  National MRV Architecture</w:t>
      </w:r>
    </w:p>
    <w:p>
      <w:pPr>
        <w:spacing w:before="80" w:after="120" w:line="276"/>
        <w:jc w:val="both"/>
      </w:pPr>
      <w:r>
        <w:rPr>
          <w:rFonts w:ascii="Arial" w:cs="Arial" w:eastAsia="Arial" w:hAnsi="Arial"/>
          <w:b w:val="false"/>
          <w:bCs w:val="false"/>
          <w:i w:val="false"/>
          <w:iCs w:val="false"/>
          <w:color w:val="1A1A1A"/>
          <w:sz w:val="22"/>
          <w:szCs w:val="22"/>
        </w:rPr>
        <w:t xml:space="preserve">The National Blue Carbon MRV Framework is structured as an integrated, multi-layered system operating across four coordinated institutional tiers and three functional monitoring layers. These are held together by a web-based digital platform that enables continuous oversight, transparent reporting, and institutional accountability.</w:t>
      </w:r>
    </w:p>
    <w:p>
      <w:pPr>
        <w:pStyle w:val="Heading2"/>
        <w:spacing w:before="300" w:after="160"/>
      </w:pPr>
      <w:r>
        <w:rPr>
          <w:rFonts w:ascii="Arial" w:cs="Arial" w:eastAsia="Arial" w:hAnsi="Arial"/>
          <w:b/>
          <w:bCs/>
          <w:color w:val="1A6B7A"/>
          <w:sz w:val="26"/>
          <w:szCs w:val="26"/>
        </w:rPr>
        <w:t xml:space="preserve">3.1  Institutional Tiers</w:t>
      </w:r>
    </w:p>
    <w:p>
      <w:pPr>
        <w:pStyle w:val="Heading3"/>
        <w:spacing w:before="240" w:after="120"/>
      </w:pPr>
      <w:r>
        <w:rPr>
          <w:rFonts w:ascii="Arial" w:cs="Arial" w:eastAsia="Arial" w:hAnsi="Arial"/>
          <w:b/>
          <w:bCs/>
          <w:color w:val="1B4F72"/>
          <w:sz w:val="24"/>
          <w:szCs w:val="24"/>
        </w:rPr>
        <w:t xml:space="preserve">Community Level</w:t>
      </w:r>
    </w:p>
    <w:p>
      <w:pPr>
        <w:spacing w:before="80" w:after="120" w:line="276"/>
        <w:jc w:val="both"/>
      </w:pPr>
      <w:r>
        <w:rPr>
          <w:rFonts w:ascii="Arial" w:cs="Arial" w:eastAsia="Arial" w:hAnsi="Arial"/>
          <w:b w:val="false"/>
          <w:bCs w:val="false"/>
          <w:i w:val="false"/>
          <w:iCs w:val="false"/>
          <w:color w:val="1A1A1A"/>
          <w:sz w:val="22"/>
          <w:szCs w:val="22"/>
        </w:rPr>
        <w:t xml:space="preserve">Community Resource Management Areas (CREMAs) and trained Community Change Agents (CCAs) form the primary field observation layer. At community level, the MRV system relies on CREMAs and CCAs for the detection and recording of restoration activity, environmental pressure signals, and governance-related indicators. Specific responsibilities include plot access maintenance, Diameter at Breast Height (DBH) measurement support, visual disturbance documentation, restoration survival checks, and quarterly and annual indicator recording in accordance with established field protocols.</w:t>
      </w:r>
    </w:p>
    <w:p>
      <w:pPr>
        <w:spacing w:before="80" w:after="120" w:line="276"/>
        <w:jc w:val="both"/>
      </w:pPr>
      <w:r>
        <w:rPr>
          <w:rFonts w:ascii="Arial" w:cs="Arial" w:eastAsia="Arial" w:hAnsi="Arial"/>
          <w:b w:val="false"/>
          <w:bCs w:val="false"/>
          <w:i w:val="false"/>
          <w:iCs w:val="false"/>
          <w:color w:val="1A1A1A"/>
          <w:sz w:val="22"/>
          <w:szCs w:val="22"/>
        </w:rPr>
        <w:t xml:space="preserve">CREMAs received training through field demonstration during the 2025 assessment process. Community Change Agents operate within designated monitoring zones referenced to GIS-prepared supervised maps, and quarterly data collection is anchored to the sampling station network designed for key wetland sites.</w:t>
      </w:r>
    </w:p>
    <w:p>
      <w:pPr>
        <w:pStyle w:val="Heading3"/>
        <w:spacing w:before="240" w:after="120"/>
      </w:pPr>
      <w:r>
        <w:rPr>
          <w:rFonts w:ascii="Arial" w:cs="Arial" w:eastAsia="Arial" w:hAnsi="Arial"/>
          <w:b/>
          <w:bCs/>
          <w:color w:val="1B4F72"/>
          <w:sz w:val="24"/>
          <w:szCs w:val="24"/>
        </w:rPr>
        <w:t xml:space="preserve">District Level</w:t>
      </w:r>
    </w:p>
    <w:p>
      <w:pPr>
        <w:spacing w:before="80" w:after="120" w:line="276"/>
        <w:jc w:val="both"/>
      </w:pPr>
      <w:r>
        <w:rPr>
          <w:rFonts w:ascii="Arial" w:cs="Arial" w:eastAsia="Arial" w:hAnsi="Arial"/>
          <w:b w:val="false"/>
          <w:bCs w:val="false"/>
          <w:i w:val="false"/>
          <w:iCs w:val="false"/>
          <w:color w:val="1A1A1A"/>
          <w:sz w:val="22"/>
          <w:szCs w:val="22"/>
        </w:rPr>
        <w:t xml:space="preserve">Metropolitan, Municipal and District Assemblies (MMDAs), together with the Wildlife Division of the Forestry Commission, consolidate and validate field data submitted by CREMAs and CCAs. District authorities are responsible for reviewing environmental pressure trends, facilitating conflict mediation, escalating risks to national level where thresholds are reached, and submitting consolidated annual reports to MLNR and MEST.</w:t>
      </w:r>
    </w:p>
    <w:p>
      <w:pPr>
        <w:spacing w:before="80" w:after="120" w:line="276"/>
        <w:jc w:val="both"/>
      </w:pPr>
      <w:r>
        <w:rPr>
          <w:rFonts w:ascii="Arial" w:cs="Arial" w:eastAsia="Arial" w:hAnsi="Arial"/>
          <w:b w:val="false"/>
          <w:bCs w:val="false"/>
          <w:i w:val="false"/>
          <w:iCs w:val="false"/>
          <w:color w:val="1A1A1A"/>
          <w:sz w:val="22"/>
          <w:szCs w:val="22"/>
        </w:rPr>
        <w:t xml:space="preserve">The Wildlife Division plays a central validation role within the field-observation and ecosystem-monitoring components of the system, particularly in relation to restoration site verification and environmental pressure confirmation.</w:t>
      </w:r>
    </w:p>
    <w:p>
      <w:pPr>
        <w:pStyle w:val="Heading3"/>
        <w:spacing w:before="240" w:after="120"/>
      </w:pPr>
      <w:r>
        <w:rPr>
          <w:rFonts w:ascii="Arial" w:cs="Arial" w:eastAsia="Arial" w:hAnsi="Arial"/>
          <w:b/>
          <w:bCs/>
          <w:color w:val="1B4F72"/>
          <w:sz w:val="24"/>
          <w:szCs w:val="24"/>
        </w:rPr>
        <w:t xml:space="preserve">National Technical Level</w:t>
      </w:r>
    </w:p>
    <w:p>
      <w:pPr>
        <w:spacing w:before="80" w:after="120" w:line="276"/>
        <w:jc w:val="both"/>
      </w:pPr>
      <w:r>
        <w:rPr>
          <w:rFonts w:ascii="Arial" w:cs="Arial" w:eastAsia="Arial" w:hAnsi="Arial"/>
          <w:b w:val="false"/>
          <w:bCs w:val="false"/>
          <w:i w:val="false"/>
          <w:iCs w:val="false"/>
          <w:color w:val="1A1A1A"/>
          <w:sz w:val="22"/>
          <w:szCs w:val="22"/>
        </w:rPr>
        <w:t xml:space="preserve">The Ministry of Lands and Natural Resources (MLNR) and Ministry of Environment, Science and Technology (MEST), together with the Forestry Commission, carry principal technical responsibility for the national MRV system. Responsibilities at this tier include GIS and satellite analysis, carbon stock calculation and re-measurement oversight, QA/QC across all monitoring workstreams, national data archiving, platform administration, and the production of the Annual National Blue Carbon MRV Report.</w:t>
      </w:r>
    </w:p>
    <w:p>
      <w:pPr>
        <w:pStyle w:val="Heading3"/>
        <w:spacing w:before="240" w:after="120"/>
      </w:pPr>
      <w:r>
        <w:rPr>
          <w:rFonts w:ascii="Arial" w:cs="Arial" w:eastAsia="Arial" w:hAnsi="Arial"/>
          <w:b/>
          <w:bCs/>
          <w:color w:val="1B4F72"/>
          <w:sz w:val="24"/>
          <w:szCs w:val="24"/>
        </w:rPr>
        <w:t xml:space="preserve">Independent Review</w:t>
      </w:r>
    </w:p>
    <w:p>
      <w:pPr>
        <w:spacing w:before="80" w:after="120" w:line="276"/>
        <w:jc w:val="both"/>
      </w:pPr>
      <w:r>
        <w:rPr>
          <w:rFonts w:ascii="Arial" w:cs="Arial" w:eastAsia="Arial" w:hAnsi="Arial"/>
          <w:b w:val="false"/>
          <w:bCs w:val="false"/>
          <w:i w:val="false"/>
          <w:iCs w:val="false"/>
          <w:color w:val="1A1A1A"/>
          <w:sz w:val="22"/>
          <w:szCs w:val="22"/>
        </w:rPr>
        <w:t xml:space="preserve">Independent verification is included in the framework where required — specifically in contexts involving carbon market participation, third-party assurance, or donor audit requirements. Independent review is intended to complement, not replace, national institutional ownership of the monitoring and reporting process. The framework explicitly preserves the primacy of national data stewardship while providing for external credibility assurance where required by programme arrangements.</w:t>
      </w:r>
    </w:p>
    <w:p>
      <w:pPr>
        <w:pStyle w:val="Heading2"/>
        <w:spacing w:before="300" w:after="160"/>
      </w:pPr>
      <w:r>
        <w:rPr>
          <w:rFonts w:ascii="Arial" w:cs="Arial" w:eastAsia="Arial" w:hAnsi="Arial"/>
          <w:b/>
          <w:bCs/>
          <w:color w:val="1A6B7A"/>
          <w:sz w:val="26"/>
          <w:szCs w:val="26"/>
        </w:rPr>
        <w:t xml:space="preserve">3.2  Functional Layers</w:t>
      </w:r>
    </w:p>
    <w:p>
      <w:pPr>
        <w:spacing w:before="80" w:after="120" w:line="276"/>
        <w:jc w:val="both"/>
      </w:pPr>
      <w:r>
        <w:rPr>
          <w:rFonts w:ascii="Arial" w:cs="Arial" w:eastAsia="Arial" w:hAnsi="Arial"/>
          <w:b w:val="false"/>
          <w:bCs w:val="false"/>
          <w:i w:val="false"/>
          <w:iCs w:val="false"/>
          <w:color w:val="1A1A1A"/>
          <w:sz w:val="22"/>
          <w:szCs w:val="22"/>
        </w:rPr>
        <w:t xml:space="preserve">The Framework operates through three integrated functional layers, each addressing a distinct dimension of blue carbon integrity.</w:t>
      </w:r>
    </w:p>
    <w:p>
      <w:pPr>
        <w:spacing w:before="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c>
          <w:tcPr>
            <w:tcW w:type="dxa" w:w="26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Layer</w:t>
            </w:r>
          </w:p>
        </w:tc>
        <w:tc>
          <w:tcPr>
            <w:tcW w:type="dxa" w:w="36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Focus</w:t>
            </w:r>
          </w:p>
        </w:tc>
        <w:tc>
          <w:tcPr>
            <w:tcW w:type="dxa" w:w="3438"/>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Key outputs</w:t>
            </w:r>
          </w:p>
        </w:tc>
      </w:tr>
      <w:tr>
        <w:tc>
          <w:tcPr>
            <w:tcW w:type="dxa" w:w="26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Layer I — Ecological and Carbon Integrity</w:t>
            </w:r>
          </w:p>
        </w:tc>
        <w:tc>
          <w:tcPr>
            <w:tcW w:type="dxa" w:w="36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Mangrove extent, restoration performance, carbon stocks, and long-term ecosystem asset integrity</w:t>
            </w:r>
          </w:p>
        </w:tc>
        <w:tc>
          <w:tcPr>
            <w:tcW w:type="dxa" w:w="34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Annual extent change maps, restoration performance records, carbon stock updates, PSP measurement archives</w:t>
            </w:r>
          </w:p>
        </w:tc>
      </w:tr>
      <w:tr>
        <w:tc>
          <w:tcPr>
            <w:tcW w:type="dxa" w:w="26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Layer II — Environmental Pressure Surveillance</w:t>
            </w:r>
          </w:p>
        </w:tc>
        <w:tc>
          <w:tcPr>
            <w:tcW w:type="dxa" w:w="36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Drivers of degradation, early warning signals, and leakage risk management</w:t>
            </w:r>
          </w:p>
        </w:tc>
        <w:tc>
          <w:tcPr>
            <w:tcW w:type="dxa" w:w="34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Pressure indicator summaries, alert flags, hotspot maps, escalation records</w:t>
            </w:r>
          </w:p>
        </w:tc>
      </w:tr>
      <w:tr>
        <w:tc>
          <w:tcPr>
            <w:tcW w:type="dxa" w:w="26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Layer III — Governance and Safeguard Assurance</w:t>
            </w:r>
          </w:p>
        </w:tc>
        <w:tc>
          <w:tcPr>
            <w:tcW w:type="dxa" w:w="36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Inclusive participation, benefit transparency, conflict monitoring, and grievance redress</w:t>
            </w:r>
          </w:p>
        </w:tc>
        <w:tc>
          <w:tcPr>
            <w:tcW w:type="dxa" w:w="34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Governance composition data, grievance logs, benefit-sharing records, conflict mediation outcomes</w:t>
            </w:r>
          </w:p>
        </w:tc>
      </w:tr>
    </w:tbl>
    <w:p>
      <w:pPr>
        <w:spacing w:before="0" w:after="120"/>
      </w:pPr>
      <w:r>
        <w:t xml:space="preserve"/>
      </w:r>
    </w:p>
    <w:p>
      <w:pPr>
        <w:spacing w:before="80" w:after="120" w:line="276"/>
        <w:jc w:val="both"/>
      </w:pPr>
      <w:r>
        <w:rPr>
          <w:rFonts w:ascii="Arial" w:cs="Arial" w:eastAsia="Arial" w:hAnsi="Arial"/>
          <w:b w:val="false"/>
          <w:bCs w:val="false"/>
          <w:i w:val="false"/>
          <w:iCs w:val="false"/>
          <w:color w:val="1A1A1A"/>
          <w:sz w:val="22"/>
          <w:szCs w:val="22"/>
        </w:rPr>
        <w:t xml:space="preserve">These layers are not designed to operate in isolation. Governance instability, for example, is treated as a risk signal for ecological and carbon integrity. Environmental pressure data is cross-referenced against PSP locations and carbon stock projections. Carbon risk assessments incorporate governance and safeguard performance as contributing factors. The layers function as an integrated national monitoring system.</w:t>
      </w:r>
    </w:p>
    <w:p>
      <w:pPr>
        <w:pStyle w:val="Heading2"/>
        <w:spacing w:before="300" w:after="160"/>
      </w:pPr>
      <w:r>
        <w:rPr>
          <w:rFonts w:ascii="Arial" w:cs="Arial" w:eastAsia="Arial" w:hAnsi="Arial"/>
          <w:b/>
          <w:bCs/>
          <w:color w:val="1A6B7A"/>
          <w:sz w:val="26"/>
          <w:szCs w:val="26"/>
        </w:rPr>
        <w:t xml:space="preserve">3.3  Guiding Principles</w:t>
      </w:r>
    </w:p>
    <w:p>
      <w:pPr>
        <w:pStyle w:val="Heading3"/>
        <w:spacing w:before="240" w:after="120"/>
      </w:pPr>
      <w:r>
        <w:rPr>
          <w:rFonts w:ascii="Arial" w:cs="Arial" w:eastAsia="Arial" w:hAnsi="Arial"/>
          <w:b/>
          <w:bCs/>
          <w:color w:val="1B4F72"/>
          <w:sz w:val="24"/>
          <w:szCs w:val="24"/>
        </w:rPr>
        <w:t xml:space="preserve">Institutional Permanence</w:t>
      </w:r>
    </w:p>
    <w:p>
      <w:pPr>
        <w:spacing w:before="80" w:after="120" w:line="276"/>
        <w:jc w:val="both"/>
      </w:pPr>
      <w:r>
        <w:rPr>
          <w:rFonts w:ascii="Arial" w:cs="Arial" w:eastAsia="Arial" w:hAnsi="Arial"/>
          <w:b w:val="false"/>
          <w:bCs w:val="false"/>
          <w:i w:val="false"/>
          <w:iCs w:val="false"/>
          <w:color w:val="1A1A1A"/>
          <w:sz w:val="22"/>
          <w:szCs w:val="22"/>
        </w:rPr>
        <w:t xml:space="preserve">The MRV system is designed as a long-term national framework. Any project using the framework applies site-specific baselines within the national architecture. The framework itself is not bound to any single project cycle or funding instrument.</w:t>
      </w:r>
    </w:p>
    <w:p>
      <w:pPr>
        <w:pStyle w:val="Heading3"/>
        <w:spacing w:before="240" w:after="120"/>
      </w:pPr>
      <w:r>
        <w:rPr>
          <w:rFonts w:ascii="Arial" w:cs="Arial" w:eastAsia="Arial" w:hAnsi="Arial"/>
          <w:b/>
          <w:bCs/>
          <w:color w:val="1B4F72"/>
          <w:sz w:val="24"/>
          <w:szCs w:val="24"/>
        </w:rPr>
        <w:t xml:space="preserve">Technical Credibility</w:t>
      </w:r>
    </w:p>
    <w:p>
      <w:pPr>
        <w:spacing w:before="80" w:after="120" w:line="276"/>
        <w:jc w:val="both"/>
      </w:pPr>
      <w:r>
        <w:rPr>
          <w:rFonts w:ascii="Arial" w:cs="Arial" w:eastAsia="Arial" w:hAnsi="Arial"/>
          <w:b w:val="false"/>
          <w:bCs w:val="false"/>
          <w:i w:val="false"/>
          <w:iCs w:val="false"/>
          <w:color w:val="1A1A1A"/>
          <w:sz w:val="22"/>
          <w:szCs w:val="22"/>
        </w:rPr>
        <w:t xml:space="preserve">Carbon measurement and ecological monitoring are aligned with internationally recognised methodologies and IPCC good practice. Minimum Protocols and a Manual of Procedures are provided to guide replication, validation, and verification across all workstreams.</w:t>
      </w:r>
    </w:p>
    <w:p>
      <w:pPr>
        <w:pStyle w:val="Heading3"/>
        <w:spacing w:before="240" w:after="120"/>
      </w:pPr>
      <w:r>
        <w:rPr>
          <w:rFonts w:ascii="Arial" w:cs="Arial" w:eastAsia="Arial" w:hAnsi="Arial"/>
          <w:b/>
          <w:bCs/>
          <w:color w:val="1B4F72"/>
          <w:sz w:val="24"/>
          <w:szCs w:val="24"/>
        </w:rPr>
        <w:t xml:space="preserve">Digital Integration</w:t>
      </w:r>
    </w:p>
    <w:p>
      <w:pPr>
        <w:spacing w:before="80" w:after="120" w:line="276"/>
        <w:jc w:val="both"/>
      </w:pPr>
      <w:r>
        <w:rPr>
          <w:rFonts w:ascii="Arial" w:cs="Arial" w:eastAsia="Arial" w:hAnsi="Arial"/>
          <w:b w:val="false"/>
          <w:bCs w:val="false"/>
          <w:i w:val="false"/>
          <w:iCs w:val="false"/>
          <w:color w:val="1A1A1A"/>
          <w:sz w:val="22"/>
          <w:szCs w:val="22"/>
        </w:rPr>
        <w:t xml:space="preserve">A web-based spatial monitoring platform hosts restoration potential areas, ecologically sensitive zones, Permanent Sample Plot locations, weekly satellite imagery feeds, and spatial change detection analytics. Access is managed at national level while enabling authorised district and community-level access through smartphone-compatible interfaces.</w:t>
      </w:r>
    </w:p>
    <w:p>
      <w:pPr>
        <w:pStyle w:val="Heading3"/>
        <w:spacing w:before="240" w:after="120"/>
      </w:pPr>
      <w:r>
        <w:rPr>
          <w:rFonts w:ascii="Arial" w:cs="Arial" w:eastAsia="Arial" w:hAnsi="Arial"/>
          <w:b/>
          <w:bCs/>
          <w:color w:val="1B4F72"/>
          <w:sz w:val="24"/>
          <w:szCs w:val="24"/>
        </w:rPr>
        <w:t xml:space="preserve">Early-Warning Orientation</w:t>
      </w:r>
    </w:p>
    <w:p>
      <w:pPr>
        <w:spacing w:before="80" w:after="120" w:line="276"/>
        <w:jc w:val="both"/>
      </w:pPr>
      <w:r>
        <w:rPr>
          <w:rFonts w:ascii="Arial" w:cs="Arial" w:eastAsia="Arial" w:hAnsi="Arial"/>
          <w:b w:val="false"/>
          <w:bCs w:val="false"/>
          <w:i w:val="false"/>
          <w:iCs w:val="false"/>
          <w:color w:val="1A1A1A"/>
          <w:sz w:val="22"/>
          <w:szCs w:val="22"/>
        </w:rPr>
        <w:t xml:space="preserve">Environmental pressure monitoring functions as a surveillance system designed to detect risk signals before irreversible degradation occurs. The system extends beyond project-specific areas to ensure that leakage pressures are also monitored and managed.</w:t>
      </w:r>
    </w:p>
    <w:p>
      <w:pPr>
        <w:pStyle w:val="Heading3"/>
        <w:spacing w:before="240" w:after="120"/>
      </w:pPr>
      <w:r>
        <w:rPr>
          <w:rFonts w:ascii="Arial" w:cs="Arial" w:eastAsia="Arial" w:hAnsi="Arial"/>
          <w:b/>
          <w:bCs/>
          <w:color w:val="1B4F72"/>
          <w:sz w:val="24"/>
          <w:szCs w:val="24"/>
        </w:rPr>
        <w:t xml:space="preserve">Transparency and Accountability</w:t>
      </w:r>
    </w:p>
    <w:p>
      <w:pPr>
        <w:spacing w:before="80" w:after="120" w:line="276"/>
        <w:jc w:val="both"/>
      </w:pPr>
      <w:r>
        <w:rPr>
          <w:rFonts w:ascii="Arial" w:cs="Arial" w:eastAsia="Arial" w:hAnsi="Arial"/>
          <w:b w:val="false"/>
          <w:bCs w:val="false"/>
          <w:i w:val="false"/>
          <w:iCs w:val="false"/>
          <w:color w:val="1A1A1A"/>
          <w:sz w:val="22"/>
          <w:szCs w:val="22"/>
        </w:rPr>
        <w:t xml:space="preserve">Monitoring outputs inform annual national reporting and investment-grade disclosure. The digital architecture ensures that data flows from field collection to national reporting are auditable and traceable.</w:t>
      </w:r>
    </w:p>
    <w:p>
      <w:pPr>
        <w:pStyle w:val="Heading3"/>
        <w:spacing w:before="240" w:after="120"/>
      </w:pPr>
      <w:r>
        <w:rPr>
          <w:rFonts w:ascii="Arial" w:cs="Arial" w:eastAsia="Arial" w:hAnsi="Arial"/>
          <w:b/>
          <w:bCs/>
          <w:color w:val="1B4F72"/>
          <w:sz w:val="24"/>
          <w:szCs w:val="24"/>
        </w:rPr>
        <w:t xml:space="preserve">Progressive Enhancement</w:t>
      </w:r>
    </w:p>
    <w:p>
      <w:pPr>
        <w:spacing w:before="80" w:after="120" w:line="276"/>
        <w:jc w:val="both"/>
      </w:pPr>
      <w:r>
        <w:rPr>
          <w:rFonts w:ascii="Arial" w:cs="Arial" w:eastAsia="Arial" w:hAnsi="Arial"/>
          <w:b w:val="false"/>
          <w:bCs w:val="false"/>
          <w:i w:val="false"/>
          <w:iCs w:val="false"/>
          <w:color w:val="1A1A1A"/>
          <w:sz w:val="22"/>
          <w:szCs w:val="22"/>
        </w:rPr>
        <w:t xml:space="preserve">The MRV system is designed to expand as landscape baselines mature. It incorporates mechanisms for continuous improvement as investments, technical capacity, and field presence develop over time.</w:t>
      </w:r>
    </w:p>
    <w:p>
      <w:pPr>
        <w:pStyle w:val="Heading1"/>
        <w:pageBreakBefore/>
        <w:spacing w:before="480" w:after="240"/>
      </w:pPr>
      <w:r>
        <w:rPr>
          <w:rFonts w:ascii="Arial" w:cs="Arial" w:eastAsia="Arial" w:hAnsi="Arial"/>
          <w:b/>
          <w:bCs/>
          <w:color w:val="1B4F72"/>
          <w:sz w:val="30"/>
          <w:szCs w:val="30"/>
        </w:rPr>
        <w:t xml:space="preserve">4.  Ecological and Carbon Integrity Framework</w:t>
      </w:r>
    </w:p>
    <w:p>
      <w:pPr>
        <w:pStyle w:val="Heading2"/>
        <w:spacing w:before="300" w:after="160"/>
      </w:pPr>
      <w:r>
        <w:rPr>
          <w:rFonts w:ascii="Arial" w:cs="Arial" w:eastAsia="Arial" w:hAnsi="Arial"/>
          <w:b/>
          <w:bCs/>
          <w:color w:val="1A6B7A"/>
          <w:sz w:val="26"/>
          <w:szCs w:val="26"/>
        </w:rPr>
        <w:t xml:space="preserve">4.1  Objective</w:t>
      </w:r>
    </w:p>
    <w:p>
      <w:pPr>
        <w:spacing w:before="80" w:after="120" w:line="276"/>
        <w:jc w:val="both"/>
      </w:pPr>
      <w:r>
        <w:rPr>
          <w:rFonts w:ascii="Arial" w:cs="Arial" w:eastAsia="Arial" w:hAnsi="Arial"/>
          <w:b w:val="false"/>
          <w:bCs w:val="false"/>
          <w:i w:val="false"/>
          <w:iCs w:val="false"/>
          <w:color w:val="1A1A1A"/>
          <w:sz w:val="22"/>
          <w:szCs w:val="22"/>
        </w:rPr>
        <w:t xml:space="preserve">The Ecological and Carbon Integrity Framework establishes the technical architecture through which Ghana will monitor the spatial extent and condition of mangrove and coastal wetland ecosystems, quantify and periodically re-measure carbon stocks, track restoration performance and ecological recovery, maintain the long-term integrity of blue carbon assets, and ensure readiness for voluntary and compliance carbon market participation.</w:t>
      </w:r>
    </w:p>
    <w:p>
      <w:pPr>
        <w:spacing w:before="80" w:after="120" w:line="276"/>
        <w:jc w:val="both"/>
      </w:pPr>
      <w:r>
        <w:rPr>
          <w:rFonts w:ascii="Arial" w:cs="Arial" w:eastAsia="Arial" w:hAnsi="Arial"/>
          <w:b w:val="false"/>
          <w:bCs w:val="false"/>
          <w:i w:val="false"/>
          <w:iCs w:val="false"/>
          <w:color w:val="1A1A1A"/>
          <w:sz w:val="22"/>
          <w:szCs w:val="22"/>
        </w:rPr>
        <w:t xml:space="preserve">The framework is internationally grounded but nationally managed. It ensures that ecological monitoring and carbon accounting are conducted in accordance with internationally recognised standards while remaining institutionally anchored within Ghana's own environmental governance system.</w:t>
      </w:r>
    </w:p>
    <w:p>
      <w:pPr>
        <w:pStyle w:val="Heading2"/>
        <w:spacing w:before="300" w:after="160"/>
      </w:pPr>
      <w:r>
        <w:rPr>
          <w:rFonts w:ascii="Arial" w:cs="Arial" w:eastAsia="Arial" w:hAnsi="Arial"/>
          <w:b/>
          <w:bCs/>
          <w:color w:val="1A6B7A"/>
          <w:sz w:val="26"/>
          <w:szCs w:val="26"/>
        </w:rPr>
        <w:t xml:space="preserve">4.2  National Baseline Reference — Year 0</w:t>
      </w:r>
    </w:p>
    <w:p>
      <w:pPr>
        <w:spacing w:before="80" w:after="120" w:line="276"/>
        <w:jc w:val="both"/>
      </w:pPr>
      <w:r>
        <w:rPr>
          <w:rFonts w:ascii="Arial" w:cs="Arial" w:eastAsia="Arial" w:hAnsi="Arial"/>
          <w:b w:val="false"/>
          <w:bCs w:val="false"/>
          <w:i w:val="false"/>
          <w:iCs w:val="false"/>
          <w:color w:val="1A1A1A"/>
          <w:sz w:val="22"/>
          <w:szCs w:val="22"/>
        </w:rPr>
        <w:t xml:space="preserve">The 2025 Geospatial Mangrove Extent Baseline, Ecosystem Health Assessment, and Carbon Inventory together constitute the national Year 0 reference for the MRV system. This baseline provides the foundation for:</w:t>
      </w:r>
    </w:p>
    <w:p>
      <w:pPr>
        <w:pStyle w:val="ListParagraph"/>
        <w:numPr>
          <w:ilvl w:val="0"/>
          <w:numId w:val="2"/>
        </w:numPr>
        <w:spacing w:before="40" w:after="60"/>
      </w:pPr>
      <w:r>
        <w:rPr>
          <w:rFonts w:ascii="Arial" w:cs="Arial" w:eastAsia="Arial" w:hAnsi="Arial"/>
          <w:b w:val="false"/>
          <w:bCs w:val="false"/>
          <w:color w:val="1A1A1A"/>
          <w:sz w:val="22"/>
          <w:szCs w:val="22"/>
        </w:rPr>
        <w:t xml:space="preserve">mangrove spatial coverage, ecosystem classification, and fragmentation mapping;</w:t>
      </w:r>
    </w:p>
    <w:p>
      <w:pPr>
        <w:pStyle w:val="ListParagraph"/>
        <w:numPr>
          <w:ilvl w:val="0"/>
          <w:numId w:val="2"/>
        </w:numPr>
        <w:spacing w:before="40" w:after="60"/>
      </w:pPr>
      <w:r>
        <w:rPr>
          <w:rFonts w:ascii="Arial" w:cs="Arial" w:eastAsia="Arial" w:hAnsi="Arial"/>
          <w:b w:val="false"/>
          <w:bCs w:val="false"/>
          <w:color w:val="1A1A1A"/>
          <w:sz w:val="22"/>
          <w:szCs w:val="22"/>
        </w:rPr>
        <w:t xml:space="preserve">stratification of the landscape for carbon measurement and restoration potential mapping;</w:t>
      </w:r>
    </w:p>
    <w:p>
      <w:pPr>
        <w:pStyle w:val="ListParagraph"/>
        <w:numPr>
          <w:ilvl w:val="0"/>
          <w:numId w:val="2"/>
        </w:numPr>
        <w:spacing w:before="40" w:after="60"/>
      </w:pPr>
      <w:r>
        <w:rPr>
          <w:rFonts w:ascii="Arial" w:cs="Arial" w:eastAsia="Arial" w:hAnsi="Arial"/>
          <w:b w:val="false"/>
          <w:bCs w:val="false"/>
          <w:color w:val="1A1A1A"/>
          <w:sz w:val="22"/>
          <w:szCs w:val="22"/>
        </w:rPr>
        <w:t xml:space="preserve">the Permanent Sample Plot network and initial carbon pool quantification;</w:t>
      </w:r>
    </w:p>
    <w:p>
      <w:pPr>
        <w:pStyle w:val="ListParagraph"/>
        <w:numPr>
          <w:ilvl w:val="0"/>
          <w:numId w:val="2"/>
        </w:numPr>
        <w:spacing w:before="40" w:after="60"/>
      </w:pPr>
      <w:r>
        <w:rPr>
          <w:rFonts w:ascii="Arial" w:cs="Arial" w:eastAsia="Arial" w:hAnsi="Arial"/>
          <w:b w:val="false"/>
          <w:bCs w:val="false"/>
          <w:color w:val="1A1A1A"/>
          <w:sz w:val="22"/>
          <w:szCs w:val="22"/>
        </w:rPr>
        <w:t xml:space="preserve">all future annual extent comparisons, restoration performance benchmarks, and carbon stock change calculations.</w:t>
      </w:r>
    </w:p>
    <w:p>
      <w:pPr>
        <w:spacing w:before="0" w:after="80"/>
      </w:pPr>
      <w:r>
        <w:t xml:space="preserve"/>
      </w:r>
    </w:p>
    <w:p>
      <w:pPr>
        <w:spacing w:before="80" w:after="120" w:line="276"/>
        <w:jc w:val="both"/>
      </w:pPr>
      <w:r>
        <w:rPr>
          <w:rFonts w:ascii="Arial" w:cs="Arial" w:eastAsia="Arial" w:hAnsi="Arial"/>
          <w:b w:val="false"/>
          <w:bCs w:val="false"/>
          <w:i w:val="false"/>
          <w:iCs w:val="false"/>
          <w:color w:val="1A1A1A"/>
          <w:sz w:val="22"/>
          <w:szCs w:val="22"/>
        </w:rPr>
        <w:t xml:space="preserve">The integrity of future MRV reporting depends on the preservation and careful archiving of Year 0 data. All spatial layers, plot records, soil samples, field data sheets, and satellite imagery used in the baseline are treated as controlled reference datasets within the national digital platform.</w:t>
      </w:r>
    </w:p>
    <w:p>
      <w:pPr>
        <w:pStyle w:val="Heading2"/>
        <w:spacing w:before="300" w:after="160"/>
      </w:pPr>
      <w:r>
        <w:rPr>
          <w:rFonts w:ascii="Arial" w:cs="Arial" w:eastAsia="Arial" w:hAnsi="Arial"/>
          <w:b/>
          <w:bCs/>
          <w:color w:val="1A6B7A"/>
          <w:sz w:val="26"/>
          <w:szCs w:val="26"/>
        </w:rPr>
        <w:t xml:space="preserve">4.3  Annual Satellite-Based Extent Monitoring</w:t>
      </w:r>
    </w:p>
    <w:p>
      <w:pPr>
        <w:spacing w:before="80" w:after="120" w:line="276"/>
        <w:jc w:val="both"/>
      </w:pPr>
      <w:r>
        <w:rPr>
          <w:rFonts w:ascii="Arial" w:cs="Arial" w:eastAsia="Arial" w:hAnsi="Arial"/>
          <w:b w:val="false"/>
          <w:bCs w:val="false"/>
          <w:i w:val="false"/>
          <w:iCs w:val="false"/>
          <w:color w:val="1A1A1A"/>
          <w:sz w:val="22"/>
          <w:szCs w:val="22"/>
        </w:rPr>
        <w:t xml:space="preserve">Mangrove and coastal wetland extent is monitored annually using Sentinel-2 or equivalent satellite imagery, applying standardised classification algorithms consistent with the baseline methodology, supervised land cover classification and change detection, and ground-truth validation through CREMA and Wildlife Division field teams.</w:t>
      </w:r>
    </w:p>
    <w:p>
      <w:pPr>
        <w:spacing w:before="80" w:after="120" w:line="276"/>
        <w:jc w:val="both"/>
      </w:pPr>
      <w:r>
        <w:rPr>
          <w:rFonts w:ascii="Arial" w:cs="Arial" w:eastAsia="Arial" w:hAnsi="Arial"/>
          <w:b w:val="false"/>
          <w:bCs w:val="false"/>
          <w:i w:val="false"/>
          <w:iCs w:val="false"/>
          <w:color w:val="1A1A1A"/>
          <w:sz w:val="22"/>
          <w:szCs w:val="22"/>
        </w:rPr>
        <w:t xml:space="preserve">The national web-based platform hosts baseline and annual extent layers, restoration zones, ecologically sensitive areas, and detected land-use change polygons. Annual monitoring outputs include net mangrove area change expressed in hectares, fragmentation trend analysis, encroachment hotspot identification, and restoration expansion verification.</w:t>
      </w:r>
    </w:p>
    <w:p>
      <w:pPr>
        <w:spacing w:before="80" w:after="120" w:line="276"/>
        <w:jc w:val="both"/>
      </w:pPr>
      <w:r>
        <w:rPr>
          <w:rFonts w:ascii="Arial" w:cs="Arial" w:eastAsia="Arial" w:hAnsi="Arial"/>
          <w:b w:val="false"/>
          <w:bCs w:val="false"/>
          <w:i w:val="false"/>
          <w:iCs w:val="false"/>
          <w:color w:val="1A1A1A"/>
          <w:sz w:val="22"/>
          <w:szCs w:val="22"/>
        </w:rPr>
        <w:t xml:space="preserve">Where annual analysis detects net mangrove loss, significant fragmentation, or conversion hotspots, these findings are immediately cross-referenced with PSP data, environmental pressure indicators, and conflict or land tenure records, and escalated for institutional response.</w:t>
      </w:r>
    </w:p>
    <w:p>
      <w:pPr>
        <w:pStyle w:val="Heading2"/>
        <w:spacing w:before="300" w:after="160"/>
      </w:pPr>
      <w:r>
        <w:rPr>
          <w:rFonts w:ascii="Arial" w:cs="Arial" w:eastAsia="Arial" w:hAnsi="Arial"/>
          <w:b/>
          <w:bCs/>
          <w:color w:val="1A6B7A"/>
          <w:sz w:val="26"/>
          <w:szCs w:val="26"/>
        </w:rPr>
        <w:t xml:space="preserve">4.4  Restoration Monitoring and Ecological Recovery</w:t>
      </w:r>
    </w:p>
    <w:p>
      <w:pPr>
        <w:pStyle w:val="Heading3"/>
        <w:spacing w:before="240" w:after="120"/>
      </w:pPr>
      <w:r>
        <w:rPr>
          <w:rFonts w:ascii="Arial" w:cs="Arial" w:eastAsia="Arial" w:hAnsi="Arial"/>
          <w:b/>
          <w:bCs/>
          <w:color w:val="1B4F72"/>
          <w:sz w:val="24"/>
          <w:szCs w:val="24"/>
        </w:rPr>
        <w:t xml:space="preserve">Site Registration</w:t>
      </w:r>
    </w:p>
    <w:p>
      <w:pPr>
        <w:spacing w:before="80" w:after="120" w:line="276"/>
        <w:jc w:val="both"/>
      </w:pPr>
      <w:r>
        <w:rPr>
          <w:rFonts w:ascii="Arial" w:cs="Arial" w:eastAsia="Arial" w:hAnsi="Arial"/>
          <w:b w:val="false"/>
          <w:bCs w:val="false"/>
          <w:i w:val="false"/>
          <w:iCs w:val="false"/>
          <w:color w:val="1A1A1A"/>
          <w:sz w:val="22"/>
          <w:szCs w:val="22"/>
        </w:rPr>
        <w:t xml:space="preserve">All restoration sites are georeferenced and mapped within the national web platform, assigned a unique site identifier, and linked to the responsible CREMA and district authority. This ensures continuous spatial traceability from planting through to verified establishment.</w:t>
      </w:r>
    </w:p>
    <w:p>
      <w:pPr>
        <w:pStyle w:val="Heading3"/>
        <w:spacing w:before="240" w:after="120"/>
      </w:pPr>
      <w:r>
        <w:rPr>
          <w:rFonts w:ascii="Arial" w:cs="Arial" w:eastAsia="Arial" w:hAnsi="Arial"/>
          <w:b/>
          <w:bCs/>
          <w:color w:val="1B4F72"/>
          <w:sz w:val="24"/>
          <w:szCs w:val="24"/>
        </w:rPr>
        <w:t xml:space="preserve">Survival and Establishment Monitoring</w:t>
      </w:r>
    </w:p>
    <w:p>
      <w:pPr>
        <w:spacing w:before="80" w:after="120" w:line="276"/>
        <w:jc w:val="both"/>
      </w:pPr>
      <w:r>
        <w:rPr>
          <w:rFonts w:ascii="Arial" w:cs="Arial" w:eastAsia="Arial" w:hAnsi="Arial"/>
          <w:b w:val="false"/>
          <w:bCs w:val="false"/>
          <w:i w:val="false"/>
          <w:iCs w:val="false"/>
          <w:color w:val="1A1A1A"/>
          <w:sz w:val="22"/>
          <w:szCs w:val="22"/>
        </w:rPr>
        <w:t xml:space="preserve">For each registered restoration site, monitoring covers seedling survival rate, canopy development progression, evidence of disturbance including grazing, clearing, or re-cutting, and hydrological suitability confirmation. Monitoring is conducted at 3 months post-planting, 6 months, 12 months, and annually thereafter until establishment is confirmed.</w:t>
      </w:r>
    </w:p>
    <w:p>
      <w:pPr>
        <w:spacing w:before="80" w:after="120" w:line="276"/>
        <w:jc w:val="both"/>
      </w:pPr>
      <w:r>
        <w:rPr>
          <w:rFonts w:ascii="Arial" w:cs="Arial" w:eastAsia="Arial" w:hAnsi="Arial"/>
          <w:b w:val="false"/>
          <w:bCs w:val="false"/>
          <w:i w:val="false"/>
          <w:iCs w:val="false"/>
          <w:color w:val="1A1A1A"/>
          <w:sz w:val="22"/>
          <w:szCs w:val="22"/>
        </w:rPr>
        <w:t xml:space="preserve">The minimum performance threshold is 70% seedling survival after Year 1. Sites that fail to meet this threshold trigger corrective restoration action, including investigation of failure causes, remediation planting, and review of site suitability where warranted.</w:t>
      </w:r>
    </w:p>
    <w:p>
      <w:pPr>
        <w:pStyle w:val="Heading3"/>
        <w:spacing w:before="240" w:after="120"/>
      </w:pPr>
      <w:r>
        <w:rPr>
          <w:rFonts w:ascii="Arial" w:cs="Arial" w:eastAsia="Arial" w:hAnsi="Arial"/>
          <w:b/>
          <w:bCs/>
          <w:color w:val="1B4F72"/>
          <w:sz w:val="24"/>
          <w:szCs w:val="24"/>
        </w:rPr>
        <w:t xml:space="preserve">Ecologically Sensitive Area Surveillance</w:t>
      </w:r>
    </w:p>
    <w:p>
      <w:pPr>
        <w:spacing w:before="80" w:after="120" w:line="276"/>
        <w:jc w:val="both"/>
      </w:pPr>
      <w:r>
        <w:rPr>
          <w:rFonts w:ascii="Arial" w:cs="Arial" w:eastAsia="Arial" w:hAnsi="Arial"/>
          <w:b w:val="false"/>
          <w:bCs w:val="false"/>
          <w:i w:val="false"/>
          <w:iCs w:val="false"/>
          <w:color w:val="1A1A1A"/>
          <w:sz w:val="22"/>
          <w:szCs w:val="22"/>
        </w:rPr>
        <w:t xml:space="preserve">Permanent ecologically sensitive areas are mapped and monitored on a continuous basis for disturbance signals, hydrological alteration, invasive species presence where applicable, and degradation trends. These areas are integrated into the web platform for ongoing digital oversight, and field verification is conducted where satellite-detected signals indicate potential change.</w:t>
      </w:r>
    </w:p>
    <w:p>
      <w:pPr>
        <w:pStyle w:val="Heading2"/>
        <w:spacing w:before="300" w:after="160"/>
      </w:pPr>
      <w:r>
        <w:rPr>
          <w:rFonts w:ascii="Arial" w:cs="Arial" w:eastAsia="Arial" w:hAnsi="Arial"/>
          <w:b/>
          <w:bCs/>
          <w:color w:val="1A6B7A"/>
          <w:sz w:val="26"/>
          <w:szCs w:val="26"/>
        </w:rPr>
        <w:t xml:space="preserve">4.5  Carbon Stock Monitoring and Accounting</w:t>
      </w:r>
    </w:p>
    <w:p>
      <w:pPr>
        <w:pStyle w:val="Heading3"/>
        <w:spacing w:before="240" w:after="120"/>
      </w:pPr>
      <w:r>
        <w:rPr>
          <w:rFonts w:ascii="Arial" w:cs="Arial" w:eastAsia="Arial" w:hAnsi="Arial"/>
          <w:b/>
          <w:bCs/>
          <w:color w:val="1B4F72"/>
          <w:sz w:val="24"/>
          <w:szCs w:val="24"/>
        </w:rPr>
        <w:t xml:space="preserve">Carbon Pools Covered</w:t>
      </w:r>
    </w:p>
    <w:p>
      <w:pPr>
        <w:spacing w:before="80" w:after="120" w:line="276"/>
        <w:jc w:val="both"/>
      </w:pPr>
      <w:r>
        <w:rPr>
          <w:rFonts w:ascii="Arial" w:cs="Arial" w:eastAsia="Arial" w:hAnsi="Arial"/>
          <w:b w:val="false"/>
          <w:bCs w:val="false"/>
          <w:i w:val="false"/>
          <w:iCs w:val="false"/>
          <w:color w:val="1A1A1A"/>
          <w:sz w:val="22"/>
          <w:szCs w:val="22"/>
        </w:rPr>
        <w:t xml:space="preserve">The national carbon monitoring system covers four IPCC-recognised carbon pools: above-ground biomass, below-ground biomass, deadwood where relevant, and soil organic carbon to a depth of 0–100 cm. These pools are aligned with IPCC Wetlands Supplement guidance and with internationally recognised blue carbon accounting practice.</w:t>
      </w:r>
    </w:p>
    <w:p>
      <w:pPr>
        <w:pStyle w:val="Heading3"/>
        <w:spacing w:before="240" w:after="120"/>
      </w:pPr>
      <w:r>
        <w:rPr>
          <w:rFonts w:ascii="Arial" w:cs="Arial" w:eastAsia="Arial" w:hAnsi="Arial"/>
          <w:b/>
          <w:bCs/>
          <w:color w:val="1B4F72"/>
          <w:sz w:val="24"/>
          <w:szCs w:val="24"/>
        </w:rPr>
        <w:t xml:space="preserve">Permanent Sample Plot System</w:t>
      </w:r>
    </w:p>
    <w:p>
      <w:pPr>
        <w:spacing w:before="80" w:after="120" w:line="276"/>
        <w:jc w:val="both"/>
      </w:pPr>
      <w:r>
        <w:rPr>
          <w:rFonts w:ascii="Arial" w:cs="Arial" w:eastAsia="Arial" w:hAnsi="Arial"/>
          <w:b w:val="false"/>
          <w:bCs w:val="false"/>
          <w:i w:val="false"/>
          <w:iCs w:val="false"/>
          <w:color w:val="1A1A1A"/>
          <w:sz w:val="22"/>
          <w:szCs w:val="22"/>
        </w:rPr>
        <w:t xml:space="preserve">Permanent Sample Plots established during the Carbon Inventory Assessment serve as the long-term monitoring backbone. Each PSP is georeferenced and digitally archived, assigned a unique identification code, categorised within the plot stratification schema, and hosted on the national web platform with its full measurement history and re-measurement schedule.</w:t>
      </w:r>
    </w:p>
    <w:p>
      <w:pPr>
        <w:spacing w:before="80" w:after="120" w:line="276"/>
        <w:jc w:val="both"/>
      </w:pPr>
      <w:r>
        <w:rPr>
          <w:rFonts w:ascii="Arial" w:cs="Arial" w:eastAsia="Arial" w:hAnsi="Arial"/>
          <w:b w:val="false"/>
          <w:bCs w:val="false"/>
          <w:i w:val="false"/>
          <w:iCs w:val="false"/>
          <w:color w:val="1A1A1A"/>
          <w:sz w:val="22"/>
          <w:szCs w:val="22"/>
        </w:rPr>
        <w:t xml:space="preserve">Community Change Agents support the PSP system through plot access maintenance, tree Diameter at Breast Height (DBH) measurement recording, and visual disturbance documentation. National technical agencies conduct carbon stock calculations using approved allometric equations, soil core sampling and laboratory analysis, data verification, uncertainty assessment, and controlled archiving.</w:t>
      </w:r>
    </w:p>
    <w:p>
      <w:pPr>
        <w:pStyle w:val="Heading3"/>
        <w:spacing w:before="240" w:after="120"/>
      </w:pPr>
      <w:r>
        <w:rPr>
          <w:rFonts w:ascii="Arial" w:cs="Arial" w:eastAsia="Arial" w:hAnsi="Arial"/>
          <w:b/>
          <w:bCs/>
          <w:color w:val="1B4F72"/>
          <w:sz w:val="24"/>
          <w:szCs w:val="24"/>
        </w:rPr>
        <w:t xml:space="preserve">Re-Measurement Cycles</w:t>
      </w:r>
    </w:p>
    <w:p>
      <w:pPr>
        <w:spacing w:before="80" w:after="120" w:line="276"/>
        <w:jc w:val="both"/>
      </w:pPr>
      <w:r>
        <w:rPr>
          <w:rFonts w:ascii="Arial" w:cs="Arial" w:eastAsia="Arial" w:hAnsi="Arial"/>
          <w:b w:val="false"/>
          <w:bCs w:val="false"/>
          <w:i w:val="false"/>
          <w:iCs w:val="false"/>
          <w:color w:val="1A1A1A"/>
          <w:sz w:val="22"/>
          <w:szCs w:val="22"/>
        </w:rPr>
        <w:t xml:space="preserve">Carbon stock re-measurement follows standard practice intervals: biomass re-measurement every three to five years, and soil carbon reassessment consistent with methodological guidance and risk exposure, typically aligned with biomass cycles. Re-measurement frequency is accelerated where significant disturbance is detected through satellite monitoring, large-scale restoration expansion occurs, or carbon market participation requires updated verification data.</w:t>
      </w:r>
    </w:p>
    <w:p>
      <w:pPr>
        <w:pStyle w:val="Heading2"/>
        <w:spacing w:before="300" w:after="160"/>
      </w:pPr>
      <w:r>
        <w:rPr>
          <w:rFonts w:ascii="Arial" w:cs="Arial" w:eastAsia="Arial" w:hAnsi="Arial"/>
          <w:b/>
          <w:bCs/>
          <w:color w:val="1A6B7A"/>
          <w:sz w:val="26"/>
          <w:szCs w:val="26"/>
        </w:rPr>
        <w:t xml:space="preserve">4.6  QA/QC for Ecological and Carbon Data</w:t>
      </w:r>
    </w:p>
    <w:p>
      <w:pPr>
        <w:spacing w:before="80" w:after="120" w:line="276"/>
        <w:jc w:val="both"/>
      </w:pPr>
      <w:r>
        <w:rPr>
          <w:rFonts w:ascii="Arial" w:cs="Arial" w:eastAsia="Arial" w:hAnsi="Arial"/>
          <w:b w:val="false"/>
          <w:bCs w:val="false"/>
          <w:i w:val="false"/>
          <w:iCs w:val="false"/>
          <w:color w:val="1A1A1A"/>
          <w:sz w:val="22"/>
          <w:szCs w:val="22"/>
        </w:rPr>
        <w:t xml:space="preserve">The carbon and ecological integrity layer operates under a multi-stage QA/QC regime that includes field data verification, double-check measurement protocols, outlier detection procedures, methodological consistency reviews against the baseline inventory, and secure data archiving with audit trail documentation. All carbon data are archived in a nationally managed database with controlled access rights and version-controlled update records.</w:t>
      </w:r>
    </w:p>
    <w:p>
      <w:pPr>
        <w:pStyle w:val="Heading1"/>
        <w:pageBreakBefore/>
        <w:spacing w:before="480" w:after="240"/>
      </w:pPr>
      <w:r>
        <w:rPr>
          <w:rFonts w:ascii="Arial" w:cs="Arial" w:eastAsia="Arial" w:hAnsi="Arial"/>
          <w:b/>
          <w:bCs/>
          <w:color w:val="1B4F72"/>
          <w:sz w:val="30"/>
          <w:szCs w:val="30"/>
        </w:rPr>
        <w:t xml:space="preserve">5.  Environmental Pressure Surveillance Framework</w:t>
      </w:r>
    </w:p>
    <w:p>
      <w:pPr>
        <w:pStyle w:val="Heading2"/>
        <w:spacing w:before="300" w:after="160"/>
      </w:pPr>
      <w:r>
        <w:rPr>
          <w:rFonts w:ascii="Arial" w:cs="Arial" w:eastAsia="Arial" w:hAnsi="Arial"/>
          <w:b/>
          <w:bCs/>
          <w:color w:val="1A6B7A"/>
          <w:sz w:val="26"/>
          <w:szCs w:val="26"/>
        </w:rPr>
        <w:t xml:space="preserve">5.1  Objective</w:t>
      </w:r>
    </w:p>
    <w:p>
      <w:pPr>
        <w:spacing w:before="80" w:after="120" w:line="276"/>
        <w:jc w:val="both"/>
      </w:pPr>
      <w:r>
        <w:rPr>
          <w:rFonts w:ascii="Arial" w:cs="Arial" w:eastAsia="Arial" w:hAnsi="Arial"/>
          <w:b w:val="false"/>
          <w:bCs w:val="false"/>
          <w:i w:val="false"/>
          <w:iCs w:val="false"/>
          <w:color w:val="1A1A1A"/>
          <w:sz w:val="22"/>
          <w:szCs w:val="22"/>
        </w:rPr>
        <w:t xml:space="preserve">The Environmental Pressure Surveillance Framework establishes Ghana's national system for detecting, monitoring, and responding to the drivers of degradation within blue carbon landscapes. Where ecological and carbon monitoring measure condition and stock changes, pressure surveillance functions as an early-warning system — identifying risk signals before irreversible carbon loss or ecosystem degradation occurs.</w:t>
      </w:r>
    </w:p>
    <w:p>
      <w:pPr>
        <w:spacing w:before="80" w:after="120" w:line="276"/>
        <w:jc w:val="both"/>
      </w:pPr>
      <w:r>
        <w:rPr>
          <w:rFonts w:ascii="Arial" w:cs="Arial" w:eastAsia="Arial" w:hAnsi="Arial"/>
          <w:b w:val="false"/>
          <w:bCs w:val="false"/>
          <w:i w:val="false"/>
          <w:iCs w:val="false"/>
          <w:color w:val="1A1A1A"/>
          <w:sz w:val="22"/>
          <w:szCs w:val="22"/>
        </w:rPr>
        <w:t xml:space="preserve">The framework detects emerging degradation pressures, monitors trends in human-induced ecosystem stress, links pressure signals to carbon risk, triggers timely institutional response, supports leakage monitoring, and provides investment-grade risk transparency. It is designed to prioritise signal detection over complex quantification, ensuring long-term institutional sustainability.</w:t>
      </w:r>
    </w:p>
    <w:p>
      <w:pPr>
        <w:pStyle w:val="Heading2"/>
        <w:spacing w:before="300" w:after="160"/>
      </w:pPr>
      <w:r>
        <w:rPr>
          <w:rFonts w:ascii="Arial" w:cs="Arial" w:eastAsia="Arial" w:hAnsi="Arial"/>
          <w:b/>
          <w:bCs/>
          <w:color w:val="1A6B7A"/>
          <w:sz w:val="26"/>
          <w:szCs w:val="26"/>
        </w:rPr>
        <w:t xml:space="preserve">5.2  Pressure Classification</w:t>
      </w:r>
    </w:p>
    <w:p>
      <w:pPr>
        <w:spacing w:before="80" w:after="120" w:line="276"/>
        <w:jc w:val="both"/>
      </w:pPr>
      <w:r>
        <w:rPr>
          <w:rFonts w:ascii="Arial" w:cs="Arial" w:eastAsia="Arial" w:hAnsi="Arial"/>
          <w:b w:val="false"/>
          <w:bCs w:val="false"/>
          <w:i w:val="false"/>
          <w:iCs w:val="false"/>
          <w:color w:val="1A1A1A"/>
          <w:sz w:val="22"/>
          <w:szCs w:val="22"/>
        </w:rPr>
        <w:t xml:space="preserve">Environmental pressures within Ghana's blue carbon landscapes are classified into four categories:</w:t>
      </w:r>
    </w:p>
    <w:p>
      <w:pPr>
        <w:pStyle w:val="ListParagraph"/>
        <w:numPr>
          <w:ilvl w:val="0"/>
          <w:numId w:val="2"/>
        </w:numPr>
        <w:spacing w:before="40" w:after="60"/>
      </w:pPr>
      <w:r>
        <w:rPr>
          <w:rFonts w:ascii="Arial" w:cs="Arial" w:eastAsia="Arial" w:hAnsi="Arial"/>
          <w:b w:val="false"/>
          <w:bCs w:val="false"/>
          <w:color w:val="1A1A1A"/>
          <w:sz w:val="22"/>
          <w:szCs w:val="22"/>
        </w:rPr>
        <w:t xml:space="preserve">Land Conversion Pressures — spatial conversion of mangrove and wetland areas to salt pans, urban uses, or other land uses;</w:t>
      </w:r>
    </w:p>
    <w:p>
      <w:pPr>
        <w:pStyle w:val="ListParagraph"/>
        <w:numPr>
          <w:ilvl w:val="0"/>
          <w:numId w:val="2"/>
        </w:numPr>
        <w:spacing w:before="40" w:after="60"/>
      </w:pPr>
      <w:r>
        <w:rPr>
          <w:rFonts w:ascii="Arial" w:cs="Arial" w:eastAsia="Arial" w:hAnsi="Arial"/>
          <w:b w:val="false"/>
          <w:bCs w:val="false"/>
          <w:color w:val="1A1A1A"/>
          <w:sz w:val="22"/>
          <w:szCs w:val="22"/>
        </w:rPr>
        <w:t xml:space="preserve">Biomass Extraction Pressures — active cutting, charcoal production, and fuel-wood extraction;</w:t>
      </w:r>
    </w:p>
    <w:p>
      <w:pPr>
        <w:pStyle w:val="ListParagraph"/>
        <w:numPr>
          <w:ilvl w:val="0"/>
          <w:numId w:val="2"/>
        </w:numPr>
        <w:spacing w:before="40" w:after="60"/>
      </w:pPr>
      <w:r>
        <w:rPr>
          <w:rFonts w:ascii="Arial" w:cs="Arial" w:eastAsia="Arial" w:hAnsi="Arial"/>
          <w:b w:val="false"/>
          <w:bCs w:val="false"/>
          <w:color w:val="1A1A1A"/>
          <w:sz w:val="22"/>
          <w:szCs w:val="22"/>
        </w:rPr>
        <w:t xml:space="preserve">Pollution and Physical Disturbance — plastic accumulation, waste dumping, and hydrological alteration;</w:t>
      </w:r>
    </w:p>
    <w:p>
      <w:pPr>
        <w:pStyle w:val="ListParagraph"/>
        <w:numPr>
          <w:ilvl w:val="0"/>
          <w:numId w:val="2"/>
        </w:numPr>
        <w:spacing w:before="40" w:after="60"/>
      </w:pPr>
      <w:r>
        <w:rPr>
          <w:rFonts w:ascii="Arial" w:cs="Arial" w:eastAsia="Arial" w:hAnsi="Arial"/>
          <w:b w:val="false"/>
          <w:bCs w:val="false"/>
          <w:color w:val="1A1A1A"/>
          <w:sz w:val="22"/>
          <w:szCs w:val="22"/>
        </w:rPr>
        <w:t xml:space="preserve">Structural and Access-Related Drivers — land tenure disputes, access conflicts, and competing resource use claims.</w:t>
      </w:r>
    </w:p>
    <w:p>
      <w:pPr>
        <w:pStyle w:val="Heading2"/>
        <w:spacing w:before="300" w:after="160"/>
      </w:pPr>
      <w:r>
        <w:rPr>
          <w:rFonts w:ascii="Arial" w:cs="Arial" w:eastAsia="Arial" w:hAnsi="Arial"/>
          <w:b/>
          <w:bCs/>
          <w:color w:val="1A6B7A"/>
          <w:sz w:val="26"/>
          <w:szCs w:val="26"/>
        </w:rPr>
        <w:t xml:space="preserve">5.3  Core Environmental Pressure Indicators</w:t>
      </w:r>
    </w:p>
    <w:p>
      <w:pPr>
        <w:spacing w:before="80" w:after="120" w:line="276"/>
        <w:jc w:val="both"/>
      </w:pPr>
      <w:r>
        <w:rPr>
          <w:rFonts w:ascii="Arial" w:cs="Arial" w:eastAsia="Arial" w:hAnsi="Arial"/>
          <w:b w:val="false"/>
          <w:bCs w:val="false"/>
          <w:i w:val="false"/>
          <w:iCs w:val="false"/>
          <w:color w:val="1A1A1A"/>
          <w:sz w:val="22"/>
          <w:szCs w:val="22"/>
        </w:rPr>
        <w:t xml:space="preserve">To ensure operational feasibility and long-term continuity, the national system adopts five primary indicators. Each indicator specifies the pressure being monitored, the monitoring method, responsible entity, trigger threshold, and response protocol.</w:t>
      </w:r>
    </w:p>
    <w:p>
      <w:pPr>
        <w:spacing w:before="0"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700"/>
        <w:gridCol w:w="1700"/>
        <w:gridCol w:w="1838"/>
      </w:tblGrid>
      <w:tr>
        <w:tc>
          <w:tcPr>
            <w:tcW w:type="dxa" w:w="20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Indicator</w:t>
            </w:r>
          </w:p>
        </w:tc>
        <w:tc>
          <w:tcPr>
            <w:tcW w:type="dxa" w:w="24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Method</w:t>
            </w:r>
          </w:p>
        </w:tc>
        <w:tc>
          <w:tcPr>
            <w:tcW w:type="dxa" w:w="17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Frequency</w:t>
            </w:r>
          </w:p>
        </w:tc>
        <w:tc>
          <w:tcPr>
            <w:tcW w:type="dxa" w:w="17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Responsible entity</w:t>
            </w:r>
          </w:p>
        </w:tc>
        <w:tc>
          <w:tcPr>
            <w:tcW w:type="dxa" w:w="1838"/>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Trigger threshold</w:t>
            </w:r>
          </w:p>
        </w:tc>
      </w:tr>
      <w:tr>
        <w:tc>
          <w:tcPr>
            <w:tcW w:type="dxa" w:w="2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1. Land Conversion (GIS-based)</w:t>
            </w:r>
          </w:p>
        </w:tc>
        <w:tc>
          <w:tcPr>
            <w:tcW w:type="dxa" w:w="24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Annual satellite imagery analysis and change detection against restoration and protected-area overlays</w:t>
            </w:r>
          </w:p>
        </w:tc>
        <w:tc>
          <w:tcPr>
            <w:tcW w:type="dxa" w:w="17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Annual</w:t>
            </w:r>
          </w:p>
        </w:tc>
        <w:tc>
          <w:tcPr>
            <w:tcW w:type="dxa" w:w="17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MLNR / Wildlife Division</w:t>
            </w:r>
          </w:p>
        </w:tc>
        <w:tc>
          <w:tcPr>
            <w:tcW w:type="dxa" w:w="18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Any net loss within mapped sensitive or restoration areas; significant industrial salt pan expansion</w:t>
            </w:r>
          </w:p>
        </w:tc>
      </w:tr>
      <w:tr>
        <w:tc>
          <w:tcPr>
            <w:tcW w:type="dxa" w:w="2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2. Mangrove Cutting Signal (Field-based)</w:t>
            </w:r>
          </w:p>
        </w:tc>
        <w:tc>
          <w:tcPr>
            <w:tcW w:type="dxa" w:w="24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Quarterly CREMA transect walks recording fresh stumps, active cutting evidence, and charcoal kilns</w:t>
            </w:r>
          </w:p>
        </w:tc>
        <w:tc>
          <w:tcPr>
            <w:tcW w:type="dxa" w:w="17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Quarterly</w:t>
            </w:r>
          </w:p>
        </w:tc>
        <w:tc>
          <w:tcPr>
            <w:tcW w:type="dxa" w:w="17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CREMA teams; validated by MMDAs/WD</w:t>
            </w:r>
          </w:p>
        </w:tc>
        <w:tc>
          <w:tcPr>
            <w:tcW w:type="dxa" w:w="18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Pressure Alert triggered if 2+ signals present in same monitoring period</w:t>
            </w:r>
          </w:p>
        </w:tc>
      </w:tr>
      <w:tr>
        <w:tc>
          <w:tcPr>
            <w:tcW w:type="dxa" w:w="2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3. Fuel Source Shift</w:t>
            </w:r>
          </w:p>
        </w:tc>
        <w:tc>
          <w:tcPr>
            <w:tcW w:type="dxa" w:w="24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Annual household sample surveys (20–30 households per CREMA) recording primary cooking fuel type</w:t>
            </w:r>
          </w:p>
        </w:tc>
        <w:tc>
          <w:tcPr>
            <w:tcW w:type="dxa" w:w="17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Annual</w:t>
            </w:r>
          </w:p>
        </w:tc>
        <w:tc>
          <w:tcPr>
            <w:tcW w:type="dxa" w:w="17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CREMA with district oversight</w:t>
            </w:r>
          </w:p>
        </w:tc>
        <w:tc>
          <w:tcPr>
            <w:tcW w:type="dxa" w:w="18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Persistent high mangrove-wood dependence = elevated carbon risk signal</w:t>
            </w:r>
          </w:p>
        </w:tc>
      </w:tr>
      <w:tr>
        <w:tc>
          <w:tcPr>
            <w:tcW w:type="dxa" w:w="2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4. Charcoal and Extraction Hotspot</w:t>
            </w:r>
          </w:p>
        </w:tc>
        <w:tc>
          <w:tcPr>
            <w:tcW w:type="dxa" w:w="24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Quarterly recording of active charcoal production sites with GPS location and expansion evidence</w:t>
            </w:r>
          </w:p>
        </w:tc>
        <w:tc>
          <w:tcPr>
            <w:tcW w:type="dxa" w:w="17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Quarterly</w:t>
            </w:r>
          </w:p>
        </w:tc>
        <w:tc>
          <w:tcPr>
            <w:tcW w:type="dxa" w:w="17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CREMA and MMDAs/WD</w:t>
            </w:r>
          </w:p>
        </w:tc>
        <w:tc>
          <w:tcPr>
            <w:tcW w:type="dxa" w:w="18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Any new production sites or confirmed site expansion</w:t>
            </w:r>
          </w:p>
        </w:tc>
      </w:tr>
      <w:tr>
        <w:tc>
          <w:tcPr>
            <w:tcW w:type="dxa" w:w="2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5. Conflict and Access Pressure Index</w:t>
            </w:r>
          </w:p>
        </w:tc>
        <w:tc>
          <w:tcPr>
            <w:tcW w:type="dxa" w:w="24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Quarterly reporting of land access disputes, unresolved conflict cases, and artisanal-industrial tensions</w:t>
            </w:r>
          </w:p>
        </w:tc>
        <w:tc>
          <w:tcPr>
            <w:tcW w:type="dxa" w:w="17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Quarterly</w:t>
            </w:r>
          </w:p>
        </w:tc>
        <w:tc>
          <w:tcPr>
            <w:tcW w:type="dxa" w:w="17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District authorities with CREMA reporting support</w:t>
            </w:r>
          </w:p>
        </w:tc>
        <w:tc>
          <w:tcPr>
            <w:tcW w:type="dxa" w:w="18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Rising conflict levels correlated with ecosystem vulnerability review</w:t>
            </w:r>
          </w:p>
        </w:tc>
      </w:tr>
    </w:tbl>
    <w:p>
      <w:pPr>
        <w:spacing w:before="0" w:after="120"/>
      </w:pPr>
      <w:r>
        <w:t xml:space="preserve"/>
      </w:r>
    </w:p>
    <w:p>
      <w:pPr>
        <w:pStyle w:val="Heading2"/>
        <w:spacing w:before="300" w:after="160"/>
      </w:pPr>
      <w:r>
        <w:rPr>
          <w:rFonts w:ascii="Arial" w:cs="Arial" w:eastAsia="Arial" w:hAnsi="Arial"/>
          <w:b/>
          <w:bCs/>
          <w:color w:val="1A6B7A"/>
          <w:sz w:val="26"/>
          <w:szCs w:val="26"/>
        </w:rPr>
        <w:t xml:space="preserve">5.4  Pollution and Physical Disturbance Monitoring</w:t>
      </w:r>
    </w:p>
    <w:p>
      <w:pPr>
        <w:spacing w:before="80" w:after="120" w:line="276"/>
        <w:jc w:val="both"/>
      </w:pPr>
      <w:r>
        <w:rPr>
          <w:rFonts w:ascii="Arial" w:cs="Arial" w:eastAsia="Arial" w:hAnsi="Arial"/>
          <w:b w:val="false"/>
          <w:bCs w:val="false"/>
          <w:i w:val="false"/>
          <w:iCs w:val="false"/>
          <w:color w:val="1A1A1A"/>
          <w:sz w:val="22"/>
          <w:szCs w:val="22"/>
        </w:rPr>
        <w:t xml:space="preserve">In addition to the five core indicators, shoreline transects record visible plastic accumulation clusters, waste dumping hotspots, and physical disturbances affecting wetland hydrology on a quarterly basis. Although not directly carbon-related, these factors affect ecosystem health and restoration viability and are therefore integrated into the wider environmental pressure picture.</w:t>
      </w:r>
    </w:p>
    <w:p>
      <w:pPr>
        <w:pStyle w:val="Heading2"/>
        <w:spacing w:before="300" w:after="160"/>
      </w:pPr>
      <w:r>
        <w:rPr>
          <w:rFonts w:ascii="Arial" w:cs="Arial" w:eastAsia="Arial" w:hAnsi="Arial"/>
          <w:b/>
          <w:bCs/>
          <w:color w:val="1A6B7A"/>
          <w:sz w:val="26"/>
          <w:szCs w:val="26"/>
        </w:rPr>
        <w:t xml:space="preserve">5.5  Escalation and Response Protocol</w:t>
      </w:r>
    </w:p>
    <w:p>
      <w:pPr>
        <w:spacing w:before="80" w:after="120" w:line="276"/>
        <w:jc w:val="both"/>
      </w:pPr>
      <w:r>
        <w:rPr>
          <w:rFonts w:ascii="Arial" w:cs="Arial" w:eastAsia="Arial" w:hAnsi="Arial"/>
          <w:b w:val="false"/>
          <w:bCs w:val="false"/>
          <w:i w:val="false"/>
          <w:iCs w:val="false"/>
          <w:color w:val="1A1A1A"/>
          <w:sz w:val="22"/>
          <w:szCs w:val="22"/>
        </w:rPr>
        <w:t xml:space="preserve">Environmental pressure surveillance is actionable only where it is linked to defined response mechanisms. The escalation protocol operates as follows: detection at community level triggers notification to the CREMA Executive, which forwards to district review; district authorities undertake technical assessment where warranted; and intervention follows in the form of dialogue, enforcement, restoration, or zoning review as appropriate. All actions are documented within the national MRV database to ensure accountability and traceability.</w:t>
      </w:r>
    </w:p>
    <w:p>
      <w:pPr>
        <w:pStyle w:val="Heading2"/>
        <w:spacing w:before="300" w:after="160"/>
      </w:pPr>
      <w:r>
        <w:rPr>
          <w:rFonts w:ascii="Arial" w:cs="Arial" w:eastAsia="Arial" w:hAnsi="Arial"/>
          <w:b/>
          <w:bCs/>
          <w:color w:val="1A6B7A"/>
          <w:sz w:val="26"/>
          <w:szCs w:val="26"/>
        </w:rPr>
        <w:t xml:space="preserve">5.6  Integration with Carbon Risk Monitoring</w:t>
      </w:r>
    </w:p>
    <w:p>
      <w:pPr>
        <w:spacing w:before="80" w:after="120" w:line="276"/>
        <w:jc w:val="both"/>
      </w:pPr>
      <w:r>
        <w:rPr>
          <w:rFonts w:ascii="Arial" w:cs="Arial" w:eastAsia="Arial" w:hAnsi="Arial"/>
          <w:b w:val="false"/>
          <w:bCs w:val="false"/>
          <w:i w:val="false"/>
          <w:iCs w:val="false"/>
          <w:color w:val="1A1A1A"/>
          <w:sz w:val="22"/>
          <w:szCs w:val="22"/>
        </w:rPr>
        <w:t xml:space="preserve">Where pressure indicators show rising cutting incidence, expansion of land conversion, increased charcoal activity, or escalating access conflict, these signals are cross-referenced with PSP locations, restoration areas, and carbon stock projections. This ensures that environmental pressure monitoring directly informs carbon integrity assessment and that early warning signals are converted into timely management responses rather than allowed to develop into confirmed carbon losses.</w:t>
      </w:r>
    </w:p>
    <w:p>
      <w:pPr>
        <w:pStyle w:val="Heading1"/>
        <w:pageBreakBefore/>
        <w:spacing w:before="480" w:after="240"/>
      </w:pPr>
      <w:r>
        <w:rPr>
          <w:rFonts w:ascii="Arial" w:cs="Arial" w:eastAsia="Arial" w:hAnsi="Arial"/>
          <w:b/>
          <w:bCs/>
          <w:color w:val="1B4F72"/>
          <w:sz w:val="30"/>
          <w:szCs w:val="30"/>
        </w:rPr>
        <w:t xml:space="preserve">6.  Governance and Safeguard Assurance Framework</w:t>
      </w:r>
    </w:p>
    <w:p>
      <w:pPr>
        <w:pStyle w:val="Heading2"/>
        <w:spacing w:before="300" w:after="160"/>
      </w:pPr>
      <w:r>
        <w:rPr>
          <w:rFonts w:ascii="Arial" w:cs="Arial" w:eastAsia="Arial" w:hAnsi="Arial"/>
          <w:b/>
          <w:bCs/>
          <w:color w:val="1A6B7A"/>
          <w:sz w:val="26"/>
          <w:szCs w:val="26"/>
        </w:rPr>
        <w:t xml:space="preserve">6.1  Objective</w:t>
      </w:r>
    </w:p>
    <w:p>
      <w:pPr>
        <w:spacing w:before="80" w:after="120" w:line="276"/>
        <w:jc w:val="both"/>
      </w:pPr>
      <w:r>
        <w:rPr>
          <w:rFonts w:ascii="Arial" w:cs="Arial" w:eastAsia="Arial" w:hAnsi="Arial"/>
          <w:b w:val="false"/>
          <w:bCs w:val="false"/>
          <w:i w:val="false"/>
          <w:iCs w:val="false"/>
          <w:color w:val="1A1A1A"/>
          <w:sz w:val="22"/>
          <w:szCs w:val="22"/>
        </w:rPr>
        <w:t xml:space="preserve">The Governance and Safeguard Assurance Framework establishes the institutional mechanisms through which Ghana ensures that blue carbon investments are socially inclusive, transparent, conflict-sensitive, accountable, equitably managed, and protected against elite capture and governance instability. The framework recognises that long-term carbon integrity depends on stable, legitimate, and participatory governance systems at the landscape level.</w:t>
      </w:r>
    </w:p>
    <w:p>
      <w:pPr>
        <w:spacing w:before="80" w:after="120" w:line="276"/>
        <w:jc w:val="both"/>
      </w:pPr>
      <w:r>
        <w:rPr>
          <w:rFonts w:ascii="Arial" w:cs="Arial" w:eastAsia="Arial" w:hAnsi="Arial"/>
          <w:b w:val="false"/>
          <w:bCs w:val="false"/>
          <w:i w:val="false"/>
          <w:iCs w:val="false"/>
          <w:color w:val="1A1A1A"/>
          <w:sz w:val="22"/>
          <w:szCs w:val="22"/>
        </w:rPr>
        <w:t xml:space="preserve">Governance monitoring is not an optional add-on to the MRV system. Governance failure — through unresolved conflict, exclusion of key resource users, or benefit capture — represents a direct risk to carbon permanence. The framework therefore integrates governance and safeguard performance within the same monitoring architecture as ecological and carbon data.</w:t>
      </w:r>
    </w:p>
    <w:p>
      <w:pPr>
        <w:pStyle w:val="Heading2"/>
        <w:spacing w:before="300" w:after="160"/>
      </w:pPr>
      <w:r>
        <w:rPr>
          <w:rFonts w:ascii="Arial" w:cs="Arial" w:eastAsia="Arial" w:hAnsi="Arial"/>
          <w:b/>
          <w:bCs/>
          <w:color w:val="1A6B7A"/>
          <w:sz w:val="26"/>
          <w:szCs w:val="26"/>
        </w:rPr>
        <w:t xml:space="preserve">6.2  Governance Integrity Structure</w:t>
      </w:r>
    </w:p>
    <w:p>
      <w:pPr>
        <w:spacing w:before="80" w:after="120" w:line="276"/>
        <w:jc w:val="both"/>
      </w:pPr>
      <w:r>
        <w:rPr>
          <w:rFonts w:ascii="Arial" w:cs="Arial" w:eastAsia="Arial" w:hAnsi="Arial"/>
          <w:b w:val="false"/>
          <w:bCs w:val="false"/>
          <w:i w:val="false"/>
          <w:iCs w:val="false"/>
          <w:color w:val="1A1A1A"/>
          <w:sz w:val="22"/>
          <w:szCs w:val="22"/>
        </w:rPr>
        <w:t xml:space="preserve">The governance assurance component operates through three interconnected mechanisms: Institutional Representation Monitoring, Transparency and Benefit-Sharing Oversight, and the Grievance Redress Mechanism. These mechanisms function at community, district, and national levels and are documented within the national MRV platform.</w:t>
      </w:r>
    </w:p>
    <w:p>
      <w:pPr>
        <w:pStyle w:val="Heading2"/>
        <w:spacing w:before="300" w:after="160"/>
      </w:pPr>
      <w:r>
        <w:rPr>
          <w:rFonts w:ascii="Arial" w:cs="Arial" w:eastAsia="Arial" w:hAnsi="Arial"/>
          <w:b/>
          <w:bCs/>
          <w:color w:val="1A6B7A"/>
          <w:sz w:val="26"/>
          <w:szCs w:val="26"/>
        </w:rPr>
        <w:t xml:space="preserve">6.3  Institutional Representation Monitoring</w:t>
      </w:r>
    </w:p>
    <w:p>
      <w:pPr>
        <w:spacing w:before="80" w:after="120" w:line="276"/>
        <w:jc w:val="both"/>
      </w:pPr>
      <w:r>
        <w:rPr>
          <w:rFonts w:ascii="Arial" w:cs="Arial" w:eastAsia="Arial" w:hAnsi="Arial"/>
          <w:b w:val="false"/>
          <w:bCs w:val="false"/>
          <w:i w:val="false"/>
          <w:iCs w:val="false"/>
          <w:color w:val="1A1A1A"/>
          <w:sz w:val="22"/>
          <w:szCs w:val="22"/>
        </w:rPr>
        <w:t xml:space="preserve">Inclusive governance reduces social risk and strengthens carbon permanence by ensuring that the communities most affected by ecosystem management decisions have a genuine voice in governance structures. Each CREMA and blue carbon governance structure maintains a minimum of 40% female representation in executive leadership, youth representation within governance committees, inclusion of marginalised or vulnerable groups where applicable, and documented meeting frequency and attendance records.</w:t>
      </w:r>
    </w:p>
    <w:p>
      <w:pPr>
        <w:spacing w:before="80" w:after="120" w:line="276"/>
        <w:jc w:val="both"/>
      </w:pPr>
      <w:r>
        <w:rPr>
          <w:rFonts w:ascii="Arial" w:cs="Arial" w:eastAsia="Arial" w:hAnsi="Arial"/>
          <w:b w:val="false"/>
          <w:bCs w:val="false"/>
          <w:i w:val="false"/>
          <w:iCs w:val="false"/>
          <w:color w:val="1A1A1A"/>
          <w:sz w:val="22"/>
          <w:szCs w:val="22"/>
        </w:rPr>
        <w:t xml:space="preserve">Annual reporting includes governance composition statistics, changes in leadership structure, and evidence of inclusive decision-making processes. This ensures that benefits and responsibilities are broadly distributed and that the risk of social resistance or community disengagement is actively managed.</w:t>
      </w:r>
    </w:p>
    <w:p>
      <w:pPr>
        <w:pStyle w:val="Heading2"/>
        <w:spacing w:before="300" w:after="160"/>
      </w:pPr>
      <w:r>
        <w:rPr>
          <w:rFonts w:ascii="Arial" w:cs="Arial" w:eastAsia="Arial" w:hAnsi="Arial"/>
          <w:b/>
          <w:bCs/>
          <w:color w:val="1A6B7A"/>
          <w:sz w:val="26"/>
          <w:szCs w:val="26"/>
        </w:rPr>
        <w:t xml:space="preserve">6.4  Transparency and Benefit-Sharing Oversight</w:t>
      </w:r>
    </w:p>
    <w:p>
      <w:pPr>
        <w:spacing w:before="80" w:after="120" w:line="276"/>
        <w:jc w:val="both"/>
      </w:pPr>
      <w:r>
        <w:rPr>
          <w:rFonts w:ascii="Arial" w:cs="Arial" w:eastAsia="Arial" w:hAnsi="Arial"/>
          <w:b w:val="false"/>
          <w:bCs w:val="false"/>
          <w:i w:val="false"/>
          <w:iCs w:val="false"/>
          <w:color w:val="1A1A1A"/>
          <w:sz w:val="22"/>
          <w:szCs w:val="22"/>
        </w:rPr>
        <w:t xml:space="preserve">Transparent management of blue carbon revenues and associated livelihood benefits is essential to maintaining community trust and preventing elite capture. Monitoring includes documentation of benefit allocation mechanisms, public disclosure of financial flows where carbon revenues are generated, records of livelihood support distribution disaggregated by gender and youth participation where feasible, and evidence of community consultations regarding allocation decisions. Where carbon finance mechanisms are activated, benefit-sharing frameworks are formally documented and archived within the national MRV system.</w:t>
      </w:r>
    </w:p>
    <w:p>
      <w:pPr>
        <w:pStyle w:val="Heading2"/>
        <w:spacing w:before="300" w:after="160"/>
      </w:pPr>
      <w:r>
        <w:rPr>
          <w:rFonts w:ascii="Arial" w:cs="Arial" w:eastAsia="Arial" w:hAnsi="Arial"/>
          <w:b/>
          <w:bCs/>
          <w:color w:val="1A6B7A"/>
          <w:sz w:val="26"/>
          <w:szCs w:val="26"/>
        </w:rPr>
        <w:t xml:space="preserve">6.5  Grievance Redress Mechanism</w:t>
      </w:r>
    </w:p>
    <w:p>
      <w:pPr>
        <w:spacing w:before="80" w:after="120" w:line="276"/>
        <w:jc w:val="both"/>
      </w:pPr>
      <w:r>
        <w:rPr>
          <w:rFonts w:ascii="Arial" w:cs="Arial" w:eastAsia="Arial" w:hAnsi="Arial"/>
          <w:b w:val="false"/>
          <w:bCs w:val="false"/>
          <w:i w:val="false"/>
          <w:iCs w:val="false"/>
          <w:color w:val="1A1A1A"/>
          <w:sz w:val="22"/>
          <w:szCs w:val="22"/>
        </w:rPr>
        <w:t xml:space="preserve">A functional Grievance Redress Mechanism (GRM) is mandatory for maintaining safeguard integrity across the programme. Each blue carbon landscape maintains a documented grievance submission pathway with designated focal persons, escalation procedures to district and national levels, and a documented record of grievance resolution outcomes.</w:t>
      </w:r>
    </w:p>
    <w:p>
      <w:pPr>
        <w:spacing w:before="80" w:after="120" w:line="276"/>
        <w:jc w:val="both"/>
      </w:pPr>
      <w:r>
        <w:rPr>
          <w:rFonts w:ascii="Arial" w:cs="Arial" w:eastAsia="Arial" w:hAnsi="Arial"/>
          <w:b w:val="false"/>
          <w:bCs w:val="false"/>
          <w:i w:val="false"/>
          <w:iCs w:val="false"/>
          <w:color w:val="1A1A1A"/>
          <w:sz w:val="22"/>
          <w:szCs w:val="22"/>
        </w:rPr>
        <w:t xml:space="preserve">Monitoring indicators for the GRM include the number of grievances received, the nature of grievances filed, the resolution rate, and the average time taken to resolve cases. Unresolved or repeated grievances trigger district-level review and, where necessary, national oversight. Grievance patterns are also cross-referenced with environmental pressure hotspots as a governance risk signal.</w:t>
      </w:r>
    </w:p>
    <w:p>
      <w:pPr>
        <w:pStyle w:val="Heading2"/>
        <w:spacing w:before="300" w:after="160"/>
      </w:pPr>
      <w:r>
        <w:rPr>
          <w:rFonts w:ascii="Arial" w:cs="Arial" w:eastAsia="Arial" w:hAnsi="Arial"/>
          <w:b/>
          <w:bCs/>
          <w:color w:val="1A6B7A"/>
          <w:sz w:val="26"/>
          <w:szCs w:val="26"/>
        </w:rPr>
        <w:t xml:space="preserve">6.6  Conflict and Access Risk Monitoring</w:t>
      </w:r>
    </w:p>
    <w:p>
      <w:pPr>
        <w:spacing w:before="80" w:after="120" w:line="276"/>
        <w:jc w:val="both"/>
      </w:pPr>
      <w:r>
        <w:rPr>
          <w:rFonts w:ascii="Arial" w:cs="Arial" w:eastAsia="Arial" w:hAnsi="Arial"/>
          <w:b w:val="false"/>
          <w:bCs w:val="false"/>
          <w:i w:val="false"/>
          <w:iCs w:val="false"/>
          <w:color w:val="1A1A1A"/>
          <w:sz w:val="22"/>
          <w:szCs w:val="22"/>
        </w:rPr>
        <w:t xml:space="preserve">Land tenure disputes, access conflicts, and resource competition can undermine both ecosystem protection and carbon permanence. The MRV system tracks the number of land-use conflicts affecting blue carbon areas, conflicts between artisanal and industrial actors, access restrictions affecting traditional users, and mediation efforts undertaken. Conflict escalation is treated as an environmental pressure risk and is cross-referenced with ecological monitoring outputs.</w:t>
      </w:r>
    </w:p>
    <w:p>
      <w:pPr>
        <w:pStyle w:val="Heading2"/>
        <w:spacing w:before="300" w:after="160"/>
      </w:pPr>
      <w:r>
        <w:rPr>
          <w:rFonts w:ascii="Arial" w:cs="Arial" w:eastAsia="Arial" w:hAnsi="Arial"/>
          <w:b/>
          <w:bCs/>
          <w:color w:val="1A6B7A"/>
          <w:sz w:val="26"/>
          <w:szCs w:val="26"/>
        </w:rPr>
        <w:t xml:space="preserve">6.7  Free, Prior and Informed Participation</w:t>
      </w:r>
    </w:p>
    <w:p>
      <w:pPr>
        <w:spacing w:before="80" w:after="120" w:line="276"/>
        <w:jc w:val="both"/>
      </w:pPr>
      <w:r>
        <w:rPr>
          <w:rFonts w:ascii="Arial" w:cs="Arial" w:eastAsia="Arial" w:hAnsi="Arial"/>
          <w:b w:val="false"/>
          <w:bCs w:val="false"/>
          <w:i w:val="false"/>
          <w:iCs w:val="false"/>
          <w:color w:val="1A1A1A"/>
          <w:sz w:val="22"/>
          <w:szCs w:val="22"/>
        </w:rPr>
        <w:t xml:space="preserve">Sustained community consent and participation are foundational to long-term ecosystem stewardship. The system documents annual consultation meetings, participation records, updates on restoration and monitoring activities, and community validation of key decisions affecting land use. Participation documentation is archived digitally within the national MRV database. Where necessary, community engagement records form part of safeguard evidence for donor or independent verification purposes.</w:t>
      </w:r>
    </w:p>
    <w:p>
      <w:pPr>
        <w:pStyle w:val="Heading2"/>
        <w:spacing w:before="300" w:after="160"/>
      </w:pPr>
      <w:r>
        <w:rPr>
          <w:rFonts w:ascii="Arial" w:cs="Arial" w:eastAsia="Arial" w:hAnsi="Arial"/>
          <w:b/>
          <w:bCs/>
          <w:color w:val="1A6B7A"/>
          <w:sz w:val="26"/>
          <w:szCs w:val="26"/>
        </w:rPr>
        <w:t xml:space="preserve">6.8  Integration of Governance with Ecological Monitoring</w:t>
      </w:r>
    </w:p>
    <w:p>
      <w:pPr>
        <w:spacing w:before="80" w:after="120" w:line="276"/>
        <w:jc w:val="both"/>
      </w:pPr>
      <w:r>
        <w:rPr>
          <w:rFonts w:ascii="Arial" w:cs="Arial" w:eastAsia="Arial" w:hAnsi="Arial"/>
          <w:b w:val="false"/>
          <w:bCs w:val="false"/>
          <w:i w:val="false"/>
          <w:iCs w:val="false"/>
          <w:color w:val="1A1A1A"/>
          <w:sz w:val="22"/>
          <w:szCs w:val="22"/>
        </w:rPr>
        <w:t xml:space="preserve">The governance and safeguard layer is fully integrated with the ecological and pressure layers. Conflict data is cross-referenced with land conversion alerts; benefit-sharing transparency is linked to restoration participation; grievance patterns are mapped against pressure hotspots; and governance instability signals are treated as early warnings for carbon risk zones. This integration ensures that governance breakdowns are identified before they translate into measurable ecological or carbon consequences.</w:t>
      </w:r>
    </w:p>
    <w:p>
      <w:pPr>
        <w:pStyle w:val="Heading1"/>
        <w:pageBreakBefore/>
        <w:spacing w:before="480" w:after="240"/>
      </w:pPr>
      <w:r>
        <w:rPr>
          <w:rFonts w:ascii="Arial" w:cs="Arial" w:eastAsia="Arial" w:hAnsi="Arial"/>
          <w:b/>
          <w:bCs/>
          <w:color w:val="1B4F72"/>
          <w:sz w:val="30"/>
          <w:szCs w:val="30"/>
        </w:rPr>
        <w:t xml:space="preserve">7.  Wetland Ecosystem Monitoring — Keta and Ada</w:t>
      </w:r>
    </w:p>
    <w:p>
      <w:pPr>
        <w:pStyle w:val="Heading2"/>
        <w:spacing w:before="300" w:after="160"/>
      </w:pPr>
      <w:r>
        <w:rPr>
          <w:rFonts w:ascii="Arial" w:cs="Arial" w:eastAsia="Arial" w:hAnsi="Arial"/>
          <w:b/>
          <w:bCs/>
          <w:color w:val="1A6B7A"/>
          <w:sz w:val="26"/>
          <w:szCs w:val="26"/>
        </w:rPr>
        <w:t xml:space="preserve">7.1  Overview</w:t>
      </w:r>
    </w:p>
    <w:p>
      <w:pPr>
        <w:spacing w:before="80" w:after="120" w:line="276"/>
        <w:jc w:val="both"/>
      </w:pPr>
      <w:r>
        <w:rPr>
          <w:rFonts w:ascii="Arial" w:cs="Arial" w:eastAsia="Arial" w:hAnsi="Arial"/>
          <w:b w:val="false"/>
          <w:bCs w:val="false"/>
          <w:i w:val="false"/>
          <w:iCs w:val="false"/>
          <w:color w:val="1A1A1A"/>
          <w:sz w:val="22"/>
          <w:szCs w:val="22"/>
        </w:rPr>
        <w:t xml:space="preserve">The Keta Lagoon Complex Ramsar Site and Songor Ramsar Site and UNESCO Biosphere Reserve are designated Ramsar sites under the Ramsar Convention. They carry both local and international conservation and ecological obligations. Both sites face increasing pressure from population growth, urbanisation, coastal industrialisation, and livelihood-driven resource extraction.</w:t>
      </w:r>
    </w:p>
    <w:p>
      <w:pPr>
        <w:spacing w:before="80" w:after="120" w:line="276"/>
        <w:jc w:val="both"/>
      </w:pPr>
      <w:r>
        <w:rPr>
          <w:rFonts w:ascii="Arial" w:cs="Arial" w:eastAsia="Arial" w:hAnsi="Arial"/>
          <w:b w:val="false"/>
          <w:bCs w:val="false"/>
          <w:i w:val="false"/>
          <w:iCs w:val="false"/>
          <w:color w:val="1A1A1A"/>
          <w:sz w:val="22"/>
          <w:szCs w:val="22"/>
        </w:rPr>
        <w:t xml:space="preserve">The December 2025 field assessment provided an ecosystem health baseline for both sites and identified parameters requiring ongoing monitoring to support informed management decisions. Community Change Agents received field training in data collection protocols during this assessment, establishing a practical capacity for routine monitoring at both sites.</w:t>
      </w:r>
    </w:p>
    <w:p>
      <w:pPr>
        <w:pStyle w:val="Heading2"/>
        <w:spacing w:before="300" w:after="160"/>
      </w:pPr>
      <w:r>
        <w:rPr>
          <w:rFonts w:ascii="Arial" w:cs="Arial" w:eastAsia="Arial" w:hAnsi="Arial"/>
          <w:b/>
          <w:bCs/>
          <w:color w:val="1A6B7A"/>
          <w:sz w:val="26"/>
          <w:szCs w:val="26"/>
        </w:rPr>
        <w:t xml:space="preserve">7.2  Sampling Design</w:t>
      </w:r>
    </w:p>
    <w:p>
      <w:pPr>
        <w:spacing w:before="80" w:after="120" w:line="276"/>
        <w:jc w:val="both"/>
      </w:pPr>
      <w:r>
        <w:rPr>
          <w:rFonts w:ascii="Arial" w:cs="Arial" w:eastAsia="Arial" w:hAnsi="Arial"/>
          <w:b w:val="false"/>
          <w:bCs w:val="false"/>
          <w:i w:val="false"/>
          <w:iCs w:val="false"/>
          <w:color w:val="1A1A1A"/>
          <w:sz w:val="22"/>
          <w:szCs w:val="22"/>
        </w:rPr>
        <w:t xml:space="preserve">A quarterly monitoring schedule is proposed for both Keta and Ada, covering physico-chemical water and soil parameters. Given the large geographic extent of both Ramsar sites, sampling is focused on designated stations positioned within supervised GIS-prepared maps to provide representative coverage of the diverse wetland ecosystems present at each site.</w:t>
      </w:r>
    </w:p>
    <w:p>
      <w:pPr>
        <w:spacing w:before="80" w:after="120" w:line="276"/>
        <w:jc w:val="both"/>
      </w:pPr>
      <w:r>
        <w:rPr>
          <w:rFonts w:ascii="Arial" w:cs="Arial" w:eastAsia="Arial" w:hAnsi="Arial"/>
          <w:b w:val="false"/>
          <w:bCs w:val="false"/>
          <w:i w:val="false"/>
          <w:iCs w:val="false"/>
          <w:color w:val="1A1A1A"/>
          <w:sz w:val="22"/>
          <w:szCs w:val="22"/>
        </w:rPr>
        <w:t xml:space="preserve">The proposed sampling network comprises 57 stations at Keta and 23 stations at Ada. These stations are distributed to capture variation across hydrological zones, salinity gradients, and ecological sub-units within each site. Community Change Agents conduct data collection within their designated station zones, with field data sheets providing standardised records for all collected parameters.</w:t>
      </w:r>
    </w:p>
    <w:p>
      <w:pPr>
        <w:pStyle w:val="Heading2"/>
        <w:spacing w:before="300" w:after="160"/>
      </w:pPr>
      <w:r>
        <w:rPr>
          <w:rFonts w:ascii="Arial" w:cs="Arial" w:eastAsia="Arial" w:hAnsi="Arial"/>
          <w:b/>
          <w:bCs/>
          <w:color w:val="1A6B7A"/>
          <w:sz w:val="26"/>
          <w:szCs w:val="26"/>
        </w:rPr>
        <w:t xml:space="preserve">7.3  Parameters Monitored</w:t>
      </w:r>
    </w:p>
    <w:p>
      <w:pPr>
        <w:pStyle w:val="Heading3"/>
        <w:spacing w:before="240" w:after="120"/>
      </w:pPr>
      <w:r>
        <w:rPr>
          <w:rFonts w:ascii="Arial" w:cs="Arial" w:eastAsia="Arial" w:hAnsi="Arial"/>
          <w:b/>
          <w:bCs/>
          <w:color w:val="1B4F72"/>
          <w:sz w:val="24"/>
          <w:szCs w:val="24"/>
        </w:rPr>
        <w:t xml:space="preserve">Water Quality — Physico-Chemical</w:t>
      </w:r>
    </w:p>
    <w:p>
      <w:pPr>
        <w:spacing w:before="80" w:after="120" w:line="276"/>
        <w:jc w:val="both"/>
      </w:pPr>
      <w:r>
        <w:rPr>
          <w:rFonts w:ascii="Arial" w:cs="Arial" w:eastAsia="Arial" w:hAnsi="Arial"/>
          <w:b w:val="false"/>
          <w:bCs w:val="false"/>
          <w:i w:val="false"/>
          <w:iCs w:val="false"/>
          <w:color w:val="1A1A1A"/>
          <w:sz w:val="22"/>
          <w:szCs w:val="22"/>
        </w:rPr>
        <w:t xml:space="preserve">Quarterly water quality monitoring records pH, temperature, conductivity, salinity, total dissolved solids, dissolved oxygen, oxidation-reduction potential, and resistivity. GPS coordinates of each sampling location and the model of equipment used are recorded on the field data sheet for each monitoring event.</w:t>
      </w:r>
    </w:p>
    <w:p>
      <w:pPr>
        <w:pStyle w:val="Heading3"/>
        <w:spacing w:before="240" w:after="120"/>
      </w:pPr>
      <w:r>
        <w:rPr>
          <w:rFonts w:ascii="Arial" w:cs="Arial" w:eastAsia="Arial" w:hAnsi="Arial"/>
          <w:b/>
          <w:bCs/>
          <w:color w:val="1B4F72"/>
          <w:sz w:val="24"/>
          <w:szCs w:val="24"/>
        </w:rPr>
        <w:t xml:space="preserve">Soil Chemical and Biological Indicators</w:t>
      </w:r>
    </w:p>
    <w:p>
      <w:pPr>
        <w:spacing w:before="80" w:after="120" w:line="276"/>
        <w:jc w:val="both"/>
      </w:pPr>
      <w:r>
        <w:rPr>
          <w:rFonts w:ascii="Arial" w:cs="Arial" w:eastAsia="Arial" w:hAnsi="Arial"/>
          <w:b w:val="false"/>
          <w:bCs w:val="false"/>
          <w:i w:val="false"/>
          <w:iCs w:val="false"/>
          <w:color w:val="1A1A1A"/>
          <w:sz w:val="22"/>
          <w:szCs w:val="22"/>
        </w:rPr>
        <w:t xml:space="preserve">Soil parameter monitoring covers nitrate, phosphate, potassium, pH, moisture, humus content, and soil temperature. As with water quality data, GPS coordinates and equipment details are recorded for each sampling event.</w:t>
      </w:r>
    </w:p>
    <w:p>
      <w:pPr>
        <w:pStyle w:val="Heading2"/>
        <w:spacing w:before="300" w:after="160"/>
      </w:pPr>
      <w:r>
        <w:rPr>
          <w:rFonts w:ascii="Arial" w:cs="Arial" w:eastAsia="Arial" w:hAnsi="Arial"/>
          <w:b/>
          <w:bCs/>
          <w:color w:val="1A6B7A"/>
          <w:sz w:val="26"/>
          <w:szCs w:val="26"/>
        </w:rPr>
        <w:t xml:space="preserve">7.4  Field Protocol Requirements</w:t>
      </w:r>
    </w:p>
    <w:p>
      <w:pPr>
        <w:spacing w:before="80" w:after="120" w:line="276"/>
        <w:jc w:val="both"/>
      </w:pPr>
      <w:r>
        <w:rPr>
          <w:rFonts w:ascii="Arial" w:cs="Arial" w:eastAsia="Arial" w:hAnsi="Arial"/>
          <w:b w:val="false"/>
          <w:bCs w:val="false"/>
          <w:i w:val="false"/>
          <w:iCs w:val="false"/>
          <w:color w:val="1A1A1A"/>
          <w:sz w:val="22"/>
          <w:szCs w:val="22"/>
        </w:rPr>
        <w:t xml:space="preserve">All field data sheets are completed with the site name, GPS coordinates, any descriptive information about the sampling context, date, time, name of the recorder, and equipment details including model, accuracy, and any defect or range limitation. Any variation in sampling strategy, addition of new stations, or decision to change from designated sampling sites must be documented.</w:t>
      </w:r>
    </w:p>
    <w:p>
      <w:pPr>
        <w:spacing w:before="80" w:after="120" w:line="276"/>
        <w:jc w:val="both"/>
      </w:pPr>
      <w:r>
        <w:rPr>
          <w:rFonts w:ascii="Arial" w:cs="Arial" w:eastAsia="Arial" w:hAnsi="Arial"/>
          <w:b w:val="false"/>
          <w:bCs w:val="false"/>
          <w:i w:val="false"/>
          <w:iCs w:val="false"/>
          <w:color w:val="1A1A1A"/>
          <w:sz w:val="22"/>
          <w:szCs w:val="22"/>
        </w:rPr>
        <w:t xml:space="preserve">Where equipment allows, multiple parameters may be collected by two field teams operating concurrently, joining afterwards for other sample types. Unusual or drastic changes in the physical or chemical quality of water or soil are reported immediately to the management authority or the District Assembly, without waiting for the scheduled quarterly reporting cycle. Backups for all collected data are required to prevent information loss.</w:t>
      </w:r>
    </w:p>
    <w:p>
      <w:pPr>
        <w:pStyle w:val="Heading2"/>
        <w:spacing w:before="300" w:after="160"/>
      </w:pPr>
      <w:r>
        <w:rPr>
          <w:rFonts w:ascii="Arial" w:cs="Arial" w:eastAsia="Arial" w:hAnsi="Arial"/>
          <w:b/>
          <w:bCs/>
          <w:color w:val="1A6B7A"/>
          <w:sz w:val="26"/>
          <w:szCs w:val="26"/>
        </w:rPr>
        <w:t xml:space="preserve">7.5  Linkage to MRV Reporting</w:t>
      </w:r>
    </w:p>
    <w:p>
      <w:pPr>
        <w:spacing w:before="80" w:after="120" w:line="276"/>
        <w:jc w:val="both"/>
      </w:pPr>
      <w:r>
        <w:rPr>
          <w:rFonts w:ascii="Arial" w:cs="Arial" w:eastAsia="Arial" w:hAnsi="Arial"/>
          <w:b w:val="false"/>
          <w:bCs w:val="false"/>
          <w:i w:val="false"/>
          <w:iCs w:val="false"/>
          <w:color w:val="1A1A1A"/>
          <w:sz w:val="22"/>
          <w:szCs w:val="22"/>
        </w:rPr>
        <w:t xml:space="preserve">Ecosystem monitoring data collected at Keta and Ada feeds directly into the national MRV system as a component of the Environmental Pressure Surveillance and Ecological Integrity layers. Physico-chemical changes in water and soil quality serve as early-warning signals for ecosystem stress, hydrological alteration, and pollution events. These signals are consolidated at district level, reviewed against GIS-based pressure overlays, and included in annual national MRV reporting.</w:t>
      </w:r>
    </w:p>
    <w:p>
      <w:pPr>
        <w:spacing w:before="80" w:after="120" w:line="276"/>
        <w:jc w:val="both"/>
      </w:pPr>
      <w:r>
        <w:rPr>
          <w:rFonts w:ascii="Arial" w:cs="Arial" w:eastAsia="Arial" w:hAnsi="Arial"/>
          <w:b w:val="false"/>
          <w:bCs w:val="false"/>
          <w:i w:val="false"/>
          <w:iCs w:val="false"/>
          <w:color w:val="1A1A1A"/>
          <w:sz w:val="22"/>
          <w:szCs w:val="22"/>
        </w:rPr>
        <w:t xml:space="preserve">Community Change Agents at both sites are therefore part of a protocolised national monitoring system, not merely undertaking local observation. Their data contributes to a continuous national evidence stream that supports both Ramsar site management and the broader blue carbon MRV framework.</w:t>
      </w:r>
    </w:p>
    <w:p>
      <w:pPr>
        <w:pStyle w:val="Heading1"/>
        <w:pageBreakBefore/>
        <w:spacing w:before="480" w:after="240"/>
      </w:pPr>
      <w:r>
        <w:rPr>
          <w:rFonts w:ascii="Arial" w:cs="Arial" w:eastAsia="Arial" w:hAnsi="Arial"/>
          <w:b/>
          <w:bCs/>
          <w:color w:val="1B4F72"/>
          <w:sz w:val="30"/>
          <w:szCs w:val="30"/>
        </w:rPr>
        <w:t xml:space="preserve">8.  Digital Monitoring and Web-Based Spatial Platform</w:t>
      </w:r>
    </w:p>
    <w:p>
      <w:pPr>
        <w:pStyle w:val="Heading2"/>
        <w:spacing w:before="300" w:after="160"/>
      </w:pPr>
      <w:r>
        <w:rPr>
          <w:rFonts w:ascii="Arial" w:cs="Arial" w:eastAsia="Arial" w:hAnsi="Arial"/>
          <w:b/>
          <w:bCs/>
          <w:color w:val="1A6B7A"/>
          <w:sz w:val="26"/>
          <w:szCs w:val="26"/>
        </w:rPr>
        <w:t xml:space="preserve">8.1  Objective</w:t>
      </w:r>
    </w:p>
    <w:p>
      <w:pPr>
        <w:spacing w:before="80" w:after="120" w:line="276"/>
        <w:jc w:val="both"/>
      </w:pPr>
      <w:r>
        <w:rPr>
          <w:rFonts w:ascii="Arial" w:cs="Arial" w:eastAsia="Arial" w:hAnsi="Arial"/>
          <w:b w:val="false"/>
          <w:bCs w:val="false"/>
          <w:i w:val="false"/>
          <w:iCs w:val="false"/>
          <w:color w:val="1A1A1A"/>
          <w:sz w:val="22"/>
          <w:szCs w:val="22"/>
        </w:rPr>
        <w:t xml:space="preserve">The Digital Monitoring and Web-Based Spatial Platform serves as the technological backbone of Ghana's National Blue Carbon MRV Framework. It enables continuous spatial monitoring, real-time detection of ecosystem change, centralised data management, integration of ecological and carbon and governance data, transparent institutional oversight, and enhanced investment confidence through traceable data systems.</w:t>
      </w:r>
    </w:p>
    <w:p>
      <w:pPr>
        <w:spacing w:before="80" w:after="120" w:line="276"/>
        <w:jc w:val="both"/>
      </w:pPr>
      <w:r>
        <w:rPr>
          <w:rFonts w:ascii="Arial" w:cs="Arial" w:eastAsia="Arial" w:hAnsi="Arial"/>
          <w:b w:val="false"/>
          <w:bCs w:val="false"/>
          <w:i w:val="false"/>
          <w:iCs w:val="false"/>
          <w:color w:val="1A1A1A"/>
          <w:sz w:val="22"/>
          <w:szCs w:val="22"/>
        </w:rPr>
        <w:t xml:space="preserve">The platform transforms the MRV system from a periodic reporting mechanism into a continuous monitoring architecture. Rather than relying on infrequent manual consolidation, the platform integrates satellite feeds, field inputs, PSP records, and governance data into a live national monitoring system.</w:t>
      </w:r>
    </w:p>
    <w:p>
      <w:pPr>
        <w:pStyle w:val="Heading2"/>
        <w:spacing w:before="300" w:after="160"/>
      </w:pPr>
      <w:r>
        <w:rPr>
          <w:rFonts w:ascii="Arial" w:cs="Arial" w:eastAsia="Arial" w:hAnsi="Arial"/>
          <w:b/>
          <w:bCs/>
          <w:color w:val="1A6B7A"/>
          <w:sz w:val="26"/>
          <w:szCs w:val="26"/>
        </w:rPr>
        <w:t xml:space="preserve">8.2  System Architecture</w:t>
      </w:r>
    </w:p>
    <w:p>
      <w:pPr>
        <w:spacing w:before="80" w:after="120" w:line="276"/>
        <w:jc w:val="both"/>
      </w:pPr>
      <w:r>
        <w:rPr>
          <w:rFonts w:ascii="Arial" w:cs="Arial" w:eastAsia="Arial" w:hAnsi="Arial"/>
          <w:b w:val="false"/>
          <w:bCs w:val="false"/>
          <w:i w:val="false"/>
          <w:iCs w:val="false"/>
          <w:color w:val="1A1A1A"/>
          <w:sz w:val="22"/>
          <w:szCs w:val="22"/>
        </w:rPr>
        <w:t xml:space="preserve">The digital platform integrates baseline ecological and carbon layers, restoration potential zones and active restoration sites, the Permanent Sample Plot registry, ecologically sensitive areas, environmental pressure hotspots, weekly satellite imagery feeds, and change detection analytics. The platform operates through secure, role-based access controlled centrally by MLNR and MEST.</w:t>
      </w:r>
    </w:p>
    <w:p>
      <w:pPr>
        <w:spacing w:before="0" w:after="60"/>
      </w:pPr>
      <w:r>
        <w:t xml:space="preserve"/>
      </w:r>
    </w:p>
    <w:p>
      <w:pPr>
        <w:spacing w:before="80" w:after="120" w:line="276"/>
        <w:jc w:val="both"/>
      </w:pPr>
      <w:r>
        <w:rPr>
          <w:rFonts w:ascii="Arial" w:cs="Arial" w:eastAsia="Arial" w:hAnsi="Arial"/>
          <w:b/>
          <w:bCs/>
          <w:i/>
          <w:iCs/>
          <w:color w:val="1A1A1A"/>
          <w:sz w:val="22"/>
          <w:szCs w:val="22"/>
        </w:rPr>
        <w:t xml:space="preserve">PLACEHOLDER — MRV Platform Dashboard Screenshot</w:t>
      </w:r>
    </w:p>
    <w:p>
      <w:pPr>
        <w:spacing w:before="80" w:after="120" w:line="276"/>
        <w:jc w:val="both"/>
      </w:pPr>
      <w:r>
        <w:rPr>
          <w:rFonts w:ascii="Arial" w:cs="Arial" w:eastAsia="Arial" w:hAnsi="Arial"/>
          <w:b w:val="false"/>
          <w:bCs w:val="false"/>
          <w:i/>
          <w:iCs/>
          <w:color w:val="1A1A1A"/>
          <w:sz w:val="22"/>
          <w:szCs w:val="22"/>
        </w:rPr>
        <w:t xml:space="preserve">[Insert screenshot of the national MRV platform overview dashboard showing spatial layers, restoration tracking overlays, and carbon monitoring modules when available.]</w:t>
      </w:r>
    </w:p>
    <w:p>
      <w:pPr>
        <w:spacing w:before="0" w:after="60"/>
      </w:pPr>
      <w:r>
        <w:t xml:space="preserve"/>
      </w:r>
    </w:p>
    <w:p>
      <w:pPr>
        <w:pStyle w:val="Heading2"/>
        <w:spacing w:before="300" w:after="160"/>
      </w:pPr>
      <w:r>
        <w:rPr>
          <w:rFonts w:ascii="Arial" w:cs="Arial" w:eastAsia="Arial" w:hAnsi="Arial"/>
          <w:b/>
          <w:bCs/>
          <w:color w:val="1A6B7A"/>
          <w:sz w:val="26"/>
          <w:szCs w:val="26"/>
        </w:rPr>
        <w:t xml:space="preserve">8.3  Spatial Data Layers</w:t>
      </w:r>
    </w:p>
    <w:p>
      <w:pPr>
        <w:spacing w:before="80" w:after="120" w:line="276"/>
        <w:jc w:val="both"/>
      </w:pPr>
      <w:r>
        <w:rPr>
          <w:rFonts w:ascii="Arial" w:cs="Arial" w:eastAsia="Arial" w:hAnsi="Arial"/>
          <w:b w:val="false"/>
          <w:bCs w:val="false"/>
          <w:i w:val="false"/>
          <w:iCs w:val="false"/>
          <w:color w:val="1A1A1A"/>
          <w:sz w:val="22"/>
          <w:szCs w:val="22"/>
        </w:rPr>
        <w:t xml:space="preserve">The platform hosts the following core spatial datasets across four layer groups:</w:t>
      </w:r>
    </w:p>
    <w:p>
      <w:pPr>
        <w:pStyle w:val="Heading3"/>
        <w:spacing w:before="240" w:after="120"/>
      </w:pPr>
      <w:r>
        <w:rPr>
          <w:rFonts w:ascii="Arial" w:cs="Arial" w:eastAsia="Arial" w:hAnsi="Arial"/>
          <w:b/>
          <w:bCs/>
          <w:color w:val="1B4F72"/>
          <w:sz w:val="24"/>
          <w:szCs w:val="24"/>
        </w:rPr>
        <w:t xml:space="preserve">Baseline Layers</w:t>
      </w:r>
    </w:p>
    <w:p>
      <w:pPr>
        <w:spacing w:before="80" w:after="120" w:line="276"/>
        <w:jc w:val="both"/>
      </w:pPr>
      <w:r>
        <w:rPr>
          <w:rFonts w:ascii="Arial" w:cs="Arial" w:eastAsia="Arial" w:hAnsi="Arial"/>
          <w:b w:val="false"/>
          <w:bCs w:val="false"/>
          <w:i w:val="false"/>
          <w:iCs w:val="false"/>
          <w:color w:val="1A1A1A"/>
          <w:sz w:val="22"/>
          <w:szCs w:val="22"/>
        </w:rPr>
        <w:t xml:space="preserve">National mangrove extent at Year 0 reference; ecosystem classification zones; and stratified carbon inventory units.</w:t>
      </w:r>
    </w:p>
    <w:p>
      <w:pPr>
        <w:pStyle w:val="Heading3"/>
        <w:spacing w:before="240" w:after="120"/>
      </w:pPr>
      <w:r>
        <w:rPr>
          <w:rFonts w:ascii="Arial" w:cs="Arial" w:eastAsia="Arial" w:hAnsi="Arial"/>
          <w:b/>
          <w:bCs/>
          <w:color w:val="1B4F72"/>
          <w:sz w:val="24"/>
          <w:szCs w:val="24"/>
        </w:rPr>
        <w:t xml:space="preserve">Restoration Layers</w:t>
      </w:r>
    </w:p>
    <w:p>
      <w:pPr>
        <w:spacing w:before="80" w:after="120" w:line="276"/>
        <w:jc w:val="both"/>
      </w:pPr>
      <w:r>
        <w:rPr>
          <w:rFonts w:ascii="Arial" w:cs="Arial" w:eastAsia="Arial" w:hAnsi="Arial"/>
          <w:b w:val="false"/>
          <w:bCs w:val="false"/>
          <w:i w:val="false"/>
          <w:iCs w:val="false"/>
          <w:color w:val="1A1A1A"/>
          <w:sz w:val="22"/>
          <w:szCs w:val="22"/>
        </w:rPr>
        <w:t xml:space="preserve">Registered restoration sites with unique identifiers, survival monitoring records, and restoration performance status.</w:t>
      </w:r>
    </w:p>
    <w:p>
      <w:pPr>
        <w:pStyle w:val="Heading3"/>
        <w:spacing w:before="240" w:after="120"/>
      </w:pPr>
      <w:r>
        <w:rPr>
          <w:rFonts w:ascii="Arial" w:cs="Arial" w:eastAsia="Arial" w:hAnsi="Arial"/>
          <w:b/>
          <w:bCs/>
          <w:color w:val="1B4F72"/>
          <w:sz w:val="24"/>
          <w:szCs w:val="24"/>
        </w:rPr>
        <w:t xml:space="preserve">Permanent Sample Plot Registry</w:t>
      </w:r>
    </w:p>
    <w:p>
      <w:pPr>
        <w:spacing w:before="80" w:after="120" w:line="276"/>
        <w:jc w:val="both"/>
      </w:pPr>
      <w:r>
        <w:rPr>
          <w:rFonts w:ascii="Arial" w:cs="Arial" w:eastAsia="Arial" w:hAnsi="Arial"/>
          <w:b w:val="false"/>
          <w:bCs w:val="false"/>
          <w:i w:val="false"/>
          <w:iCs w:val="false"/>
          <w:color w:val="1A1A1A"/>
          <w:sz w:val="22"/>
          <w:szCs w:val="22"/>
        </w:rPr>
        <w:t xml:space="preserve">Georeferenced PSP locations with carbon pool classification, measurement history archives, and re-measurement scheduling indicators.</w:t>
      </w:r>
    </w:p>
    <w:p>
      <w:pPr>
        <w:pStyle w:val="Heading3"/>
        <w:spacing w:before="240" w:after="120"/>
      </w:pPr>
      <w:r>
        <w:rPr>
          <w:rFonts w:ascii="Arial" w:cs="Arial" w:eastAsia="Arial" w:hAnsi="Arial"/>
          <w:b/>
          <w:bCs/>
          <w:color w:val="1B4F72"/>
          <w:sz w:val="24"/>
          <w:szCs w:val="24"/>
        </w:rPr>
        <w:t xml:space="preserve">Environmental Pressure Overlays</w:t>
      </w:r>
    </w:p>
    <w:p>
      <w:pPr>
        <w:spacing w:before="80" w:after="120" w:line="276"/>
        <w:jc w:val="both"/>
      </w:pPr>
      <w:r>
        <w:rPr>
          <w:rFonts w:ascii="Arial" w:cs="Arial" w:eastAsia="Arial" w:hAnsi="Arial"/>
          <w:b w:val="false"/>
          <w:bCs w:val="false"/>
          <w:i w:val="false"/>
          <w:iCs w:val="false"/>
          <w:color w:val="1A1A1A"/>
          <w:sz w:val="22"/>
          <w:szCs w:val="22"/>
        </w:rPr>
        <w:t xml:space="preserve">Salt pan expansion polygons; urban encroachment detection zones; charcoal hotspot mapping; conflict-affected areas; and cutting signal zones. These overlays support integrated risk visualisation that links spatial change to institutional response.</w:t>
      </w:r>
    </w:p>
    <w:p>
      <w:pPr>
        <w:pStyle w:val="Heading2"/>
        <w:spacing w:before="300" w:after="160"/>
      </w:pPr>
      <w:r>
        <w:rPr>
          <w:rFonts w:ascii="Arial" w:cs="Arial" w:eastAsia="Arial" w:hAnsi="Arial"/>
          <w:b/>
          <w:bCs/>
          <w:color w:val="1A6B7A"/>
          <w:sz w:val="26"/>
          <w:szCs w:val="26"/>
        </w:rPr>
        <w:t xml:space="preserve">8.4  Continuous Satellite Monitoring</w:t>
      </w:r>
    </w:p>
    <w:p>
      <w:pPr>
        <w:spacing w:before="80" w:after="120" w:line="276"/>
        <w:jc w:val="both"/>
      </w:pPr>
      <w:r>
        <w:rPr>
          <w:rFonts w:ascii="Arial" w:cs="Arial" w:eastAsia="Arial" w:hAnsi="Arial"/>
          <w:b w:val="false"/>
          <w:bCs w:val="false"/>
          <w:i w:val="false"/>
          <w:iCs w:val="false"/>
          <w:color w:val="1A1A1A"/>
          <w:sz w:val="22"/>
          <w:szCs w:val="22"/>
        </w:rPr>
        <w:t xml:space="preserve">The platform incorporates weekly satellite imagery updates and automated change detection triggers. Where satellite-detected changes intersect with ecologically sensitive areas, active restoration zones, or PSP locations, the system generates alert flags for institutional review. This ensures rapid detection of degradation risks at scales and frequencies that quarterly field monitoring alone cannot provide.</w:t>
      </w:r>
    </w:p>
    <w:p>
      <w:pPr>
        <w:pStyle w:val="Heading2"/>
        <w:spacing w:before="300" w:after="160"/>
      </w:pPr>
      <w:r>
        <w:rPr>
          <w:rFonts w:ascii="Arial" w:cs="Arial" w:eastAsia="Arial" w:hAnsi="Arial"/>
          <w:b/>
          <w:bCs/>
          <w:color w:val="1A6B7A"/>
          <w:sz w:val="26"/>
          <w:szCs w:val="26"/>
        </w:rPr>
        <w:t xml:space="preserve">8.5  Community-Level Access</w:t>
      </w:r>
    </w:p>
    <w:p>
      <w:pPr>
        <w:spacing w:before="80" w:after="120" w:line="276"/>
        <w:jc w:val="both"/>
      </w:pPr>
      <w:r>
        <w:rPr>
          <w:rFonts w:ascii="Arial" w:cs="Arial" w:eastAsia="Arial" w:hAnsi="Arial"/>
          <w:b w:val="false"/>
          <w:bCs w:val="false"/>
          <w:i w:val="false"/>
          <w:iCs w:val="false"/>
          <w:color w:val="1A1A1A"/>
          <w:sz w:val="22"/>
          <w:szCs w:val="22"/>
        </w:rPr>
        <w:t xml:space="preserve">Recognising the central importance of community engagement to the MRV system, the platform provides smartphone-compatible access for CCAs and CREMA members. This allows field observers to view visual map overlays of their designated monitoring zones, validate or report observed changes, and reference simplified dashboards during field operations. System management and data validation remain centralised at MLNR and MEST, while controlled local access strengthens transparency, community ownership, and the timeliness of response to emerging pressures.</w:t>
      </w:r>
    </w:p>
    <w:p>
      <w:pPr>
        <w:pStyle w:val="Heading2"/>
        <w:spacing w:before="300" w:after="160"/>
      </w:pPr>
      <w:r>
        <w:rPr>
          <w:rFonts w:ascii="Arial" w:cs="Arial" w:eastAsia="Arial" w:hAnsi="Arial"/>
          <w:b/>
          <w:bCs/>
          <w:color w:val="1A6B7A"/>
          <w:sz w:val="26"/>
          <w:szCs w:val="26"/>
        </w:rPr>
        <w:t xml:space="preserve">8.6  Data Flow and Integration</w:t>
      </w:r>
    </w:p>
    <w:p>
      <w:pPr>
        <w:spacing w:before="80" w:after="120" w:line="276"/>
        <w:jc w:val="both"/>
      </w:pPr>
      <w:r>
        <w:rPr>
          <w:rFonts w:ascii="Arial" w:cs="Arial" w:eastAsia="Arial" w:hAnsi="Arial"/>
          <w:b w:val="false"/>
          <w:bCs w:val="false"/>
          <w:i w:val="false"/>
          <w:iCs w:val="false"/>
          <w:color w:val="1A1A1A"/>
          <w:sz w:val="22"/>
          <w:szCs w:val="22"/>
        </w:rPr>
        <w:t xml:space="preserve">The platform integrates data from three streams: satellite and GIS analytics, field-based ecological and pressure monitoring, and governance and safeguard reporting. The data flow structure moves from community field observation through district consolidation and validation to national technical QA/QC and database storage, to platform integration, and finally to annual reporting. All updates are time-stamped and archived to maintain full auditability.</w:t>
      </w:r>
    </w:p>
    <w:p>
      <w:pPr>
        <w:pStyle w:val="Heading2"/>
        <w:spacing w:before="300" w:after="160"/>
      </w:pPr>
      <w:r>
        <w:rPr>
          <w:rFonts w:ascii="Arial" w:cs="Arial" w:eastAsia="Arial" w:hAnsi="Arial"/>
          <w:b/>
          <w:bCs/>
          <w:color w:val="1A6B7A"/>
          <w:sz w:val="26"/>
          <w:szCs w:val="26"/>
        </w:rPr>
        <w:t xml:space="preserve">8.7  Data Security and Governance</w:t>
      </w:r>
    </w:p>
    <w:p>
      <w:pPr>
        <w:spacing w:before="80" w:after="120" w:line="276"/>
        <w:jc w:val="both"/>
      </w:pPr>
      <w:r>
        <w:rPr>
          <w:rFonts w:ascii="Arial" w:cs="Arial" w:eastAsia="Arial" w:hAnsi="Arial"/>
          <w:b w:val="false"/>
          <w:bCs w:val="false"/>
          <w:i w:val="false"/>
          <w:iCs w:val="false"/>
          <w:color w:val="1A1A1A"/>
          <w:sz w:val="22"/>
          <w:szCs w:val="22"/>
        </w:rPr>
        <w:t xml:space="preserve">The platform operates under national data governance protocols with role-based user permissions, controlled editing rights, secure cloud-based storage, and data backup and redundancy systems. Sensitive governance or grievance information is protected through restricted access layers while ensuring appropriate institutional accountability.</w:t>
      </w:r>
    </w:p>
    <w:p>
      <w:pPr>
        <w:pStyle w:val="Heading2"/>
        <w:spacing w:before="300" w:after="160"/>
      </w:pPr>
      <w:r>
        <w:rPr>
          <w:rFonts w:ascii="Arial" w:cs="Arial" w:eastAsia="Arial" w:hAnsi="Arial"/>
          <w:b/>
          <w:bCs/>
          <w:color w:val="1A6B7A"/>
          <w:sz w:val="26"/>
          <w:szCs w:val="26"/>
        </w:rPr>
        <w:t xml:space="preserve">8.8  Transparency and Investment Confidence</w:t>
      </w:r>
    </w:p>
    <w:p>
      <w:pPr>
        <w:spacing w:before="80" w:after="120" w:line="276"/>
        <w:jc w:val="both"/>
      </w:pPr>
      <w:r>
        <w:rPr>
          <w:rFonts w:ascii="Arial" w:cs="Arial" w:eastAsia="Arial" w:hAnsi="Arial"/>
          <w:b w:val="false"/>
          <w:bCs w:val="false"/>
          <w:i w:val="false"/>
          <w:iCs w:val="false"/>
          <w:color w:val="1A1A1A"/>
          <w:sz w:val="22"/>
          <w:szCs w:val="22"/>
        </w:rPr>
        <w:t xml:space="preserve">For donors and private sector actors, the digital architecture demonstrates continuous oversight capacity, institutional data management maturity, reduced monitoring risk, and reduced non-permanence risk. The traceability of carbon data, the visibility of restoration performance, and the accountability of governance indicators supported by the platform collectively strengthen the investment case for Ghana's blue carbon programme.</w:t>
      </w:r>
    </w:p>
    <w:p>
      <w:pPr>
        <w:pStyle w:val="Heading1"/>
        <w:pageBreakBefore/>
        <w:spacing w:before="480" w:after="240"/>
      </w:pPr>
      <w:r>
        <w:rPr>
          <w:rFonts w:ascii="Arial" w:cs="Arial" w:eastAsia="Arial" w:hAnsi="Arial"/>
          <w:b/>
          <w:bCs/>
          <w:color w:val="1B4F72"/>
          <w:sz w:val="30"/>
          <w:szCs w:val="30"/>
        </w:rPr>
        <w:t xml:space="preserve">9.  Carbon Accounting Protocol and Re-Measurement Cycle</w:t>
      </w:r>
    </w:p>
    <w:p>
      <w:pPr>
        <w:pStyle w:val="Heading2"/>
        <w:spacing w:before="300" w:after="160"/>
      </w:pPr>
      <w:r>
        <w:rPr>
          <w:rFonts w:ascii="Arial" w:cs="Arial" w:eastAsia="Arial" w:hAnsi="Arial"/>
          <w:b/>
          <w:bCs/>
          <w:color w:val="1A6B7A"/>
          <w:sz w:val="26"/>
          <w:szCs w:val="26"/>
        </w:rPr>
        <w:t xml:space="preserve">9.1  Objective</w:t>
      </w:r>
    </w:p>
    <w:p>
      <w:pPr>
        <w:spacing w:before="80" w:after="120" w:line="276"/>
        <w:jc w:val="both"/>
      </w:pPr>
      <w:r>
        <w:rPr>
          <w:rFonts w:ascii="Arial" w:cs="Arial" w:eastAsia="Arial" w:hAnsi="Arial"/>
          <w:b w:val="false"/>
          <w:bCs w:val="false"/>
          <w:i w:val="false"/>
          <w:iCs w:val="false"/>
          <w:color w:val="1A1A1A"/>
          <w:sz w:val="22"/>
          <w:szCs w:val="22"/>
        </w:rPr>
        <w:t xml:space="preserve">The Carbon Accounting Protocol establishes the national technical procedures through which Ghana quantifies blue carbon stocks, monitors stock changes over time, detects emissions and removals, maintains methodological consistency across monitoring cycles, ensures auditability and transparency, and supports participation in voluntary and compliance carbon markets.</w:t>
      </w:r>
    </w:p>
    <w:p>
      <w:pPr>
        <w:spacing w:before="80" w:after="120" w:line="276"/>
        <w:jc w:val="both"/>
      </w:pPr>
      <w:r>
        <w:rPr>
          <w:rFonts w:ascii="Arial" w:cs="Arial" w:eastAsia="Arial" w:hAnsi="Arial"/>
          <w:b w:val="false"/>
          <w:bCs w:val="false"/>
          <w:i w:val="false"/>
          <w:iCs w:val="false"/>
          <w:color w:val="1A1A1A"/>
          <w:sz w:val="22"/>
          <w:szCs w:val="22"/>
        </w:rPr>
        <w:t xml:space="preserve">The protocol is anchored in the national Carbon Inventory Baseline assessment and is aligned with internationally recognised practice including IPCC Wetlands guidance and established blue carbon accounting standards.</w:t>
      </w:r>
    </w:p>
    <w:p>
      <w:pPr>
        <w:pStyle w:val="Heading2"/>
        <w:spacing w:before="300" w:after="160"/>
      </w:pPr>
      <w:r>
        <w:rPr>
          <w:rFonts w:ascii="Arial" w:cs="Arial" w:eastAsia="Arial" w:hAnsi="Arial"/>
          <w:b/>
          <w:bCs/>
          <w:color w:val="1A6B7A"/>
          <w:sz w:val="26"/>
          <w:szCs w:val="26"/>
        </w:rPr>
        <w:t xml:space="preserve">9.2  Carbon Pools</w:t>
      </w:r>
    </w:p>
    <w:p>
      <w:pPr>
        <w:spacing w:before="80" w:after="120" w:line="276"/>
        <w:jc w:val="both"/>
      </w:pPr>
      <w:r>
        <w:rPr>
          <w:rFonts w:ascii="Arial" w:cs="Arial" w:eastAsia="Arial" w:hAnsi="Arial"/>
          <w:b w:val="false"/>
          <w:bCs w:val="false"/>
          <w:i w:val="false"/>
          <w:iCs w:val="false"/>
          <w:color w:val="1A1A1A"/>
          <w:sz w:val="22"/>
          <w:szCs w:val="22"/>
        </w:rPr>
        <w:t xml:space="preserve">The national blue carbon accounting system covers above-ground biomass, below-ground biomass, deadwood where applicable, and soil organic carbon to 0–100 cm depth. These pools were quantified under the Carbon Inventory Assessment and constitute the Year 0 benchmark values from which future change will be measured.</w:t>
      </w:r>
    </w:p>
    <w:p>
      <w:pPr>
        <w:pStyle w:val="Heading2"/>
        <w:spacing w:before="300" w:after="160"/>
      </w:pPr>
      <w:r>
        <w:rPr>
          <w:rFonts w:ascii="Arial" w:cs="Arial" w:eastAsia="Arial" w:hAnsi="Arial"/>
          <w:b/>
          <w:bCs/>
          <w:color w:val="1A6B7A"/>
          <w:sz w:val="26"/>
          <w:szCs w:val="26"/>
        </w:rPr>
        <w:t xml:space="preserve">9.3  Stratification Framework</w:t>
      </w:r>
    </w:p>
    <w:p>
      <w:pPr>
        <w:spacing w:before="80" w:after="120" w:line="276"/>
        <w:jc w:val="both"/>
      </w:pPr>
      <w:r>
        <w:rPr>
          <w:rFonts w:ascii="Arial" w:cs="Arial" w:eastAsia="Arial" w:hAnsi="Arial"/>
          <w:b w:val="false"/>
          <w:bCs w:val="false"/>
          <w:i w:val="false"/>
          <w:iCs w:val="false"/>
          <w:color w:val="1A1A1A"/>
          <w:sz w:val="22"/>
          <w:szCs w:val="22"/>
        </w:rPr>
        <w:t xml:space="preserve">Carbon accounting is conducted using ecological stratification based on mangrove species composition, canopy density classes, hydrological zones, and degradation intensity categories. Stratification ensures representative sampling, reduced uncertainty, and accurate extrapolation to landscape scale. The stratification schema established during the baseline inventory remains the reference structure for all future re-measurement cycles to ensure methodological consistency.</w:t>
      </w:r>
    </w:p>
    <w:p>
      <w:pPr>
        <w:pStyle w:val="Heading2"/>
        <w:spacing w:before="300" w:after="160"/>
      </w:pPr>
      <w:r>
        <w:rPr>
          <w:rFonts w:ascii="Arial" w:cs="Arial" w:eastAsia="Arial" w:hAnsi="Arial"/>
          <w:b/>
          <w:bCs/>
          <w:color w:val="1A6B7A"/>
          <w:sz w:val="26"/>
          <w:szCs w:val="26"/>
        </w:rPr>
        <w:t xml:space="preserve">9.4  Permanent Sample Plot System</w:t>
      </w:r>
    </w:p>
    <w:p>
      <w:pPr>
        <w:spacing w:before="80" w:after="120" w:line="276"/>
        <w:jc w:val="both"/>
      </w:pPr>
      <w:r>
        <w:rPr>
          <w:rFonts w:ascii="Arial" w:cs="Arial" w:eastAsia="Arial" w:hAnsi="Arial"/>
          <w:b w:val="false"/>
          <w:bCs w:val="false"/>
          <w:i w:val="false"/>
          <w:iCs w:val="false"/>
          <w:color w:val="1A1A1A"/>
          <w:sz w:val="22"/>
          <w:szCs w:val="22"/>
        </w:rPr>
        <w:t xml:space="preserve">All PSPs established during the baseline inventory are georeferenced, digitally archived, assigned unique identifiers, and integrated into the national web-based platform. They represent the long-term carbon monitoring backbone of the national system. Community-level support for DBH measurement, plot access maintenance, and visual disturbance reporting is provided through trained CCAs. National technical agencies carry responsibility for biomass calculations using approved allometric equations, soil core sampling and laboratory analysis, data verification, uncertainty assessment, and national carbon database management.</w:t>
      </w:r>
    </w:p>
    <w:p>
      <w:pPr>
        <w:pStyle w:val="Heading2"/>
        <w:spacing w:before="300" w:after="160"/>
      </w:pPr>
      <w:r>
        <w:rPr>
          <w:rFonts w:ascii="Arial" w:cs="Arial" w:eastAsia="Arial" w:hAnsi="Arial"/>
          <w:b/>
          <w:bCs/>
          <w:color w:val="1A6B7A"/>
          <w:sz w:val="26"/>
          <w:szCs w:val="26"/>
        </w:rPr>
        <w:t xml:space="preserve">9.5  Re-Measurement Cycle</w:t>
      </w:r>
    </w:p>
    <w:p>
      <w:pPr>
        <w:spacing w:before="80" w:after="120" w:line="276"/>
        <w:jc w:val="both"/>
      </w:pPr>
      <w:r>
        <w:rPr>
          <w:rFonts w:ascii="Arial" w:cs="Arial" w:eastAsia="Arial" w:hAnsi="Arial"/>
          <w:b w:val="false"/>
          <w:bCs w:val="false"/>
          <w:i w:val="false"/>
          <w:iCs w:val="false"/>
          <w:color w:val="1A1A1A"/>
          <w:sz w:val="22"/>
          <w:szCs w:val="22"/>
        </w:rPr>
        <w:t xml:space="preserve">Biomass re-measurement is conducted every three to five years. Soil carbon reassessment is conducted in line with methodological guidance and risk exposure, typically aligned with biomass cycles unless disturbance events require earlier assessment. Re-measurement frequency is accelerated where significant disturbance is detected through satellite monitoring, large-scale restoration expansion occurs, or carbon credit issuance cycles require updated verification data.</w:t>
      </w:r>
    </w:p>
    <w:p>
      <w:pPr>
        <w:pStyle w:val="Heading2"/>
        <w:spacing w:before="300" w:after="160"/>
      </w:pPr>
      <w:r>
        <w:rPr>
          <w:rFonts w:ascii="Arial" w:cs="Arial" w:eastAsia="Arial" w:hAnsi="Arial"/>
          <w:b/>
          <w:bCs/>
          <w:color w:val="1A6B7A"/>
          <w:sz w:val="26"/>
          <w:szCs w:val="26"/>
        </w:rPr>
        <w:t xml:space="preserve">9.6  Emissions and Removals Accounting</w:t>
      </w:r>
    </w:p>
    <w:p>
      <w:pPr>
        <w:spacing w:before="80" w:after="120" w:line="276"/>
        <w:jc w:val="both"/>
      </w:pPr>
      <w:r>
        <w:rPr>
          <w:rFonts w:ascii="Arial" w:cs="Arial" w:eastAsia="Arial" w:hAnsi="Arial"/>
          <w:b w:val="false"/>
          <w:bCs w:val="false"/>
          <w:i w:val="false"/>
          <w:iCs w:val="false"/>
          <w:color w:val="1A1A1A"/>
          <w:sz w:val="22"/>
          <w:szCs w:val="22"/>
        </w:rPr>
        <w:t xml:space="preserve">Carbon stock changes are calculated through comparison of re-measured stocks against the baseline, estimation of removals from restoration growth, and estimation of emissions from confirmed land conversion or degradation events. Where degradation or loss is detected through spatial monitoring, affected stratification units are assessed for carbon impact. All calculations apply conservative assumptions where uncertainty exists, with clear documentation of equations applied and transparent methodological notes.</w:t>
      </w:r>
    </w:p>
    <w:p>
      <w:pPr>
        <w:pStyle w:val="Heading2"/>
        <w:spacing w:before="300" w:after="160"/>
      </w:pPr>
      <w:r>
        <w:rPr>
          <w:rFonts w:ascii="Arial" w:cs="Arial" w:eastAsia="Arial" w:hAnsi="Arial"/>
          <w:b/>
          <w:bCs/>
          <w:color w:val="1A6B7A"/>
          <w:sz w:val="26"/>
          <w:szCs w:val="26"/>
        </w:rPr>
        <w:t xml:space="preserve">9.7  Leakage and Risk Management</w:t>
      </w:r>
    </w:p>
    <w:p>
      <w:pPr>
        <w:spacing w:before="80" w:after="120" w:line="276"/>
        <w:jc w:val="both"/>
      </w:pPr>
      <w:r>
        <w:rPr>
          <w:rFonts w:ascii="Arial" w:cs="Arial" w:eastAsia="Arial" w:hAnsi="Arial"/>
          <w:b w:val="false"/>
          <w:bCs w:val="false"/>
          <w:i w:val="false"/>
          <w:iCs w:val="false"/>
          <w:color w:val="1A1A1A"/>
          <w:sz w:val="22"/>
          <w:szCs w:val="22"/>
        </w:rPr>
        <w:t xml:space="preserve">Leakage risk is assessed through integration of environmental pressure indicators, fuel source shift monitoring, charcoal hotspot tracking, and conflict and access signals. Where pressure increases are detected outside restoration zones, the national carbon accounting assessment considers potential displacement effects. This ensures that carbon gains are not undermined by externally displaced degradation.</w:t>
      </w:r>
    </w:p>
    <w:p>
      <w:pPr>
        <w:pStyle w:val="Heading2"/>
        <w:spacing w:before="300" w:after="160"/>
      </w:pPr>
      <w:r>
        <w:rPr>
          <w:rFonts w:ascii="Arial" w:cs="Arial" w:eastAsia="Arial" w:hAnsi="Arial"/>
          <w:b/>
          <w:bCs/>
          <w:color w:val="1A6B7A"/>
          <w:sz w:val="26"/>
          <w:szCs w:val="26"/>
        </w:rPr>
        <w:t xml:space="preserve">9.8  QA/QC and Data Archiving</w:t>
      </w:r>
    </w:p>
    <w:p>
      <w:pPr>
        <w:spacing w:before="80" w:after="120" w:line="276"/>
        <w:jc w:val="both"/>
      </w:pPr>
      <w:r>
        <w:rPr>
          <w:rFonts w:ascii="Arial" w:cs="Arial" w:eastAsia="Arial" w:hAnsi="Arial"/>
          <w:b w:val="false"/>
          <w:bCs w:val="false"/>
          <w:i w:val="false"/>
          <w:iCs w:val="false"/>
          <w:color w:val="1A1A1A"/>
          <w:sz w:val="22"/>
          <w:szCs w:val="22"/>
        </w:rPr>
        <w:t xml:space="preserve">The carbon accounting protocol incorporates double-entry field measurement verification, random plot re-checks, data consistency audits, outlier detection procedures, version-controlled database updates, and secure archiving of raw field sheets and laboratory reports. All carbon calculations are traceable from plot-level data to national totals. Carbon data is stored within a nationally managed database, backed up under secure protocols, time-stamped and version-controlled, and accessible for independent verification when required.</w:t>
      </w:r>
    </w:p>
    <w:p>
      <w:pPr>
        <w:pStyle w:val="Heading2"/>
        <w:spacing w:before="300" w:after="160"/>
      </w:pPr>
      <w:r>
        <w:rPr>
          <w:rFonts w:ascii="Arial" w:cs="Arial" w:eastAsia="Arial" w:hAnsi="Arial"/>
          <w:b/>
          <w:bCs/>
          <w:color w:val="1A6B7A"/>
          <w:sz w:val="26"/>
          <w:szCs w:val="26"/>
        </w:rPr>
        <w:t xml:space="preserve">9.9  Carbon Reporting Outputs</w:t>
      </w:r>
    </w:p>
    <w:p>
      <w:pPr>
        <w:spacing w:before="80" w:after="120" w:line="276"/>
        <w:jc w:val="both"/>
      </w:pPr>
      <w:r>
        <w:rPr>
          <w:rFonts w:ascii="Arial" w:cs="Arial" w:eastAsia="Arial" w:hAnsi="Arial"/>
          <w:b w:val="false"/>
          <w:bCs w:val="false"/>
          <w:i w:val="false"/>
          <w:iCs w:val="false"/>
          <w:color w:val="1A1A1A"/>
          <w:sz w:val="22"/>
          <w:szCs w:val="22"/>
        </w:rPr>
        <w:t xml:space="preserve">The Carbon Accounting Protocol produces five-year carbon stock update reports, emission reduction or removal summaries, uncertainty estimates, risk-adjusted carbon projections, and landscape-level carbon balance assessments. These outputs support national climate reporting obligations, investment due diligence, and carbon market participation readiness.</w:t>
      </w:r>
    </w:p>
    <w:p>
      <w:pPr>
        <w:spacing w:before="0" w:after="60"/>
      </w:pPr>
      <w:r>
        <w:t xml:space="preserve"/>
      </w:r>
    </w:p>
    <w:p>
      <w:pPr>
        <w:spacing w:before="80" w:after="120" w:line="276"/>
        <w:jc w:val="both"/>
      </w:pPr>
      <w:r>
        <w:rPr>
          <w:rFonts w:ascii="Arial" w:cs="Arial" w:eastAsia="Arial" w:hAnsi="Arial"/>
          <w:b/>
          <w:bCs/>
          <w:i/>
          <w:iCs/>
          <w:color w:val="1A1A1A"/>
          <w:sz w:val="22"/>
          <w:szCs w:val="22"/>
        </w:rPr>
        <w:t xml:space="preserve">PLACEHOLDER — Carbon Inventory Summary Table</w:t>
      </w:r>
    </w:p>
    <w:p>
      <w:pPr>
        <w:spacing w:before="80" w:after="120" w:line="276"/>
        <w:jc w:val="both"/>
      </w:pPr>
      <w:r>
        <w:rPr>
          <w:rFonts w:ascii="Arial" w:cs="Arial" w:eastAsia="Arial" w:hAnsi="Arial"/>
          <w:b w:val="false"/>
          <w:bCs w:val="false"/>
          <w:i/>
          <w:iCs/>
          <w:color w:val="1A1A1A"/>
          <w:sz w:val="22"/>
          <w:szCs w:val="22"/>
        </w:rPr>
        <w:t xml:space="preserve">[Insert final verified carbon stock tables by pool and stratification unit from the Carbon Inventory Assessment when available for this report.]</w:t>
      </w:r>
    </w:p>
    <w:p>
      <w:pPr>
        <w:spacing w:before="0" w:after="60"/>
      </w:pPr>
      <w:r>
        <w:t xml:space="preserve"/>
      </w:r>
    </w:p>
    <w:p>
      <w:pPr>
        <w:pStyle w:val="Heading1"/>
        <w:pageBreakBefore/>
        <w:spacing w:before="480" w:after="240"/>
      </w:pPr>
      <w:r>
        <w:rPr>
          <w:rFonts w:ascii="Arial" w:cs="Arial" w:eastAsia="Arial" w:hAnsi="Arial"/>
          <w:b/>
          <w:bCs/>
          <w:color w:val="1B4F72"/>
          <w:sz w:val="30"/>
          <w:szCs w:val="30"/>
        </w:rPr>
        <w:t xml:space="preserve">10.  National Reporting and Disclosure Framework</w:t>
      </w:r>
    </w:p>
    <w:p>
      <w:pPr>
        <w:pStyle w:val="Heading2"/>
        <w:spacing w:before="300" w:after="160"/>
      </w:pPr>
      <w:r>
        <w:rPr>
          <w:rFonts w:ascii="Arial" w:cs="Arial" w:eastAsia="Arial" w:hAnsi="Arial"/>
          <w:b/>
          <w:bCs/>
          <w:color w:val="1A6B7A"/>
          <w:sz w:val="26"/>
          <w:szCs w:val="26"/>
        </w:rPr>
        <w:t xml:space="preserve">10.1  Objective</w:t>
      </w:r>
    </w:p>
    <w:p>
      <w:pPr>
        <w:spacing w:before="80" w:after="120" w:line="276"/>
        <w:jc w:val="both"/>
      </w:pPr>
      <w:r>
        <w:rPr>
          <w:rFonts w:ascii="Arial" w:cs="Arial" w:eastAsia="Arial" w:hAnsi="Arial"/>
          <w:b w:val="false"/>
          <w:bCs w:val="false"/>
          <w:i w:val="false"/>
          <w:iCs w:val="false"/>
          <w:color w:val="1A1A1A"/>
          <w:sz w:val="22"/>
          <w:szCs w:val="22"/>
        </w:rPr>
        <w:t xml:space="preserve">The National Reporting and Disclosure Framework establishes the structured outputs of Ghana's Blue Carbon MRV System and defines the mechanisms through which ecological, carbon, environmental pressure, and governance data are consolidated, reviewed, and communicated. It ensures institutional accountability, national transparency, climate reporting integration, investment-grade disclosure, and continuous adaptive management.</w:t>
      </w:r>
    </w:p>
    <w:p>
      <w:pPr>
        <w:pStyle w:val="Heading2"/>
        <w:spacing w:before="300" w:after="160"/>
      </w:pPr>
      <w:r>
        <w:rPr>
          <w:rFonts w:ascii="Arial" w:cs="Arial" w:eastAsia="Arial" w:hAnsi="Arial"/>
          <w:b/>
          <w:bCs/>
          <w:color w:val="1A6B7A"/>
          <w:sz w:val="26"/>
          <w:szCs w:val="26"/>
        </w:rPr>
        <w:t xml:space="preserve">10.2  Reporting Hierarchy</w:t>
      </w:r>
    </w:p>
    <w:p>
      <w:pPr>
        <w:pStyle w:val="Heading3"/>
        <w:spacing w:before="240" w:after="120"/>
      </w:pPr>
      <w:r>
        <w:rPr>
          <w:rFonts w:ascii="Arial" w:cs="Arial" w:eastAsia="Arial" w:hAnsi="Arial"/>
          <w:b/>
          <w:bCs/>
          <w:color w:val="1B4F72"/>
          <w:sz w:val="24"/>
          <w:szCs w:val="24"/>
        </w:rPr>
        <w:t xml:space="preserve">Community Level</w:t>
      </w:r>
    </w:p>
    <w:p>
      <w:pPr>
        <w:spacing w:before="80" w:after="120" w:line="276"/>
        <w:jc w:val="both"/>
      </w:pPr>
      <w:r>
        <w:rPr>
          <w:rFonts w:ascii="Arial" w:cs="Arial" w:eastAsia="Arial" w:hAnsi="Arial"/>
          <w:b w:val="false"/>
          <w:bCs w:val="false"/>
          <w:i w:val="false"/>
          <w:iCs w:val="false"/>
          <w:color w:val="1A1A1A"/>
          <w:sz w:val="22"/>
          <w:szCs w:val="22"/>
        </w:rPr>
        <w:t xml:space="preserve">Quarterly summaries compiled by CREMAs cover restoration survival updates, mangrove cutting signals, environmental pressure alerts, conflict and grievance reports, and governance participation records. These are submitted to district authorities for validation and consolidation.</w:t>
      </w:r>
    </w:p>
    <w:p>
      <w:pPr>
        <w:pStyle w:val="Heading3"/>
        <w:spacing w:before="240" w:after="120"/>
      </w:pPr>
      <w:r>
        <w:rPr>
          <w:rFonts w:ascii="Arial" w:cs="Arial" w:eastAsia="Arial" w:hAnsi="Arial"/>
          <w:b/>
          <w:bCs/>
          <w:color w:val="1B4F72"/>
          <w:sz w:val="24"/>
          <w:szCs w:val="24"/>
        </w:rPr>
        <w:t xml:space="preserve">District Level</w:t>
      </w:r>
    </w:p>
    <w:p>
      <w:pPr>
        <w:spacing w:before="80" w:after="120" w:line="276"/>
        <w:jc w:val="both"/>
      </w:pPr>
      <w:r>
        <w:rPr>
          <w:rFonts w:ascii="Arial" w:cs="Arial" w:eastAsia="Arial" w:hAnsi="Arial"/>
          <w:b w:val="false"/>
          <w:bCs w:val="false"/>
          <w:i w:val="false"/>
          <w:iCs w:val="false"/>
          <w:color w:val="1A1A1A"/>
          <w:sz w:val="22"/>
          <w:szCs w:val="22"/>
        </w:rPr>
        <w:t xml:space="preserve">District authorities compile aggregated ecological monitoring data, environmental pressure trend summaries, governance and safeguard performance reviews, and escalated risks requiring national attention. District reports are submitted annually to MLNR and MEST for national consolidation.</w:t>
      </w:r>
    </w:p>
    <w:p>
      <w:pPr>
        <w:pStyle w:val="Heading3"/>
        <w:spacing w:before="240" w:after="120"/>
      </w:pPr>
      <w:r>
        <w:rPr>
          <w:rFonts w:ascii="Arial" w:cs="Arial" w:eastAsia="Arial" w:hAnsi="Arial"/>
          <w:b/>
          <w:bCs/>
          <w:color w:val="1B4F72"/>
          <w:sz w:val="24"/>
          <w:szCs w:val="24"/>
        </w:rPr>
        <w:t xml:space="preserve">National Level</w:t>
      </w:r>
    </w:p>
    <w:p>
      <w:pPr>
        <w:spacing w:before="80" w:after="120" w:line="276"/>
        <w:jc w:val="both"/>
      </w:pPr>
      <w:r>
        <w:rPr>
          <w:rFonts w:ascii="Arial" w:cs="Arial" w:eastAsia="Arial" w:hAnsi="Arial"/>
          <w:b w:val="false"/>
          <w:bCs w:val="false"/>
          <w:i w:val="false"/>
          <w:iCs w:val="false"/>
          <w:color w:val="1A1A1A"/>
          <w:sz w:val="22"/>
          <w:szCs w:val="22"/>
        </w:rPr>
        <w:t xml:space="preserve">An Annual National Blue Carbon MRV Report is produced and formally issued by MLNR and MEST. This report is the primary national disclosure instrument and includes: an executive overview; the national mangrove extent change summary; restoration performance assessment; environmental pressure trend analysis; governance and safeguard performance review; carbon risk assessment summary; adaptive management actions undertaken during the reporting period; and strategic recommendations. The annual MRV Report is the principal reference document for government planning, donor review, private sector due diligence, and national climate reporting integration.</w:t>
      </w:r>
    </w:p>
    <w:p>
      <w:pPr>
        <w:pStyle w:val="Heading2"/>
        <w:spacing w:before="300" w:after="160"/>
      </w:pPr>
      <w:r>
        <w:rPr>
          <w:rFonts w:ascii="Arial" w:cs="Arial" w:eastAsia="Arial" w:hAnsi="Arial"/>
          <w:b/>
          <w:bCs/>
          <w:color w:val="1A6B7A"/>
          <w:sz w:val="26"/>
          <w:szCs w:val="26"/>
        </w:rPr>
        <w:t xml:space="preserve">10.3  Carbon Stock Update Report</w:t>
      </w:r>
    </w:p>
    <w:p>
      <w:pPr>
        <w:spacing w:before="80" w:after="120" w:line="276"/>
        <w:jc w:val="both"/>
      </w:pPr>
      <w:r>
        <w:rPr>
          <w:rFonts w:ascii="Arial" w:cs="Arial" w:eastAsia="Arial" w:hAnsi="Arial"/>
          <w:b w:val="false"/>
          <w:bCs w:val="false"/>
          <w:i w:val="false"/>
          <w:iCs w:val="false"/>
          <w:color w:val="1A1A1A"/>
          <w:sz w:val="22"/>
          <w:szCs w:val="22"/>
        </w:rPr>
        <w:t xml:space="preserve">In addition to the annual MRV report, a Carbon Stock Update Report is issued every three to five years, aligned with the PSP re-measurement cycle. This report includes updated biomass and soil carbon estimates, emissions and removals summary, uncertainty assessment, risk-adjusted carbon balance, PSP re-measurement documentation, and a methodological consistency statement. It supports carbon market participation and long-term blue carbon asset valuation.</w:t>
      </w:r>
    </w:p>
    <w:p>
      <w:pPr>
        <w:pStyle w:val="Heading2"/>
        <w:spacing w:before="300" w:after="160"/>
      </w:pPr>
      <w:r>
        <w:rPr>
          <w:rFonts w:ascii="Arial" w:cs="Arial" w:eastAsia="Arial" w:hAnsi="Arial"/>
          <w:b/>
          <w:bCs/>
          <w:color w:val="1A6B7A"/>
          <w:sz w:val="26"/>
          <w:szCs w:val="26"/>
        </w:rPr>
        <w:t xml:space="preserve">10.4  Environmental Pressure Reporting</w:t>
      </w:r>
    </w:p>
    <w:p>
      <w:pPr>
        <w:spacing w:before="80" w:after="120" w:line="276"/>
        <w:jc w:val="both"/>
      </w:pPr>
      <w:r>
        <w:rPr>
          <w:rFonts w:ascii="Arial" w:cs="Arial" w:eastAsia="Arial" w:hAnsi="Arial"/>
          <w:b w:val="false"/>
          <w:bCs w:val="false"/>
          <w:i w:val="false"/>
          <w:iCs w:val="false"/>
          <w:color w:val="1A1A1A"/>
          <w:sz w:val="22"/>
          <w:szCs w:val="22"/>
        </w:rPr>
        <w:t xml:space="preserve">Environmental pressure surveillance findings are summarised annually, covering land conversion statistics in hectares per year, cutting incidence trends, charcoal hotspot changes, fuel source transition trends, and conflict index trends. Where pressure increases are detected, the report documents the corrective measures taken, enforcement actions where applicable, restoration responses, and any policy adjustments that have been initiated.</w:t>
      </w:r>
    </w:p>
    <w:p>
      <w:pPr>
        <w:pStyle w:val="Heading2"/>
        <w:spacing w:before="300" w:after="160"/>
      </w:pPr>
      <w:r>
        <w:rPr>
          <w:rFonts w:ascii="Arial" w:cs="Arial" w:eastAsia="Arial" w:hAnsi="Arial"/>
          <w:b/>
          <w:bCs/>
          <w:color w:val="1A6B7A"/>
          <w:sz w:val="26"/>
          <w:szCs w:val="26"/>
        </w:rPr>
        <w:t xml:space="preserve">10.5  Governance and Safeguard Disclosure</w:t>
      </w:r>
    </w:p>
    <w:p>
      <w:pPr>
        <w:spacing w:before="80" w:after="120" w:line="276"/>
        <w:jc w:val="both"/>
      </w:pPr>
      <w:r>
        <w:rPr>
          <w:rFonts w:ascii="Arial" w:cs="Arial" w:eastAsia="Arial" w:hAnsi="Arial"/>
          <w:b w:val="false"/>
          <w:bCs w:val="false"/>
          <w:i w:val="false"/>
          <w:iCs w:val="false"/>
          <w:color w:val="1A1A1A"/>
          <w:sz w:val="22"/>
          <w:szCs w:val="22"/>
        </w:rPr>
        <w:t xml:space="preserve">Annual reporting includes CREMA composition statistics, gender and youth representation data, grievance redress performance metrics, conflict mediation outcomes, and benefit-sharing transparency summaries. Sensitive information is protected under national data governance protocols while maintaining institutional accountability.</w:t>
      </w:r>
    </w:p>
    <w:p>
      <w:pPr>
        <w:pStyle w:val="Heading2"/>
        <w:spacing w:before="300" w:after="160"/>
      </w:pPr>
      <w:r>
        <w:rPr>
          <w:rFonts w:ascii="Arial" w:cs="Arial" w:eastAsia="Arial" w:hAnsi="Arial"/>
          <w:b/>
          <w:bCs/>
          <w:color w:val="1A6B7A"/>
          <w:sz w:val="26"/>
          <w:szCs w:val="26"/>
        </w:rPr>
        <w:t xml:space="preserve">10.6  Digital Dashboard Outputs</w:t>
      </w:r>
    </w:p>
    <w:p>
      <w:pPr>
        <w:spacing w:before="80" w:after="120" w:line="276"/>
        <w:jc w:val="both"/>
      </w:pPr>
      <w:r>
        <w:rPr>
          <w:rFonts w:ascii="Arial" w:cs="Arial" w:eastAsia="Arial" w:hAnsi="Arial"/>
          <w:b w:val="false"/>
          <w:bCs w:val="false"/>
          <w:i w:val="false"/>
          <w:iCs w:val="false"/>
          <w:color w:val="1A1A1A"/>
          <w:sz w:val="22"/>
          <w:szCs w:val="22"/>
        </w:rPr>
        <w:t xml:space="preserve">The web-based spatial platform generates summary dashboards for authorised stakeholder access, automated change alerts for institutional response, and periodic export packages for verification or donor reporting purposes.</w:t>
      </w:r>
    </w:p>
    <w:p>
      <w:pPr>
        <w:spacing w:before="0" w:after="60"/>
      </w:pPr>
      <w:r>
        <w:t xml:space="preserve"/>
      </w:r>
    </w:p>
    <w:p>
      <w:pPr>
        <w:spacing w:before="80" w:after="120" w:line="276"/>
        <w:jc w:val="both"/>
      </w:pPr>
      <w:r>
        <w:rPr>
          <w:rFonts w:ascii="Arial" w:cs="Arial" w:eastAsia="Arial" w:hAnsi="Arial"/>
          <w:b/>
          <w:bCs/>
          <w:i/>
          <w:iCs/>
          <w:color w:val="1A1A1A"/>
          <w:sz w:val="22"/>
          <w:szCs w:val="22"/>
        </w:rPr>
        <w:t xml:space="preserve">PLACEHOLDER — Platform Dashboard and Alert Export Examples</w:t>
      </w:r>
    </w:p>
    <w:p>
      <w:pPr>
        <w:spacing w:before="80" w:after="120" w:line="276"/>
        <w:jc w:val="both"/>
      </w:pPr>
      <w:r>
        <w:rPr>
          <w:rFonts w:ascii="Arial" w:cs="Arial" w:eastAsia="Arial" w:hAnsi="Arial"/>
          <w:b w:val="false"/>
          <w:bCs w:val="false"/>
          <w:i/>
          <w:iCs/>
          <w:color w:val="1A1A1A"/>
          <w:sz w:val="22"/>
          <w:szCs w:val="22"/>
        </w:rPr>
        <w:t xml:space="preserve">[Insert representative dashboard screenshots and hotspot or alert export examples showing the platform's reporting and monitoring outputs when available.]</w:t>
      </w:r>
    </w:p>
    <w:p>
      <w:pPr>
        <w:spacing w:before="0" w:after="60"/>
      </w:pPr>
      <w:r>
        <w:t xml:space="preserve"/>
      </w:r>
    </w:p>
    <w:p>
      <w:pPr>
        <w:pStyle w:val="Heading2"/>
        <w:spacing w:before="300" w:after="160"/>
      </w:pPr>
      <w:r>
        <w:rPr>
          <w:rFonts w:ascii="Arial" w:cs="Arial" w:eastAsia="Arial" w:hAnsi="Arial"/>
          <w:b/>
          <w:bCs/>
          <w:color w:val="1A6B7A"/>
          <w:sz w:val="26"/>
          <w:szCs w:val="26"/>
        </w:rPr>
        <w:t xml:space="preserve">10.7  NDC and National Climate Reporting Integration</w:t>
      </w:r>
    </w:p>
    <w:p>
      <w:pPr>
        <w:spacing w:before="80" w:after="120" w:line="276"/>
        <w:jc w:val="both"/>
      </w:pPr>
      <w:r>
        <w:rPr>
          <w:rFonts w:ascii="Arial" w:cs="Arial" w:eastAsia="Arial" w:hAnsi="Arial"/>
          <w:b w:val="false"/>
          <w:bCs w:val="false"/>
          <w:i w:val="false"/>
          <w:iCs w:val="false"/>
          <w:color w:val="1A1A1A"/>
          <w:sz w:val="22"/>
          <w:szCs w:val="22"/>
        </w:rPr>
        <w:t xml:space="preserve">The MRV Framework is designed to support Ghana's obligations under the Paris Agreement through structured linkage between site-level monitoring outputs and national greenhouse gas accounting. Annual extent monitoring and five-yearly carbon stock updates provide the data inputs needed to track blue carbon contributions to national emission reductions and removals. The national MRV reporting cycle is aligned to support integration into Ghana's NDC tracking and reporting processes, providing a credible national evidence base for international climate negotiations and reporting.</w:t>
      </w:r>
    </w:p>
    <w:p>
      <w:pPr>
        <w:pStyle w:val="Heading1"/>
        <w:pageBreakBefore/>
        <w:spacing w:before="480" w:after="240"/>
      </w:pPr>
      <w:r>
        <w:rPr>
          <w:rFonts w:ascii="Arial" w:cs="Arial" w:eastAsia="Arial" w:hAnsi="Arial"/>
          <w:b/>
          <w:bCs/>
          <w:color w:val="1B4F72"/>
          <w:sz w:val="30"/>
          <w:szCs w:val="30"/>
        </w:rPr>
        <w:t xml:space="preserve">11.  Keta Lagoon Complex as Pilot Implementation Context</w:t>
      </w:r>
    </w:p>
    <w:p>
      <w:pPr>
        <w:pStyle w:val="Heading2"/>
        <w:spacing w:before="300" w:after="160"/>
      </w:pPr>
      <w:r>
        <w:rPr>
          <w:rFonts w:ascii="Arial" w:cs="Arial" w:eastAsia="Arial" w:hAnsi="Arial"/>
          <w:b/>
          <w:bCs/>
          <w:color w:val="1A6B7A"/>
          <w:sz w:val="26"/>
          <w:szCs w:val="26"/>
        </w:rPr>
        <w:t xml:space="preserve">11.1  Rationale for Pilot Treatment</w:t>
      </w:r>
    </w:p>
    <w:p>
      <w:pPr>
        <w:spacing w:before="80" w:after="120" w:line="276"/>
        <w:jc w:val="both"/>
      </w:pPr>
      <w:r>
        <w:rPr>
          <w:rFonts w:ascii="Arial" w:cs="Arial" w:eastAsia="Arial" w:hAnsi="Arial"/>
          <w:b w:val="false"/>
          <w:bCs w:val="false"/>
          <w:i w:val="false"/>
          <w:iCs w:val="false"/>
          <w:color w:val="1A1A1A"/>
          <w:sz w:val="22"/>
          <w:szCs w:val="22"/>
        </w:rPr>
        <w:t xml:space="preserve">Keta Lagoon Complex is treated as the primary pilot implementation context for the national MRV system. This designation reflects the depth of baseline evidence accumulated at Keta through the 2025 assessment process, the relative maturity of operational readiness compared to other national landscapes, and the presence of implementation traces including restoration plot records, georeferenced PSP locations, carbon inventory point datasets, and drone Area of Interest boundary files.</w:t>
      </w:r>
    </w:p>
    <w:p>
      <w:pPr>
        <w:spacing w:before="80" w:after="120" w:line="276"/>
        <w:jc w:val="both"/>
      </w:pPr>
      <w:r>
        <w:rPr>
          <w:rFonts w:ascii="Arial" w:cs="Arial" w:eastAsia="Arial" w:hAnsi="Arial"/>
          <w:b w:val="false"/>
          <w:bCs w:val="false"/>
          <w:i w:val="false"/>
          <w:iCs w:val="false"/>
          <w:color w:val="1A1A1A"/>
          <w:sz w:val="22"/>
          <w:szCs w:val="22"/>
        </w:rPr>
        <w:t xml:space="preserve">Treating Keta as a pilot does not alter the national scope of the MRV architecture. The institutional tiers, functional layers, monitoring protocols, and reporting requirements described in this report apply at national scale. Keta provides an early operational test-bed within that architecture — a context where integrated monitoring can be demonstrated, iterated, and refined before progressive expansion to other landscapes.</w:t>
      </w:r>
    </w:p>
    <w:p>
      <w:pPr>
        <w:pStyle w:val="Heading2"/>
        <w:spacing w:before="300" w:after="160"/>
      </w:pPr>
      <w:r>
        <w:rPr>
          <w:rFonts w:ascii="Arial" w:cs="Arial" w:eastAsia="Arial" w:hAnsi="Arial"/>
          <w:b/>
          <w:bCs/>
          <w:color w:val="1A6B7A"/>
          <w:sz w:val="26"/>
          <w:szCs w:val="26"/>
        </w:rPr>
        <w:t xml:space="preserve">11.2  What the Pilot Context Means in Practice</w:t>
      </w:r>
    </w:p>
    <w:p>
      <w:pPr>
        <w:spacing w:before="80" w:after="120" w:line="276"/>
        <w:jc w:val="both"/>
      </w:pPr>
      <w:r>
        <w:rPr>
          <w:rFonts w:ascii="Arial" w:cs="Arial" w:eastAsia="Arial" w:hAnsi="Arial"/>
          <w:b w:val="false"/>
          <w:bCs w:val="false"/>
          <w:i w:val="false"/>
          <w:iCs w:val="false"/>
          <w:color w:val="1A1A1A"/>
          <w:sz w:val="22"/>
          <w:szCs w:val="22"/>
        </w:rPr>
        <w:t xml:space="preserve">At Keta, monitoring operations are more fully resourced at this stage. The Keta Lagoon Complex Ramsar Site boundary, restoration area boundaries, protection area boundaries, and drone AOI boundaries are mapped and available in the national platform. The PSP network established during the Carbon Inventory Assessment is georeferenced and linked to plot stratification categories. Community Change Agents trained during the December 2025 field process are available to support ongoing quarterly monitoring.</w:t>
      </w:r>
    </w:p>
    <w:p>
      <w:pPr>
        <w:spacing w:before="80" w:after="120" w:line="276"/>
        <w:jc w:val="both"/>
      </w:pPr>
      <w:r>
        <w:rPr>
          <w:rFonts w:ascii="Arial" w:cs="Arial" w:eastAsia="Arial" w:hAnsi="Arial"/>
          <w:b w:val="false"/>
          <w:bCs w:val="false"/>
          <w:i w:val="false"/>
          <w:iCs w:val="false"/>
          <w:color w:val="1A1A1A"/>
          <w:sz w:val="22"/>
          <w:szCs w:val="22"/>
        </w:rPr>
        <w:t xml:space="preserve">The Keta ecosystem health monitoring network — comprising 57 designated sampling stations across hydrological zones — provides the most developed site-level field monitoring infrastructure in the national system at present. This network is connected to the MRV reporting hierarchy and feeds into the environmental pressure surveillance and ecological integrity layers.</w:t>
      </w:r>
    </w:p>
    <w:p>
      <w:pPr>
        <w:pStyle w:val="Heading2"/>
        <w:spacing w:before="300" w:after="160"/>
      </w:pPr>
      <w:r>
        <w:rPr>
          <w:rFonts w:ascii="Arial" w:cs="Arial" w:eastAsia="Arial" w:hAnsi="Arial"/>
          <w:b/>
          <w:bCs/>
          <w:color w:val="1A6B7A"/>
          <w:sz w:val="26"/>
          <w:szCs w:val="26"/>
        </w:rPr>
        <w:t xml:space="preserve">11.3  National Architecture and Pilot Depth</w:t>
      </w:r>
    </w:p>
    <w:p>
      <w:pPr>
        <w:spacing w:before="80" w:after="120" w:line="276"/>
        <w:jc w:val="both"/>
      </w:pPr>
      <w:r>
        <w:rPr>
          <w:rFonts w:ascii="Arial" w:cs="Arial" w:eastAsia="Arial" w:hAnsi="Arial"/>
          <w:b w:val="false"/>
          <w:bCs w:val="false"/>
          <w:i w:val="false"/>
          <w:iCs w:val="false"/>
          <w:color w:val="1A1A1A"/>
          <w:sz w:val="22"/>
          <w:szCs w:val="22"/>
        </w:rPr>
        <w:t xml:space="preserve">The relationship between national architecture and pilot depth is an architecture-plus-layer model: the national MRV framework establishes the consistent governance structure, indicator logic, data standards, and reporting pathway; the Keta pilot layer then operates within that framework with the depth of baseline data and operational readiness currently available at that site.</w:t>
      </w:r>
    </w:p>
    <w:p>
      <w:pPr>
        <w:spacing w:before="80" w:after="120" w:line="276"/>
        <w:jc w:val="both"/>
      </w:pPr>
      <w:r>
        <w:rPr>
          <w:rFonts w:ascii="Arial" w:cs="Arial" w:eastAsia="Arial" w:hAnsi="Arial"/>
          <w:b w:val="false"/>
          <w:bCs w:val="false"/>
          <w:i w:val="false"/>
          <w:iCs w:val="false"/>
          <w:color w:val="1A1A1A"/>
          <w:sz w:val="22"/>
          <w:szCs w:val="22"/>
        </w:rPr>
        <w:t xml:space="preserve">As detailed baselines are completed for other landscapes — including Songor, Muni-Pomadze, and additional priority coastal wetlands — those landscapes will be incorporated into the national system within the same architecture. The Keta pilot provides an operational template and a learning-by-doing foundation for that expansion.</w:t>
      </w:r>
    </w:p>
    <w:p>
      <w:pPr>
        <w:pStyle w:val="Heading2"/>
        <w:spacing w:before="300" w:after="160"/>
      </w:pPr>
      <w:r>
        <w:rPr>
          <w:rFonts w:ascii="Arial" w:cs="Arial" w:eastAsia="Arial" w:hAnsi="Arial"/>
          <w:b/>
          <w:bCs/>
          <w:color w:val="1A6B7A"/>
          <w:sz w:val="26"/>
          <w:szCs w:val="26"/>
        </w:rPr>
        <w:t xml:space="preserve">11.4  Keta Findings in this Report</w:t>
      </w:r>
    </w:p>
    <w:p>
      <w:pPr>
        <w:spacing w:before="80" w:after="120" w:line="276"/>
        <w:jc w:val="both"/>
      </w:pPr>
      <w:r>
        <w:rPr>
          <w:rFonts w:ascii="Arial" w:cs="Arial" w:eastAsia="Arial" w:hAnsi="Arial"/>
          <w:b w:val="false"/>
          <w:bCs w:val="false"/>
          <w:i w:val="false"/>
          <w:iCs w:val="false"/>
          <w:color w:val="1A1A1A"/>
          <w:sz w:val="22"/>
          <w:szCs w:val="22"/>
        </w:rPr>
        <w:t xml:space="preserve">Where Keta-specific data, protocols, or implementation evidence is cited in this report, it is presented with explicit reference to Keta as a pilot context within the national system. Keta-level evidence is not presented as proof of uniform national operational maturity across all landscapes, and national framework claims are not derived solely from Keta implementation traces.</w:t>
      </w:r>
    </w:p>
    <w:p>
      <w:pPr>
        <w:pStyle w:val="Heading1"/>
        <w:pageBreakBefore/>
        <w:spacing w:before="480" w:after="240"/>
      </w:pPr>
      <w:r>
        <w:rPr>
          <w:rFonts w:ascii="Arial" w:cs="Arial" w:eastAsia="Arial" w:hAnsi="Arial"/>
          <w:b/>
          <w:bCs/>
          <w:color w:val="1B4F72"/>
          <w:sz w:val="30"/>
          <w:szCs w:val="30"/>
        </w:rPr>
        <w:t xml:space="preserve">12.  Implementation Status and Readiness</w:t>
      </w:r>
    </w:p>
    <w:p>
      <w:pPr>
        <w:pStyle w:val="Heading2"/>
        <w:spacing w:before="300" w:after="160"/>
      </w:pPr>
      <w:r>
        <w:rPr>
          <w:rFonts w:ascii="Arial" w:cs="Arial" w:eastAsia="Arial" w:hAnsi="Arial"/>
          <w:b/>
          <w:bCs/>
          <w:color w:val="1A6B7A"/>
          <w:sz w:val="26"/>
          <w:szCs w:val="26"/>
        </w:rPr>
        <w:t xml:space="preserve">12.1  Current Status of the Framework</w:t>
      </w:r>
    </w:p>
    <w:p>
      <w:pPr>
        <w:spacing w:before="80" w:after="120" w:line="276"/>
        <w:jc w:val="both"/>
      </w:pPr>
      <w:r>
        <w:rPr>
          <w:rFonts w:ascii="Arial" w:cs="Arial" w:eastAsia="Arial" w:hAnsi="Arial"/>
          <w:b w:val="false"/>
          <w:bCs w:val="false"/>
          <w:i w:val="false"/>
          <w:iCs w:val="false"/>
          <w:color w:val="1A1A1A"/>
          <w:sz w:val="22"/>
          <w:szCs w:val="22"/>
        </w:rPr>
        <w:t xml:space="preserve">The National Blue Carbon MRV Framework has been designed, protocolised, and documented through the 2025 assessment process. The institutional architecture, functional layers, indicator logic, monitoring protocols, data flow structures, and reporting requirements are fully specified. The digital platform has been built as a functioning prototype with national design intent, supporting spatial data management, carbon inventory records, restoration tracking, safeguard documentation, and governance monitoring in a single integrated system.</w:t>
      </w:r>
    </w:p>
    <w:p>
      <w:pPr>
        <w:spacing w:before="80" w:after="120" w:line="276"/>
        <w:jc w:val="both"/>
      </w:pPr>
      <w:r>
        <w:rPr>
          <w:rFonts w:ascii="Arial" w:cs="Arial" w:eastAsia="Arial" w:hAnsi="Arial"/>
          <w:b w:val="false"/>
          <w:bCs w:val="false"/>
          <w:i w:val="false"/>
          <w:iCs w:val="false"/>
          <w:color w:val="1A1A1A"/>
          <w:sz w:val="22"/>
          <w:szCs w:val="22"/>
        </w:rPr>
        <w:t xml:space="preserve">The framework is operational in the context of the Keta pilot. The national architecture is ready for progressive expansion to additional landscapes as baseline assessments are completed. The components described in Sections 4 through 10 of this report reflect the completed design.</w:t>
      </w:r>
    </w:p>
    <w:p>
      <w:pPr>
        <w:pStyle w:val="Heading2"/>
        <w:spacing w:before="300" w:after="160"/>
      </w:pPr>
      <w:r>
        <w:rPr>
          <w:rFonts w:ascii="Arial" w:cs="Arial" w:eastAsia="Arial" w:hAnsi="Arial"/>
          <w:b/>
          <w:bCs/>
          <w:color w:val="1A6B7A"/>
          <w:sz w:val="26"/>
          <w:szCs w:val="26"/>
        </w:rPr>
        <w:t xml:space="preserve">12.2  Components Operational or Demonstrable</w:t>
      </w:r>
    </w:p>
    <w:p>
      <w:pPr>
        <w:pStyle w:val="ListParagraph"/>
        <w:numPr>
          <w:ilvl w:val="0"/>
          <w:numId w:val="2"/>
        </w:numPr>
        <w:spacing w:before="40" w:after="60"/>
      </w:pPr>
      <w:r>
        <w:rPr>
          <w:rFonts w:ascii="Arial" w:cs="Arial" w:eastAsia="Arial" w:hAnsi="Arial"/>
          <w:b w:val="false"/>
          <w:bCs w:val="false"/>
          <w:color w:val="1A1A1A"/>
          <w:sz w:val="22"/>
          <w:szCs w:val="22"/>
        </w:rPr>
        <w:t xml:space="preserve">Georeferenced restoration, protection, and permanent sample plot boundaries for the Keta pilot context;</w:t>
      </w:r>
    </w:p>
    <w:p>
      <w:pPr>
        <w:pStyle w:val="ListParagraph"/>
        <w:numPr>
          <w:ilvl w:val="0"/>
          <w:numId w:val="2"/>
        </w:numPr>
        <w:spacing w:before="40" w:after="60"/>
      </w:pPr>
      <w:r>
        <w:rPr>
          <w:rFonts w:ascii="Arial" w:cs="Arial" w:eastAsia="Arial" w:hAnsi="Arial"/>
          <w:b w:val="false"/>
          <w:bCs w:val="false"/>
          <w:color w:val="1A1A1A"/>
          <w:sz w:val="22"/>
          <w:szCs w:val="22"/>
        </w:rPr>
        <w:t xml:space="preserve">Carbon inventory point datasets for Keta Lagoon Complex and Songor landscapes;</w:t>
      </w:r>
    </w:p>
    <w:p>
      <w:pPr>
        <w:pStyle w:val="ListParagraph"/>
        <w:numPr>
          <w:ilvl w:val="0"/>
          <w:numId w:val="2"/>
        </w:numPr>
        <w:spacing w:before="40" w:after="60"/>
      </w:pPr>
      <w:r>
        <w:rPr>
          <w:rFonts w:ascii="Arial" w:cs="Arial" w:eastAsia="Arial" w:hAnsi="Arial"/>
          <w:b w:val="false"/>
          <w:bCs w:val="false"/>
          <w:color w:val="1A1A1A"/>
          <w:sz w:val="22"/>
          <w:szCs w:val="22"/>
        </w:rPr>
        <w:t xml:space="preserve">Drone Area of Interest KML boundary files for pilot monitoring zones;</w:t>
      </w:r>
    </w:p>
    <w:p>
      <w:pPr>
        <w:pStyle w:val="ListParagraph"/>
        <w:numPr>
          <w:ilvl w:val="0"/>
          <w:numId w:val="2"/>
        </w:numPr>
        <w:spacing w:before="40" w:after="60"/>
      </w:pPr>
      <w:r>
        <w:rPr>
          <w:rFonts w:ascii="Arial" w:cs="Arial" w:eastAsia="Arial" w:hAnsi="Arial"/>
          <w:b w:val="false"/>
          <w:bCs w:val="false"/>
          <w:color w:val="1A1A1A"/>
          <w:sz w:val="22"/>
          <w:szCs w:val="22"/>
        </w:rPr>
        <w:t xml:space="preserve">Digital platform core architecture with multi-domain schema structures covering geospatial, field, soil, carbon, safeguard, and compliance functions;</w:t>
      </w:r>
    </w:p>
    <w:p>
      <w:pPr>
        <w:pStyle w:val="ListParagraph"/>
        <w:numPr>
          <w:ilvl w:val="0"/>
          <w:numId w:val="2"/>
        </w:numPr>
        <w:spacing w:before="40" w:after="60"/>
      </w:pPr>
      <w:r>
        <w:rPr>
          <w:rFonts w:ascii="Arial" w:cs="Arial" w:eastAsia="Arial" w:hAnsi="Arial"/>
          <w:b w:val="false"/>
          <w:bCs w:val="false"/>
          <w:color w:val="1A1A1A"/>
          <w:sz w:val="22"/>
          <w:szCs w:val="22"/>
        </w:rPr>
        <w:t xml:space="preserve">Role-based access control and audit-oriented workflow structures;</w:t>
      </w:r>
    </w:p>
    <w:p>
      <w:pPr>
        <w:pStyle w:val="ListParagraph"/>
        <w:numPr>
          <w:ilvl w:val="0"/>
          <w:numId w:val="2"/>
        </w:numPr>
        <w:spacing w:before="40" w:after="60"/>
      </w:pPr>
      <w:r>
        <w:rPr>
          <w:rFonts w:ascii="Arial" w:cs="Arial" w:eastAsia="Arial" w:hAnsi="Arial"/>
          <w:b w:val="false"/>
          <w:bCs w:val="false"/>
          <w:color w:val="1A1A1A"/>
          <w:sz w:val="22"/>
          <w:szCs w:val="22"/>
        </w:rPr>
        <w:t xml:space="preserve">Carbon calculation functions and SOP documentation within the platform repository;</w:t>
      </w:r>
    </w:p>
    <w:p>
      <w:pPr>
        <w:pStyle w:val="ListParagraph"/>
        <w:numPr>
          <w:ilvl w:val="0"/>
          <w:numId w:val="2"/>
        </w:numPr>
        <w:spacing w:before="40" w:after="60"/>
      </w:pPr>
      <w:r>
        <w:rPr>
          <w:rFonts w:ascii="Arial" w:cs="Arial" w:eastAsia="Arial" w:hAnsi="Arial"/>
          <w:b w:val="false"/>
          <w:bCs w:val="false"/>
          <w:color w:val="1A1A1A"/>
          <w:sz w:val="22"/>
          <w:szCs w:val="22"/>
        </w:rPr>
        <w:t xml:space="preserve">Community Change Agent training and field sampling capacity at Keta and Ada;</w:t>
      </w:r>
    </w:p>
    <w:p>
      <w:pPr>
        <w:pStyle w:val="ListParagraph"/>
        <w:numPr>
          <w:ilvl w:val="0"/>
          <w:numId w:val="2"/>
        </w:numPr>
        <w:spacing w:before="40" w:after="60"/>
      </w:pPr>
      <w:r>
        <w:rPr>
          <w:rFonts w:ascii="Arial" w:cs="Arial" w:eastAsia="Arial" w:hAnsi="Arial"/>
          <w:b w:val="false"/>
          <w:bCs w:val="false"/>
          <w:color w:val="1A1A1A"/>
          <w:sz w:val="22"/>
          <w:szCs w:val="22"/>
        </w:rPr>
        <w:t xml:space="preserve">Field data collection systems and quarterly monitoring protocols in operation.</w:t>
      </w:r>
    </w:p>
    <w:p>
      <w:pPr>
        <w:pStyle w:val="Heading2"/>
        <w:spacing w:before="300" w:after="160"/>
      </w:pPr>
      <w:r>
        <w:rPr>
          <w:rFonts w:ascii="Arial" w:cs="Arial" w:eastAsia="Arial" w:hAnsi="Arial"/>
          <w:b/>
          <w:bCs/>
          <w:color w:val="1A6B7A"/>
          <w:sz w:val="26"/>
          <w:szCs w:val="26"/>
        </w:rPr>
        <w:t xml:space="preserve">12.3  Components Requiring Continued Development</w:t>
      </w:r>
    </w:p>
    <w:p>
      <w:pPr>
        <w:pStyle w:val="ListParagraph"/>
        <w:numPr>
          <w:ilvl w:val="0"/>
          <w:numId w:val="2"/>
        </w:numPr>
        <w:spacing w:before="40" w:after="60"/>
      </w:pPr>
      <w:r>
        <w:rPr>
          <w:rFonts w:ascii="Arial" w:cs="Arial" w:eastAsia="Arial" w:hAnsi="Arial"/>
          <w:b w:val="false"/>
          <w:bCs w:val="false"/>
          <w:color w:val="1A1A1A"/>
          <w:sz w:val="22"/>
          <w:szCs w:val="22"/>
        </w:rPr>
        <w:t xml:space="preserve">Fully automated recurring remote-sensing classification workflows for all national landscapes;</w:t>
      </w:r>
    </w:p>
    <w:p>
      <w:pPr>
        <w:pStyle w:val="ListParagraph"/>
        <w:numPr>
          <w:ilvl w:val="0"/>
          <w:numId w:val="2"/>
        </w:numPr>
        <w:spacing w:before="40" w:after="60"/>
      </w:pPr>
      <w:r>
        <w:rPr>
          <w:rFonts w:ascii="Arial" w:cs="Arial" w:eastAsia="Arial" w:hAnsi="Arial"/>
          <w:b w:val="false"/>
          <w:bCs w:val="false"/>
          <w:color w:val="1A1A1A"/>
          <w:sz w:val="22"/>
          <w:szCs w:val="22"/>
        </w:rPr>
        <w:t xml:space="preserve">Baseline onboarding for additional coastal areas beyond the current pilot context;</w:t>
      </w:r>
    </w:p>
    <w:p>
      <w:pPr>
        <w:pStyle w:val="ListParagraph"/>
        <w:numPr>
          <w:ilvl w:val="0"/>
          <w:numId w:val="2"/>
        </w:numPr>
        <w:spacing w:before="40" w:after="60"/>
      </w:pPr>
      <w:r>
        <w:rPr>
          <w:rFonts w:ascii="Arial" w:cs="Arial" w:eastAsia="Arial" w:hAnsi="Arial"/>
          <w:b w:val="false"/>
          <w:bCs w:val="false"/>
          <w:color w:val="1A1A1A"/>
          <w:sz w:val="22"/>
          <w:szCs w:val="22"/>
        </w:rPr>
        <w:t xml:space="preserve">Complete audit-grade traceability and immutable evidence linkage across all platform modules;</w:t>
      </w:r>
    </w:p>
    <w:p>
      <w:pPr>
        <w:pStyle w:val="ListParagraph"/>
        <w:numPr>
          <w:ilvl w:val="0"/>
          <w:numId w:val="2"/>
        </w:numPr>
        <w:spacing w:before="40" w:after="60"/>
      </w:pPr>
      <w:r>
        <w:rPr>
          <w:rFonts w:ascii="Arial" w:cs="Arial" w:eastAsia="Arial" w:hAnsi="Arial"/>
          <w:b w:val="false"/>
          <w:bCs w:val="false"/>
          <w:color w:val="1A1A1A"/>
          <w:sz w:val="22"/>
          <w:szCs w:val="22"/>
        </w:rPr>
        <w:t xml:space="preserve">Independently verified proof of full national operational deployment at scale;</w:t>
      </w:r>
    </w:p>
    <w:p>
      <w:pPr>
        <w:pStyle w:val="ListParagraph"/>
        <w:numPr>
          <w:ilvl w:val="0"/>
          <w:numId w:val="2"/>
        </w:numPr>
        <w:spacing w:before="40" w:after="60"/>
      </w:pPr>
      <w:r>
        <w:rPr>
          <w:rFonts w:ascii="Arial" w:cs="Arial" w:eastAsia="Arial" w:hAnsi="Arial"/>
          <w:b w:val="false"/>
          <w:bCs w:val="false"/>
          <w:color w:val="1A1A1A"/>
          <w:sz w:val="22"/>
          <w:szCs w:val="22"/>
        </w:rPr>
        <w:t xml:space="preserve">Final data dictionary and annex-ready indicator metadata tables for all monitoring workstreams;</w:t>
      </w:r>
    </w:p>
    <w:p>
      <w:pPr>
        <w:pStyle w:val="ListParagraph"/>
        <w:numPr>
          <w:ilvl w:val="0"/>
          <w:numId w:val="2"/>
        </w:numPr>
        <w:spacing w:before="40" w:after="60"/>
      </w:pPr>
      <w:r>
        <w:rPr>
          <w:rFonts w:ascii="Arial" w:cs="Arial" w:eastAsia="Arial" w:hAnsi="Arial"/>
          <w:b w:val="false"/>
          <w:bCs w:val="false"/>
          <w:color w:val="1A1A1A"/>
          <w:sz w:val="22"/>
          <w:szCs w:val="22"/>
        </w:rPr>
        <w:t xml:space="preserve">Final protocol register and SOP list with approved titles and versions.</w:t>
      </w:r>
    </w:p>
    <w:p>
      <w:pPr>
        <w:spacing w:before="0" w:after="80"/>
      </w:pPr>
      <w:r>
        <w:t xml:space="preserve"/>
      </w:r>
    </w:p>
    <w:p>
      <w:pPr>
        <w:spacing w:before="80" w:after="120" w:line="276"/>
        <w:jc w:val="both"/>
      </w:pPr>
      <w:r>
        <w:rPr>
          <w:rFonts w:ascii="Arial" w:cs="Arial" w:eastAsia="Arial" w:hAnsi="Arial"/>
          <w:b w:val="false"/>
          <w:bCs w:val="false"/>
          <w:i w:val="false"/>
          <w:iCs w:val="false"/>
          <w:color w:val="1A1A1A"/>
          <w:sz w:val="22"/>
          <w:szCs w:val="22"/>
        </w:rPr>
        <w:t xml:space="preserve">The current evidence supports characterising the system as a functioning MRV prototype with strong national design intent, protocolised workstream logic, and pilot-linked implementation traces, with automation and audit hardening continuing in line with platform development cycles.</w:t>
      </w:r>
    </w:p>
    <w:p>
      <w:pPr>
        <w:pStyle w:val="Heading2"/>
        <w:spacing w:before="300" w:after="160"/>
      </w:pPr>
      <w:r>
        <w:rPr>
          <w:rFonts w:ascii="Arial" w:cs="Arial" w:eastAsia="Arial" w:hAnsi="Arial"/>
          <w:b/>
          <w:bCs/>
          <w:color w:val="1A6B7A"/>
          <w:sz w:val="26"/>
          <w:szCs w:val="26"/>
        </w:rPr>
        <w:t xml:space="preserve">12.4  Alignment with International Standards</w:t>
      </w:r>
    </w:p>
    <w:p>
      <w:pPr>
        <w:spacing w:before="80" w:after="120" w:line="276"/>
        <w:jc w:val="both"/>
      </w:pPr>
      <w:r>
        <w:rPr>
          <w:rFonts w:ascii="Arial" w:cs="Arial" w:eastAsia="Arial" w:hAnsi="Arial"/>
          <w:b w:val="false"/>
          <w:bCs w:val="false"/>
          <w:i w:val="false"/>
          <w:iCs w:val="false"/>
          <w:color w:val="1A1A1A"/>
          <w:sz w:val="22"/>
          <w:szCs w:val="22"/>
        </w:rPr>
        <w:t xml:space="preserve">The framework's design has been informed by comparative review of established blue carbon MRV practice, including Verra blue carbon methodologies, the Inter-American Development Bank regional blue carbon MRV mechanism, and digital mangrove MRV platform examples. The key lessons applied in this framework are: an explicit method chain from baseline through sampling to QA/QC to verification trigger to report; harmonised field protocols and explicit links to national GHG accounting; and digital chain-of-custody supporting continuous monitoring rather than periodic inspection.</w:t>
      </w:r>
    </w:p>
    <w:p>
      <w:pPr>
        <w:spacing w:before="80" w:after="120" w:line="276"/>
        <w:jc w:val="both"/>
      </w:pPr>
      <w:r>
        <w:rPr>
          <w:rFonts w:ascii="Arial" w:cs="Arial" w:eastAsia="Arial" w:hAnsi="Arial"/>
          <w:b w:val="false"/>
          <w:bCs w:val="false"/>
          <w:i w:val="false"/>
          <w:iCs w:val="false"/>
          <w:color w:val="1A1A1A"/>
          <w:sz w:val="22"/>
          <w:szCs w:val="22"/>
        </w:rPr>
        <w:t xml:space="preserve">Ghana's framework incorporates these lessons while maintaining institutional grounding in national governance systems and the CREMA community management architecture.</w:t>
      </w:r>
    </w:p>
    <w:p>
      <w:pPr>
        <w:pStyle w:val="Heading1"/>
        <w:pageBreakBefore/>
        <w:spacing w:before="480" w:after="240"/>
      </w:pPr>
      <w:r>
        <w:rPr>
          <w:rFonts w:ascii="Arial" w:cs="Arial" w:eastAsia="Arial" w:hAnsi="Arial"/>
          <w:b/>
          <w:bCs/>
          <w:color w:val="1B4F72"/>
          <w:sz w:val="30"/>
          <w:szCs w:val="30"/>
        </w:rPr>
        <w:t xml:space="preserve">Annex A — Placeholder Register for Pending Deliverables</w:t>
      </w:r>
    </w:p>
    <w:p>
      <w:pPr>
        <w:spacing w:before="80" w:after="120" w:line="276"/>
        <w:jc w:val="both"/>
      </w:pPr>
      <w:r>
        <w:rPr>
          <w:rFonts w:ascii="Arial" w:cs="Arial" w:eastAsia="Arial" w:hAnsi="Arial"/>
          <w:b w:val="false"/>
          <w:bCs w:val="false"/>
          <w:i w:val="false"/>
          <w:iCs w:val="false"/>
          <w:color w:val="1A1A1A"/>
          <w:sz w:val="22"/>
          <w:szCs w:val="22"/>
        </w:rPr>
        <w:t xml:space="preserve">The following items are required for finalisation of this report and will be inserted when available. Each placeholder is cross-referenced to the section of this report where the content will be incorporated.</w:t>
      </w:r>
    </w:p>
    <w:p>
      <w:pPr>
        <w:spacing w:before="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c>
          <w:tcPr>
            <w:tcW w:type="dxa" w:w="30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Item</w:t>
            </w:r>
          </w:p>
        </w:tc>
        <w:tc>
          <w:tcPr>
            <w:tcW w:type="dxa" w:w="40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Description</w:t>
            </w:r>
          </w:p>
        </w:tc>
        <w:tc>
          <w:tcPr>
            <w:tcW w:type="dxa" w:w="2638"/>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Report section</w:t>
            </w:r>
          </w:p>
        </w:tc>
      </w:tr>
      <w:tr>
        <w:tc>
          <w:tcPr>
            <w:tcW w:type="dxa" w:w="3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MRV Platform Dashboard Screenshot</w:t>
            </w:r>
          </w:p>
        </w:tc>
        <w:tc>
          <w:tcPr>
            <w:tcW w:type="dxa" w:w="4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National overview dashboard showing spatial layers, active monitoring, and system status</w:t>
            </w:r>
          </w:p>
        </w:tc>
        <w:tc>
          <w:tcPr>
            <w:tcW w:type="dxa" w:w="2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Section 8.2</w:t>
            </w:r>
          </w:p>
        </w:tc>
      </w:tr>
      <w:tr>
        <w:tc>
          <w:tcPr>
            <w:tcW w:type="dxa" w:w="3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Hotspot and Alert Export</w:t>
            </w:r>
          </w:p>
        </w:tc>
        <w:tc>
          <w:tcPr>
            <w:tcW w:type="dxa" w:w="4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Representative export showing detected pressure hotspots and system alert function</w:t>
            </w:r>
          </w:p>
        </w:tc>
        <w:tc>
          <w:tcPr>
            <w:tcW w:type="dxa" w:w="2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Section 8.4 and 10.6</w:t>
            </w:r>
          </w:p>
        </w:tc>
      </w:tr>
      <w:tr>
        <w:tc>
          <w:tcPr>
            <w:tcW w:type="dxa" w:w="3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Role-View or Workflow Export</w:t>
            </w:r>
          </w:p>
        </w:tc>
        <w:tc>
          <w:tcPr>
            <w:tcW w:type="dxa" w:w="4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Dashboard view showing role-based access and workflow structure</w:t>
            </w:r>
          </w:p>
        </w:tc>
        <w:tc>
          <w:tcPr>
            <w:tcW w:type="dxa" w:w="2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Section 8.5 and 10.6</w:t>
            </w:r>
          </w:p>
        </w:tc>
      </w:tr>
      <w:tr>
        <w:tc>
          <w:tcPr>
            <w:tcW w:type="dxa" w:w="3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Carbon Inventory Summary Table</w:t>
            </w:r>
          </w:p>
        </w:tc>
        <w:tc>
          <w:tcPr>
            <w:tcW w:type="dxa" w:w="4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Verified carbon stock values by pool and stratification unit from the Carbon Inventory Assessment</w:t>
            </w:r>
          </w:p>
        </w:tc>
        <w:tc>
          <w:tcPr>
            <w:tcW w:type="dxa" w:w="2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Section 9.9</w:t>
            </w:r>
          </w:p>
        </w:tc>
      </w:tr>
      <w:tr>
        <w:tc>
          <w:tcPr>
            <w:tcW w:type="dxa" w:w="3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Indicator Lineage Table</w:t>
            </w:r>
          </w:p>
        </w:tc>
        <w:tc>
          <w:tcPr>
            <w:tcW w:type="dxa" w:w="4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Full indicator register showing source data, collection frequency, responsible actor, validation step, storage point, and reporting output for each MRV indicator</w:t>
            </w:r>
          </w:p>
        </w:tc>
        <w:tc>
          <w:tcPr>
            <w:tcW w:type="dxa" w:w="2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Annex B (pending)</w:t>
            </w:r>
          </w:p>
        </w:tc>
      </w:tr>
      <w:tr>
        <w:tc>
          <w:tcPr>
            <w:tcW w:type="dxa" w:w="3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Protocol and SOP Register</w:t>
            </w:r>
          </w:p>
        </w:tc>
        <w:tc>
          <w:tcPr>
            <w:tcW w:type="dxa" w:w="4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Final annex-ready register of protocols, SOPs, and manuals with approved titles and versions</w:t>
            </w:r>
          </w:p>
        </w:tc>
        <w:tc>
          <w:tcPr>
            <w:tcW w:type="dxa" w:w="2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Annex C (pending)</w:t>
            </w:r>
          </w:p>
        </w:tc>
      </w:tr>
      <w:tr>
        <w:tc>
          <w:tcPr>
            <w:tcW w:type="dxa" w:w="3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Final Data Dictionary</w:t>
            </w:r>
          </w:p>
        </w:tc>
        <w:tc>
          <w:tcPr>
            <w:tcW w:type="dxa" w:w="4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Complete data dictionary for all MRV system fields, variables, and metadata requirements</w:t>
            </w:r>
          </w:p>
        </w:tc>
        <w:tc>
          <w:tcPr>
            <w:tcW w:type="dxa" w:w="2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Annex D (pending)</w:t>
            </w:r>
          </w:p>
        </w:tc>
      </w:tr>
    </w:tbl>
    <w:p>
      <w:pPr>
        <w:spacing w:before="0" w:after="120"/>
      </w:pPr>
      <w:r>
        <w:t xml:space="preserve"/>
      </w:r>
    </w:p>
    <w:p>
      <w:pPr>
        <w:spacing w:before="80" w:after="120" w:line="276"/>
        <w:jc w:val="both"/>
      </w:pPr>
      <w:r>
        <w:rPr>
          <w:rFonts w:ascii="Arial" w:cs="Arial" w:eastAsia="Arial" w:hAnsi="Arial"/>
          <w:b w:val="false"/>
          <w:bCs w:val="false"/>
          <w:i w:val="false"/>
          <w:iCs w:val="false"/>
          <w:color w:val="1A1A1A"/>
          <w:sz w:val="22"/>
          <w:szCs w:val="22"/>
        </w:rPr>
        <w:t xml:space="preserve">These items do not affect the completeness of the MRV Framework design as documented in this report. They represent final evidence and visual outputs that will be added to specific sections and annexes as they become available.</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7A" w:sz="4" w:space="1"/>
      </w:pBdr>
      <w:spacing w:before="80" w:after="0"/>
      <w:jc w:val="center"/>
    </w:pPr>
    <w:r>
      <w:rPr>
        <w:rFonts w:ascii="Arial" w:cs="Arial" w:eastAsia="Arial" w:hAnsi="Arial"/>
        <w:i/>
        <w:iCs/>
        <w:color w:val="888888"/>
        <w:sz w:val="18"/>
        <w:szCs w:val="18"/>
      </w:rPr>
      <w:t xml:space="preserve">Confidential — Draft for Review</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7A" w:sz="4" w:space="1"/>
      </w:pBdr>
      <w:spacing w:before="0" w:after="120"/>
    </w:pPr>
    <w:r>
      <w:rPr>
        <w:rFonts w:ascii="Arial" w:cs="Arial" w:eastAsia="Arial" w:hAnsi="Arial"/>
        <w:color w:val="1A6B7A"/>
        <w:sz w:val="18"/>
        <w:szCs w:val="18"/>
      </w:rPr>
      <w:t xml:space="preserve">Ghana National Blue Carbon MRV Framework</w:t>
    </w:r>
    <w:r>
      <w:rPr>
        <w:rFonts w:ascii="Arial" w:cs="Arial" w:eastAsia="Arial" w:hAnsi="Arial"/>
        <w:color w:val="888888"/>
        <w:sz w:val="18"/>
        <w:szCs w:val="18"/>
      </w:rPr>
      <w:t xml:space="preserve">  |  Standalone Report  |  GAB Climate Smart Investment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4F72"/>
      <w:sz w:val="30"/>
      <w:szCs w:val="30"/>
    </w:rPr>
  </w:style>
  <w:style w:type="paragraph" w:styleId="Heading2">
    <w:name w:val="Heading 2"/>
    <w:basedOn w:val="Normal"/>
    <w:next w:val="Normal"/>
    <w:qFormat/>
    <w:pPr>
      <w:spacing w:before="300" w:after="160"/>
      <w:outlineLvl w:val="1"/>
    </w:pPr>
    <w:rPr>
      <w:rFonts w:ascii="Arial" w:cs="Arial" w:eastAsia="Arial" w:hAnsi="Arial"/>
      <w:b/>
      <w:bCs/>
      <w:color w:val="1A6B7A"/>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2026-03-24T03:35:14.525Z</dcterms:created>
  <dcterms:modified xsi:type="dcterms:W3CDTF">2026-03-24T03:35:14.525Z</dcterms:modified>
</cp:coreProperties>
</file>

<file path=docProps/custom.xml><?xml version="1.0" encoding="utf-8"?>
<Properties xmlns="http://schemas.openxmlformats.org/officeDocument/2006/custom-properties" xmlns:vt="http://schemas.openxmlformats.org/officeDocument/2006/docPropsVTypes"/>
</file>