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120"/>
        <w:jc w:val="center"/>
      </w:pPr>
      <w:r>
        <w:rPr>
          <w:rFonts w:ascii="Arial" w:cs="Arial" w:eastAsia="Arial" w:hAnsi="Arial"/>
          <w:b/>
          <w:bCs/>
          <w:color w:val="1B4F72"/>
          <w:sz w:val="28"/>
          <w:szCs w:val="28"/>
        </w:rPr>
        <w:t xml:space="preserve">GHANA BLUE CARBON ASSESSMENT</w:t>
      </w:r>
    </w:p>
    <w:p>
      <w:pPr>
        <w:pBdr>
          <w:bottom w:val="single" w:color="1B4F72" w:sz="6" w:space="1"/>
        </w:pBdr>
        <w:spacing w:before="120" w:after="120"/>
      </w:pPr>
      <w:r>
        <w:t xml:space="preserve"/>
      </w:r>
    </w:p>
    <w:p>
      <w:pPr>
        <w:spacing w:before="0" w:after="80"/>
      </w:pPr>
      <w:r>
        <w:t xml:space="preserve"/>
      </w:r>
    </w:p>
    <w:p>
      <w:pPr>
        <w:spacing w:before="0" w:after="360"/>
        <w:jc w:val="center"/>
      </w:pPr>
      <w:r>
        <w:rPr>
          <w:rFonts w:ascii="Arial" w:cs="Arial" w:eastAsia="Arial" w:hAnsi="Arial"/>
          <w:b/>
          <w:bCs/>
          <w:color w:val="1B4F72"/>
          <w:sz w:val="40"/>
          <w:szCs w:val="40"/>
        </w:rPr>
        <w:t xml:space="preserve">National Blue Carbon Monitoring, Reporting and Verification (MRV) Framework</w:t>
      </w:r>
    </w:p>
    <w:p>
      <w:pPr>
        <w:spacing w:before="0" w:after="600"/>
        <w:jc w:val="center"/>
      </w:pPr>
      <w:r>
        <w:rPr>
          <w:rFonts w:ascii="Arial" w:cs="Arial" w:eastAsia="Arial" w:hAnsi="Arial"/>
          <w:b w:val="false"/>
          <w:bCs w:val="false"/>
          <w:i/>
          <w:iCs/>
          <w:color w:val="1A6B7A"/>
          <w:sz w:val="28"/>
          <w:szCs w:val="28"/>
        </w:rPr>
        <w:t xml:space="preserve">Standalone Report</w:t>
      </w:r>
    </w:p>
    <w:p>
      <w:pPr>
        <w:spacing w:before="0" w:after="400"/>
      </w:pPr>
      <w:r>
        <w:t xml:space="preserve"/>
      </w:r>
    </w:p>
    <w:p>
      <w:pPr>
        <w:spacing w:before="0" w:after="80"/>
        <w:jc w:val="center"/>
      </w:pPr>
      <w:r>
        <w:rPr>
          <w:rFonts w:ascii="Arial" w:cs="Arial" w:eastAsia="Arial" w:hAnsi="Arial"/>
          <w:color w:val="1A1A1A"/>
          <w:sz w:val="22"/>
          <w:szCs w:val="22"/>
        </w:rPr>
        <w:t xml:space="preserve">Prepared by:</w:t>
      </w:r>
    </w:p>
    <w:p>
      <w:pPr>
        <w:spacing w:before="0" w:after="80"/>
        <w:jc w:val="center"/>
      </w:pPr>
      <w:r>
        <w:rPr>
          <w:rFonts w:ascii="Arial" w:cs="Arial" w:eastAsia="Arial" w:hAnsi="Arial"/>
          <w:b/>
          <w:bCs/>
          <w:color w:val="1B4F72"/>
          <w:sz w:val="24"/>
          <w:szCs w:val="24"/>
        </w:rPr>
        <w:t xml:space="preserve">GAB Climate Smart Investment Ltd</w:t>
      </w:r>
    </w:p>
    <w:p>
      <w:pPr>
        <w:spacing w:before="0" w:after="200"/>
      </w:pPr>
      <w:r>
        <w:t xml:space="preserve"/>
      </w:r>
    </w:p>
    <w:p>
      <w:pPr>
        <w:spacing w:before="0" w:after="80"/>
        <w:jc w:val="center"/>
      </w:pPr>
      <w:r>
        <w:rPr>
          <w:rFonts w:ascii="Arial" w:cs="Arial" w:eastAsia="Arial" w:hAnsi="Arial"/>
          <w:color w:val="1A1A1A"/>
          <w:sz w:val="22"/>
          <w:szCs w:val="22"/>
        </w:rPr>
        <w:t xml:space="preserve">Submitted to:</w:t>
      </w:r>
    </w:p>
    <w:p>
      <w:pPr>
        <w:spacing w:before="0" w:after="80"/>
        <w:jc w:val="center"/>
      </w:pPr>
      <w:r>
        <w:rPr>
          <w:rFonts w:ascii="Arial" w:cs="Arial" w:eastAsia="Arial" w:hAnsi="Arial"/>
          <w:b/>
          <w:bCs/>
          <w:color w:val="1A1A1A"/>
          <w:sz w:val="22"/>
          <w:szCs w:val="22"/>
        </w:rPr>
        <w:t xml:space="preserve">Ministry of Lands and Natural Resources, Ghana</w:t>
      </w:r>
    </w:p>
    <w:p>
      <w:pPr>
        <w:spacing w:before="0" w:after="200"/>
      </w:pPr>
      <w:r>
        <w:t xml:space="preserve"/>
      </w:r>
    </w:p>
    <w:p>
      <w:pPr>
        <w:spacing w:before="0" w:after="80"/>
        <w:jc w:val="center"/>
      </w:pPr>
      <w:r>
        <w:rPr>
          <w:rFonts w:ascii="Arial" w:cs="Arial" w:eastAsia="Arial" w:hAnsi="Arial"/>
          <w:color w:val="1A1A1A"/>
          <w:sz w:val="22"/>
          <w:szCs w:val="22"/>
        </w:rPr>
        <w:t xml:space="preserve">March 2026</w:t>
      </w:r>
    </w:p>
    <w:p>
      <w:pPr>
        <w:spacing w:before="0" w:after="0"/>
        <w:jc w:val="center"/>
      </w:pPr>
      <w:r>
        <w:rPr>
          <w:rFonts w:ascii="Arial" w:cs="Arial" w:eastAsia="Arial" w:hAnsi="Arial"/>
          <w:i/>
          <w:iCs/>
          <w:color w:val="1A6B7A"/>
          <w:sz w:val="20"/>
          <w:szCs w:val="20"/>
        </w:rPr>
        <w:t xml:space="preserve">Draft for Review</w:t>
      </w:r>
    </w:p>
    <w:p>
      <w:r>
        <w:br w:type="page"/>
      </w:r>
    </w:p>
    <w:p>
      <w:pPr>
        <w:pStyle w:val="Heading1"/>
        <w:spacing w:before="240" w:after="240"/>
      </w:pPr>
      <w:r>
        <w:rPr>
          <w:rFonts w:ascii="Arial" w:cs="Arial" w:eastAsia="Arial" w:hAnsi="Arial"/>
          <w:b/>
          <w:bCs/>
          <w:color w:val="1B4F72"/>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480" w:after="240"/>
      </w:pPr>
      <w:r>
        <w:rPr>
          <w:rFonts w:ascii="Arial" w:cs="Arial" w:eastAsia="Arial" w:hAnsi="Arial"/>
          <w:b/>
          <w:bCs/>
          <w:color w:val="1B4F72"/>
          <w:sz w:val="30"/>
          <w:szCs w:val="30"/>
        </w:rPr>
        <w:t xml:space="preserve">Executive Summary</w:t>
      </w:r>
    </w:p>
    <w:p>
      <w:pPr>
        <w:spacing w:before="80" w:after="120" w:line="276"/>
        <w:jc w:val="both"/>
      </w:pPr>
      <w:r>
        <w:rPr>
          <w:rFonts w:ascii="Arial" w:cs="Arial" w:eastAsia="Arial" w:hAnsi="Arial"/>
          <w:b w:val="false"/>
          <w:bCs w:val="false"/>
          <w:i w:val="false"/>
          <w:iCs w:val="false"/>
          <w:color w:val="1A1A1A"/>
          <w:sz w:val="22"/>
          <w:szCs w:val="22"/>
        </w:rPr>
        <w:t xml:space="preserve">Ghana's coastal mangrove and wetland ecosystems represent nationally significant assets for climate regulation, carbon storage, biodiversity, shoreline protection, fisheries, and community livelihoods. The National Blue Carbon Monitoring, Reporting and Verification (MRV) Framework established through this assignment provides the institutional, technical, and governance architecture required to protect and account for these assets in a rigorous, transparent, and internationally credible manner.</w:t>
      </w:r>
    </w:p>
    <w:p>
      <w:pPr>
        <w:spacing w:before="80" w:after="120" w:line="276"/>
        <w:jc w:val="both"/>
      </w:pPr>
      <w:r>
        <w:rPr>
          <w:rFonts w:ascii="Arial" w:cs="Arial" w:eastAsia="Arial" w:hAnsi="Arial"/>
          <w:b w:val="false"/>
          <w:bCs w:val="false"/>
          <w:i w:val="false"/>
          <w:iCs w:val="false"/>
          <w:color w:val="1A1A1A"/>
          <w:sz w:val="22"/>
          <w:szCs w:val="22"/>
        </w:rPr>
        <w:t xml:space="preserve">The Framework operates through three integrated functional layers — Ecological and Carbon Integrity, Environmental Pressure Surveillance, and Governance and Safeguard Assurance — deployed across four coordinated institutional tiers from community level through to national technical authority. It is supported by a web-based spatial monitoring platform that integrates satellite imagery, field data, carbon records, and governance documentation into a single continuous monitoring system.</w:t>
      </w:r>
    </w:p>
    <w:p>
      <w:pPr>
        <w:spacing w:before="80" w:after="120" w:line="276"/>
        <w:jc w:val="both"/>
      </w:pPr>
      <w:r>
        <w:rPr>
          <w:rFonts w:ascii="Arial" w:cs="Arial" w:eastAsia="Arial" w:hAnsi="Arial"/>
          <w:b w:val="false"/>
          <w:bCs w:val="false"/>
          <w:i w:val="false"/>
          <w:iCs w:val="false"/>
          <w:color w:val="1A1A1A"/>
          <w:sz w:val="22"/>
          <w:szCs w:val="22"/>
        </w:rPr>
        <w:t xml:space="preserve">The 2025 national assessment — covering mangrove extent mapping, carbon inventory, ecosystem health analysis, socio-economic profiling, and environmental pressure assessment — establishes the Year 0 baseline reference against which all future monitoring, reporting, and carbon accounting will be benchmarked. Keta Lagoon Complex is confirmed as the dominant blue carbon concentration in Ghana by mapped extent and serves as the primary pilot implementation context for integrated MRV operations within the broader national architecture.</w:t>
      </w:r>
    </w:p>
    <w:p>
      <w:pPr>
        <w:spacing w:before="80" w:after="120" w:line="276"/>
        <w:jc w:val="both"/>
      </w:pPr>
      <w:r>
        <w:rPr>
          <w:rFonts w:ascii="Arial" w:cs="Arial" w:eastAsia="Arial" w:hAnsi="Arial"/>
          <w:b w:val="false"/>
          <w:bCs w:val="false"/>
          <w:i w:val="false"/>
          <w:iCs w:val="false"/>
          <w:color w:val="1A1A1A"/>
          <w:sz w:val="22"/>
          <w:szCs w:val="22"/>
        </w:rPr>
        <w:t xml:space="preserve">The Framework is designed for institutional permanence, not project duration. It establishes national ownership through MLNR and MEST, with CREMAs and Community Change Agents providing the field observation layer and district authorities providing validation and escalation. Minimum Protocols and a Manual of Procedures guide field replication, data validation, and verification across all workstreams.</w:t>
      </w:r>
    </w:p>
    <w:p>
      <w:pPr>
        <w:spacing w:before="80" w:after="120" w:line="276"/>
        <w:jc w:val="both"/>
      </w:pPr>
      <w:r>
        <w:rPr>
          <w:rFonts w:ascii="Arial" w:cs="Arial" w:eastAsia="Arial" w:hAnsi="Arial"/>
          <w:b w:val="false"/>
          <w:bCs w:val="false"/>
          <w:i w:val="false"/>
          <w:iCs w:val="false"/>
          <w:color w:val="1A1A1A"/>
          <w:sz w:val="22"/>
          <w:szCs w:val="22"/>
        </w:rPr>
        <w:t xml:space="preserve">Annual monitoring, five-yearly carbon re-measurement, and continuous digital surveillance are integrated into a reporting cycle that supports national climate obligations, donor accountability, and voluntary carbon market readiness. This report presents the completed design and implementation logic of the Framework and constitutes the standalone MRV source report within the wider Blue Carbon Final Report package.</w:t>
      </w:r>
    </w:p>
    <w:p>
      <w:pPr>
        <w:spacing w:before="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Framework layers</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Ecological &amp; Carbon Integrity | Environmental Pressure Surveillance | Governance &amp; Safeguard Assurance</w:t>
            </w:r>
          </w:p>
        </w:tc>
      </w:tr>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Institutional tiers</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Community (CREMAs/CCAs) | District (MMDAs/Wildlife Division) | National Technical (MLNR/MEST/FC) | Independent Review (where applicable)</w:t>
            </w:r>
          </w:p>
        </w:tc>
      </w:tr>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Baseline reference</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2025 National Geospatial Mangrove Extent, Ecosystem Health, and Carbon Inventory Assessments (Year 0)</w:t>
            </w:r>
          </w:p>
        </w:tc>
      </w:tr>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Monitoring cycles</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satellite extent monitoring | Quarterly field pressure and ecosystem indicators | 3–5 year carbon re-measurement</w:t>
            </w:r>
          </w:p>
        </w:tc>
      </w:tr>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Digital platform</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Web-based spatial platform with weekly satellite feeds, PSP registry, restoration tracking, pressure overlays, and governance records</w:t>
            </w:r>
          </w:p>
        </w:tc>
      </w:tr>
      <w:tr>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Primary pilot site</w:t>
            </w:r>
          </w:p>
        </w:tc>
        <w:tc>
          <w:tcPr>
            <w:tcW w:type="dxa" w:w="72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Keta Lagoon Complex Ramsar Site — pilot implementation context within national MRV architecture</w:t>
            </w:r>
          </w:p>
        </w:tc>
      </w:tr>
    </w:tbl>
    <w:p>
      <w:pPr>
        <w:pStyle w:val="Heading1"/>
        <w:pageBreakBefore/>
        <w:spacing w:before="480" w:after="240"/>
      </w:pPr>
      <w:r>
        <w:rPr>
          <w:rFonts w:ascii="Arial" w:cs="Arial" w:eastAsia="Arial" w:hAnsi="Arial"/>
          <w:b/>
          <w:bCs/>
          <w:color w:val="1B4F72"/>
          <w:sz w:val="30"/>
          <w:szCs w:val="30"/>
        </w:rPr>
        <w:t xml:space="preserve">1.  Introduction</w:t>
      </w:r>
    </w:p>
    <w:p>
      <w:pPr>
        <w:pStyle w:val="Heading2"/>
        <w:spacing w:before="300" w:after="160"/>
      </w:pPr>
      <w:r>
        <w:rPr>
          <w:rFonts w:ascii="Arial" w:cs="Arial" w:eastAsia="Arial" w:hAnsi="Arial"/>
          <w:b/>
          <w:bCs/>
          <w:color w:val="1A6B7A"/>
          <w:sz w:val="26"/>
          <w:szCs w:val="26"/>
        </w:rPr>
        <w:t xml:space="preserve">1.1  Purpose of This Report</w:t>
      </w:r>
    </w:p>
    <w:p>
      <w:pPr>
        <w:spacing w:before="80" w:after="120" w:line="276"/>
        <w:jc w:val="both"/>
      </w:pPr>
      <w:r>
        <w:rPr>
          <w:rFonts w:ascii="Arial" w:cs="Arial" w:eastAsia="Arial" w:hAnsi="Arial"/>
          <w:b w:val="false"/>
          <w:bCs w:val="false"/>
          <w:i w:val="false"/>
          <w:iCs w:val="false"/>
          <w:color w:val="1A1A1A"/>
          <w:sz w:val="22"/>
          <w:szCs w:val="22"/>
        </w:rPr>
        <w:t xml:space="preserve">This report presents Ghana's National Blue Carbon Monitoring, Reporting and Verification (MRV) Framework as a standalone document. It is prepared as a primary output of the Blue Carbon Assessment Consultancy and is intended to serve as both a standalone reference for the national MRV system and a source report within the broader Blue Carbon Final Report package.</w:t>
      </w:r>
    </w:p>
    <w:p>
      <w:pPr>
        <w:spacing w:before="80" w:after="120" w:line="276"/>
        <w:jc w:val="both"/>
      </w:pPr>
      <w:r>
        <w:rPr>
          <w:rFonts w:ascii="Arial" w:cs="Arial" w:eastAsia="Arial" w:hAnsi="Arial"/>
          <w:b w:val="false"/>
          <w:bCs w:val="false"/>
          <w:i w:val="false"/>
          <w:iCs w:val="false"/>
          <w:color w:val="1A1A1A"/>
          <w:sz w:val="22"/>
          <w:szCs w:val="22"/>
        </w:rPr>
        <w:t xml:space="preserve">The report describes the design, institutional architecture, functional logic, monitoring protocols, data flows, and reporting structure of the Framework in full. It is addressed to the Government of Ghana through the Ministry of Lands and Natural Resources and associated implementing institutions, as well as to development partners, donors, and technical stakeholders engaged in the programme.</w:t>
      </w:r>
    </w:p>
    <w:p>
      <w:pPr>
        <w:pStyle w:val="Heading2"/>
        <w:spacing w:before="300" w:after="160"/>
      </w:pPr>
      <w:r>
        <w:rPr>
          <w:rFonts w:ascii="Arial" w:cs="Arial" w:eastAsia="Arial" w:hAnsi="Arial"/>
          <w:b/>
          <w:bCs/>
          <w:color w:val="1A6B7A"/>
          <w:sz w:val="26"/>
          <w:szCs w:val="26"/>
        </w:rPr>
        <w:t xml:space="preserve">1.2  Scope and Structure</w:t>
      </w:r>
    </w:p>
    <w:p>
      <w:pPr>
        <w:spacing w:before="80" w:after="120" w:line="276"/>
        <w:jc w:val="both"/>
      </w:pPr>
      <w:r>
        <w:rPr>
          <w:rFonts w:ascii="Arial" w:cs="Arial" w:eastAsia="Arial" w:hAnsi="Arial"/>
          <w:b w:val="false"/>
          <w:bCs w:val="false"/>
          <w:i w:val="false"/>
          <w:iCs w:val="false"/>
          <w:color w:val="1A1A1A"/>
          <w:sz w:val="22"/>
          <w:szCs w:val="22"/>
        </w:rPr>
        <w:t xml:space="preserve">The Framework documented in this report is national in scope. It establishes a reference architecture applicable to all coastal blue carbon landscapes in Ghana. Keta Lagoon Complex is used throughout as the primary pilot implementation context, reflecting the depth of baseline evidence and the maturity of operational readiness at that site relative to other landscapes.</w:t>
      </w:r>
    </w:p>
    <w:p>
      <w:pPr>
        <w:spacing w:before="80" w:after="120" w:line="276"/>
        <w:jc w:val="both"/>
      </w:pPr>
      <w:r>
        <w:rPr>
          <w:rFonts w:ascii="Arial" w:cs="Arial" w:eastAsia="Arial" w:hAnsi="Arial"/>
          <w:b w:val="false"/>
          <w:bCs w:val="false"/>
          <w:i w:val="false"/>
          <w:iCs w:val="false"/>
          <w:color w:val="1A1A1A"/>
          <w:sz w:val="22"/>
          <w:szCs w:val="22"/>
        </w:rPr>
        <w:t xml:space="preserve">The report is structured to follow the three functional layers of the Framework — ecological and carbon integrity, environmental pressure surveillance, and governance and safeguard assurance — together with the digital platform that integrates them, the carbon accounting protocol, and the national reporting and disclosure framework. Implementation maturity and the Keta pilot context are addressed in dedicated sections.</w:t>
      </w:r>
    </w:p>
    <w:p>
      <w:pPr>
        <w:pStyle w:val="Heading2"/>
        <w:spacing w:before="300" w:after="160"/>
      </w:pPr>
      <w:r>
        <w:rPr>
          <w:rFonts w:ascii="Arial" w:cs="Arial" w:eastAsia="Arial" w:hAnsi="Arial"/>
          <w:b/>
          <w:bCs/>
          <w:color w:val="1A6B7A"/>
          <w:sz w:val="26"/>
          <w:szCs w:val="26"/>
        </w:rPr>
        <w:t xml:space="preserve">1.3  Relationship to the Wider Baseline Package</w:t>
      </w:r>
    </w:p>
    <w:p>
      <w:pPr>
        <w:spacing w:before="80" w:after="120" w:line="276"/>
        <w:jc w:val="both"/>
      </w:pPr>
      <w:r>
        <w:rPr>
          <w:rFonts w:ascii="Arial" w:cs="Arial" w:eastAsia="Arial" w:hAnsi="Arial"/>
          <w:b w:val="false"/>
          <w:bCs w:val="false"/>
          <w:i w:val="false"/>
          <w:iCs w:val="false"/>
          <w:color w:val="1A1A1A"/>
          <w:sz w:val="22"/>
          <w:szCs w:val="22"/>
        </w:rPr>
        <w:t xml:space="preserve">The MRV Framework is not a standalone technical system. It is the operating architecture through which findings from six baseline workstreams — geospatial extent mapping, ecosystem health assessment, socio-economic profiling, environmental pressure analysis, governance readiness evaluation, and carbon inventory — are integrated into a continuous monitoring and reporting capability.</w:t>
      </w:r>
    </w:p>
    <w:p>
      <w:pPr>
        <w:spacing w:before="80" w:after="120" w:line="276"/>
        <w:jc w:val="both"/>
      </w:pPr>
      <w:r>
        <w:rPr>
          <w:rFonts w:ascii="Arial" w:cs="Arial" w:eastAsia="Arial" w:hAnsi="Arial"/>
          <w:b w:val="false"/>
          <w:bCs w:val="false"/>
          <w:i w:val="false"/>
          <w:iCs w:val="false"/>
          <w:color w:val="1A1A1A"/>
          <w:sz w:val="22"/>
          <w:szCs w:val="22"/>
        </w:rPr>
        <w:t xml:space="preserve">This report should therefore be read alongside, and in reference to, the Mangrove Extent Baseline Report, the Ecosystem Health Report, the Socio-Economic Baseline Report, and the Carbon Inventory Report, all of which provide the data foundations on which the MRV Framework operates.</w:t>
      </w:r>
    </w:p>
    <w:p>
      <w:pPr>
        <w:pStyle w:val="Heading1"/>
        <w:pageBreakBefore/>
        <w:spacing w:before="480" w:after="240"/>
      </w:pPr>
      <w:r>
        <w:rPr>
          <w:rFonts w:ascii="Arial" w:cs="Arial" w:eastAsia="Arial" w:hAnsi="Arial"/>
          <w:b/>
          <w:bCs/>
          <w:color w:val="1B4F72"/>
          <w:sz w:val="30"/>
          <w:szCs w:val="30"/>
        </w:rPr>
        <w:t xml:space="preserve">2.  Strategic Context and National Purpose</w:t>
      </w:r>
    </w:p>
    <w:p>
      <w:pPr>
        <w:pStyle w:val="Heading2"/>
        <w:spacing w:before="300" w:after="160"/>
      </w:pPr>
      <w:r>
        <w:rPr>
          <w:rFonts w:ascii="Arial" w:cs="Arial" w:eastAsia="Arial" w:hAnsi="Arial"/>
          <w:b/>
          <w:bCs/>
          <w:color w:val="1A6B7A"/>
          <w:sz w:val="26"/>
          <w:szCs w:val="26"/>
        </w:rPr>
        <w:t xml:space="preserve">2.1  Ghana's Blue Carbon Mandate</w:t>
      </w:r>
    </w:p>
    <w:p>
      <w:pPr>
        <w:spacing w:before="80" w:after="120" w:line="276"/>
        <w:jc w:val="both"/>
      </w:pPr>
      <w:r>
        <w:rPr>
          <w:rFonts w:ascii="Arial" w:cs="Arial" w:eastAsia="Arial" w:hAnsi="Arial"/>
          <w:b w:val="false"/>
          <w:bCs w:val="false"/>
          <w:i w:val="false"/>
          <w:iCs w:val="false"/>
          <w:color w:val="1A1A1A"/>
          <w:sz w:val="22"/>
          <w:szCs w:val="22"/>
        </w:rPr>
        <w:t xml:space="preserve">Ghana's coastal wetlands, mangrove forests, and tidal systems form part of the country's critical natural infrastructure. They support climate regulation through significant carbon sequestration and storage, provide biodiversity habitat, protect coastlines from erosion and storm surge, sustain artisanal fisheries, and underpin the livelihoods of hundreds of thousands of coastal community members.</w:t>
      </w:r>
    </w:p>
    <w:p>
      <w:pPr>
        <w:spacing w:before="80" w:after="120" w:line="276"/>
        <w:jc w:val="both"/>
      </w:pPr>
      <w:r>
        <w:rPr>
          <w:rFonts w:ascii="Arial" w:cs="Arial" w:eastAsia="Arial" w:hAnsi="Arial"/>
          <w:b w:val="false"/>
          <w:bCs w:val="false"/>
          <w:i w:val="false"/>
          <w:iCs w:val="false"/>
          <w:color w:val="1A1A1A"/>
          <w:sz w:val="22"/>
          <w:szCs w:val="22"/>
        </w:rPr>
        <w:t xml:space="preserve">The initiation of the National Blue Carbon Assessment reflects a formal Government commitment to characterise, protect, and account for these assets within national climate and development planning. The MRV Framework developed through this assignment translates that commitment into an operational monitoring and reporting system aligned with Ghana's Nationally Determined Contributions (NDCs) under the Paris Agreement and with international blue carbon accounting standards.</w:t>
      </w:r>
    </w:p>
    <w:p>
      <w:pPr>
        <w:pStyle w:val="Heading2"/>
        <w:spacing w:before="300" w:after="160"/>
      </w:pPr>
      <w:r>
        <w:rPr>
          <w:rFonts w:ascii="Arial" w:cs="Arial" w:eastAsia="Arial" w:hAnsi="Arial"/>
          <w:b/>
          <w:bCs/>
          <w:color w:val="1A6B7A"/>
          <w:sz w:val="26"/>
          <w:szCs w:val="26"/>
        </w:rPr>
        <w:t xml:space="preserve">2.2  Design Intent</w:t>
      </w:r>
    </w:p>
    <w:p>
      <w:pPr>
        <w:spacing w:before="80" w:after="120" w:line="276"/>
        <w:jc w:val="both"/>
      </w:pPr>
      <w:r>
        <w:rPr>
          <w:rFonts w:ascii="Arial" w:cs="Arial" w:eastAsia="Arial" w:hAnsi="Arial"/>
          <w:b w:val="false"/>
          <w:bCs w:val="false"/>
          <w:i w:val="false"/>
          <w:iCs w:val="false"/>
          <w:color w:val="1A1A1A"/>
          <w:sz w:val="22"/>
          <w:szCs w:val="22"/>
        </w:rPr>
        <w:t xml:space="preserve">The Framework is designed for institutional permanence. It is not a project-bound mechanism that expires when a funding cycle ends. Rather, it establishes national ownership through the Ministry of Lands and Natural Resources and the Ministry of Environment, Science and Technology, with technical support from the Forestry Commission, and with community-level implementation grounded in the Community Resource Management Area (CREMA) governance system.</w:t>
      </w:r>
    </w:p>
    <w:p>
      <w:pPr>
        <w:spacing w:before="80" w:after="120" w:line="276"/>
        <w:jc w:val="both"/>
      </w:pPr>
      <w:r>
        <w:rPr>
          <w:rFonts w:ascii="Arial" w:cs="Arial" w:eastAsia="Arial" w:hAnsi="Arial"/>
          <w:b w:val="false"/>
          <w:bCs w:val="false"/>
          <w:i w:val="false"/>
          <w:iCs w:val="false"/>
          <w:color w:val="1A1A1A"/>
          <w:sz w:val="22"/>
          <w:szCs w:val="22"/>
        </w:rPr>
        <w:t xml:space="preserve">The Framework is built to accommodate progressive expansion. As additional blue carbon landscapes complete their baseline assessments and operational readiness matures, they can be incorporated into the national system without structural redesign. This ensures that the investment in MRV architecture generates long-term institutional value beyond the initial assessment period.</w:t>
      </w:r>
    </w:p>
    <w:p>
      <w:pPr>
        <w:pStyle w:val="Heading2"/>
        <w:spacing w:before="300" w:after="160"/>
      </w:pPr>
      <w:r>
        <w:rPr>
          <w:rFonts w:ascii="Arial" w:cs="Arial" w:eastAsia="Arial" w:hAnsi="Arial"/>
          <w:b/>
          <w:bCs/>
          <w:color w:val="1A6B7A"/>
          <w:sz w:val="26"/>
          <w:szCs w:val="26"/>
        </w:rPr>
        <w:t xml:space="preserve">2.3  Policy Anchors</w:t>
      </w:r>
    </w:p>
    <w:p>
      <w:pPr>
        <w:spacing w:before="80" w:after="120" w:line="276"/>
        <w:jc w:val="both"/>
      </w:pPr>
      <w:r>
        <w:rPr>
          <w:rFonts w:ascii="Arial" w:cs="Arial" w:eastAsia="Arial" w:hAnsi="Arial"/>
          <w:b w:val="false"/>
          <w:bCs w:val="false"/>
          <w:i w:val="false"/>
          <w:iCs w:val="false"/>
          <w:color w:val="1A1A1A"/>
          <w:sz w:val="22"/>
          <w:szCs w:val="22"/>
        </w:rPr>
        <w:t xml:space="preserve">The Framework is informed by and aligned with several national and international policy anchors, including Ghana's National Climate Change Policy, the Ramsar Convention obligations applicable to the Keta Lagoon Complex and Songor Ramsar Sites, internationally recognised carbon accounting methodologies including IPCC Wetlands Supplement guidance, and Ghana's NDC commitments. The governance architecture is designed to support credible reporting against each of these obligations.</w:t>
      </w:r>
    </w:p>
    <w:p>
      <w:pPr>
        <w:pStyle w:val="Heading2"/>
        <w:spacing w:before="300" w:after="160"/>
      </w:pPr>
      <w:r>
        <w:rPr>
          <w:rFonts w:ascii="Arial" w:cs="Arial" w:eastAsia="Arial" w:hAnsi="Arial"/>
          <w:b/>
          <w:bCs/>
          <w:color w:val="1A6B7A"/>
          <w:sz w:val="26"/>
          <w:szCs w:val="26"/>
        </w:rPr>
        <w:t xml:space="preserve">2.4  National Baseline as the Year 0 Reference</w:t>
      </w:r>
    </w:p>
    <w:p>
      <w:pPr>
        <w:spacing w:before="80" w:after="120" w:line="276"/>
        <w:jc w:val="both"/>
      </w:pPr>
      <w:r>
        <w:rPr>
          <w:rFonts w:ascii="Arial" w:cs="Arial" w:eastAsia="Arial" w:hAnsi="Arial"/>
          <w:b w:val="false"/>
          <w:bCs w:val="false"/>
          <w:i w:val="false"/>
          <w:iCs w:val="false"/>
          <w:color w:val="1A1A1A"/>
          <w:sz w:val="22"/>
          <w:szCs w:val="22"/>
        </w:rPr>
        <w:t xml:space="preserve">The 2025 national assessment package — comprising the Geospatial Mangrove Extent Baseline, Ecosystem Health Report, Carbon Inventory Assessment, Socio-Economic Baseline, Environmental Pressure Assessment, and Governance Readiness Evaluation — constitutes the Year 0 reference for the MRV system. All future monitoring outputs, carbon stock changes, restoration performance assessments, and pressure trend analyses will be benchmarked against this baseline.</w:t>
      </w:r>
    </w:p>
    <w:p>
      <w:pPr>
        <w:spacing w:before="80" w:after="120" w:line="276"/>
        <w:jc w:val="both"/>
      </w:pPr>
      <w:r>
        <w:rPr>
          <w:rFonts w:ascii="Arial" w:cs="Arial" w:eastAsia="Arial" w:hAnsi="Arial"/>
          <w:b w:val="false"/>
          <w:bCs w:val="false"/>
          <w:i w:val="false"/>
          <w:iCs w:val="false"/>
          <w:color w:val="1A1A1A"/>
          <w:sz w:val="22"/>
          <w:szCs w:val="22"/>
        </w:rPr>
        <w:t xml:space="preserve">The integrity of the MRV system therefore depends in part on the careful preservation and archiving of Year 0 data, including spatial layers, permanent sample plot records, soil carbon samples and results, field data sheets, and institutional documentation. Protocols for Year 0 archiving are integrated into the digital platform architecture described in Section 8 of this report.</w:t>
      </w:r>
    </w:p>
    <w:p>
      <w:pPr>
        <w:pStyle w:val="Heading1"/>
        <w:pageBreakBefore/>
        <w:spacing w:before="480" w:after="240"/>
      </w:pPr>
      <w:r>
        <w:rPr>
          <w:rFonts w:ascii="Arial" w:cs="Arial" w:eastAsia="Arial" w:hAnsi="Arial"/>
          <w:b/>
          <w:bCs/>
          <w:color w:val="1B4F72"/>
          <w:sz w:val="30"/>
          <w:szCs w:val="30"/>
        </w:rPr>
        <w:t xml:space="preserve">3.  National MRV Architecture</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MRV Framework is structured as an integrated, multi-layered system operating across four coordinated institutional tiers and three functional monitoring layers. These are held together by a web-based digital platform that enables continuous oversight, transparent reporting, and institutional accountability.</w:t>
      </w:r>
    </w:p>
    <w:p>
      <w:pPr>
        <w:pStyle w:val="Heading2"/>
        <w:spacing w:before="300" w:after="160"/>
      </w:pPr>
      <w:r>
        <w:rPr>
          <w:rFonts w:ascii="Arial" w:cs="Arial" w:eastAsia="Arial" w:hAnsi="Arial"/>
          <w:b/>
          <w:bCs/>
          <w:color w:val="1A6B7A"/>
          <w:sz w:val="26"/>
          <w:szCs w:val="26"/>
        </w:rPr>
        <w:t xml:space="preserve">3.1  Institutional Tiers</w:t>
      </w:r>
    </w:p>
    <w:p>
      <w:pPr>
        <w:pStyle w:val="Heading3"/>
        <w:spacing w:before="240" w:after="120"/>
      </w:pPr>
      <w:r>
        <w:rPr>
          <w:rFonts w:ascii="Arial" w:cs="Arial" w:eastAsia="Arial" w:hAnsi="Arial"/>
          <w:b/>
          <w:bCs/>
          <w:color w:val="1B4F72"/>
          <w:sz w:val="24"/>
          <w:szCs w:val="24"/>
        </w:rPr>
        <w:t xml:space="preserve">Community Level</w:t>
      </w:r>
    </w:p>
    <w:p>
      <w:pPr>
        <w:spacing w:before="80" w:after="120" w:line="276"/>
        <w:jc w:val="both"/>
      </w:pPr>
      <w:r>
        <w:rPr>
          <w:rFonts w:ascii="Arial" w:cs="Arial" w:eastAsia="Arial" w:hAnsi="Arial"/>
          <w:b w:val="false"/>
          <w:bCs w:val="false"/>
          <w:i w:val="false"/>
          <w:iCs w:val="false"/>
          <w:color w:val="1A1A1A"/>
          <w:sz w:val="22"/>
          <w:szCs w:val="22"/>
        </w:rPr>
        <w:t xml:space="preserve">Community Resource Management Areas (CREMAs) and trained Community Change Agents (CCAs) form the primary field observation layer. At community level, the MRV system relies on CREMAs and CCAs for the detection and recording of restoration activity, environmental pressure signals, and governance-related indicators. Specific responsibilities include plot access maintenance, Diameter at Breast Height (DBH) measurement support, visual disturbance documentation, restoration survival checks, and quarterly and annual indicator recording in accordance with established field protocols.</w:t>
      </w:r>
    </w:p>
    <w:p>
      <w:pPr>
        <w:spacing w:before="80" w:after="120" w:line="276"/>
        <w:jc w:val="both"/>
      </w:pPr>
      <w:r>
        <w:rPr>
          <w:rFonts w:ascii="Arial" w:cs="Arial" w:eastAsia="Arial" w:hAnsi="Arial"/>
          <w:b w:val="false"/>
          <w:bCs w:val="false"/>
          <w:i w:val="false"/>
          <w:iCs w:val="false"/>
          <w:color w:val="1A1A1A"/>
          <w:sz w:val="22"/>
          <w:szCs w:val="22"/>
        </w:rPr>
        <w:t xml:space="preserve">CREMAs received training through field demonstration during the 2025 assessment process. Community Change Agents operate within designated monitoring zones referenced to GIS-prepared supervised maps, and quarterly data collection is anchored to the sampling station network designed for key wetland sites.</w:t>
      </w:r>
    </w:p>
    <w:p>
      <w:pPr>
        <w:pStyle w:val="Heading3"/>
        <w:spacing w:before="240" w:after="120"/>
      </w:pPr>
      <w:r>
        <w:rPr>
          <w:rFonts w:ascii="Arial" w:cs="Arial" w:eastAsia="Arial" w:hAnsi="Arial"/>
          <w:b/>
          <w:bCs/>
          <w:color w:val="1B4F72"/>
          <w:sz w:val="24"/>
          <w:szCs w:val="24"/>
        </w:rPr>
        <w:t xml:space="preserve">District Level</w:t>
      </w:r>
    </w:p>
    <w:p>
      <w:pPr>
        <w:spacing w:before="80" w:after="120" w:line="276"/>
        <w:jc w:val="both"/>
      </w:pPr>
      <w:r>
        <w:rPr>
          <w:rFonts w:ascii="Arial" w:cs="Arial" w:eastAsia="Arial" w:hAnsi="Arial"/>
          <w:b w:val="false"/>
          <w:bCs w:val="false"/>
          <w:i w:val="false"/>
          <w:iCs w:val="false"/>
          <w:color w:val="1A1A1A"/>
          <w:sz w:val="22"/>
          <w:szCs w:val="22"/>
        </w:rPr>
        <w:t xml:space="preserve">Metropolitan, Municipal and District Assemblies (MMDAs), together with the Wildlife Division of the Forestry Commission, consolidate and validate field data submitted by CREMAs and CCAs. District authorities are responsible for reviewing environmental pressure trends, facilitating conflict mediation, escalating risks to national level where thresholds are reached, and submitting consolidated annual reports to MLNR and MEST.</w:t>
      </w:r>
    </w:p>
    <w:p>
      <w:pPr>
        <w:spacing w:before="80" w:after="120" w:line="276"/>
        <w:jc w:val="both"/>
      </w:pPr>
      <w:r>
        <w:rPr>
          <w:rFonts w:ascii="Arial" w:cs="Arial" w:eastAsia="Arial" w:hAnsi="Arial"/>
          <w:b w:val="false"/>
          <w:bCs w:val="false"/>
          <w:i w:val="false"/>
          <w:iCs w:val="false"/>
          <w:color w:val="1A1A1A"/>
          <w:sz w:val="22"/>
          <w:szCs w:val="22"/>
        </w:rPr>
        <w:t xml:space="preserve">The Wildlife Division plays a central validation role within the field-observation and ecosystem-monitoring components of the system, particularly in relation to restoration site verification and environmental pressure confirmation.</w:t>
      </w:r>
    </w:p>
    <w:p>
      <w:pPr>
        <w:pStyle w:val="Heading3"/>
        <w:spacing w:before="240" w:after="120"/>
      </w:pPr>
      <w:r>
        <w:rPr>
          <w:rFonts w:ascii="Arial" w:cs="Arial" w:eastAsia="Arial" w:hAnsi="Arial"/>
          <w:b/>
          <w:bCs/>
          <w:color w:val="1B4F72"/>
          <w:sz w:val="24"/>
          <w:szCs w:val="24"/>
        </w:rPr>
        <w:t xml:space="preserve">National Technical Level</w:t>
      </w:r>
    </w:p>
    <w:p>
      <w:pPr>
        <w:spacing w:before="80" w:after="120" w:line="276"/>
        <w:jc w:val="both"/>
      </w:pPr>
      <w:r>
        <w:rPr>
          <w:rFonts w:ascii="Arial" w:cs="Arial" w:eastAsia="Arial" w:hAnsi="Arial"/>
          <w:b w:val="false"/>
          <w:bCs w:val="false"/>
          <w:i w:val="false"/>
          <w:iCs w:val="false"/>
          <w:color w:val="1A1A1A"/>
          <w:sz w:val="22"/>
          <w:szCs w:val="22"/>
        </w:rPr>
        <w:t xml:space="preserve">The Ministry of Lands and Natural Resources (MLNR) and Ministry of Environment, Science and Technology (MEST), together with the Forestry Commission, carry principal technical responsibility for the national MRV system. Responsibilities at this tier include GIS and satellite analysis, carbon stock calculation and re-measurement oversight, QA/QC across all monitoring workstreams, national data archiving, platform administration, and the production of the Annual National Blue Carbon MRV Report.</w:t>
      </w:r>
    </w:p>
    <w:p>
      <w:pPr>
        <w:pStyle w:val="Heading3"/>
        <w:spacing w:before="240" w:after="120"/>
      </w:pPr>
      <w:r>
        <w:rPr>
          <w:rFonts w:ascii="Arial" w:cs="Arial" w:eastAsia="Arial" w:hAnsi="Arial"/>
          <w:b/>
          <w:bCs/>
          <w:color w:val="1B4F72"/>
          <w:sz w:val="24"/>
          <w:szCs w:val="24"/>
        </w:rPr>
        <w:t xml:space="preserve">Independent Review</w:t>
      </w:r>
    </w:p>
    <w:p>
      <w:pPr>
        <w:spacing w:before="80" w:after="120" w:line="276"/>
        <w:jc w:val="both"/>
      </w:pPr>
      <w:r>
        <w:rPr>
          <w:rFonts w:ascii="Arial" w:cs="Arial" w:eastAsia="Arial" w:hAnsi="Arial"/>
          <w:b w:val="false"/>
          <w:bCs w:val="false"/>
          <w:i w:val="false"/>
          <w:iCs w:val="false"/>
          <w:color w:val="1A1A1A"/>
          <w:sz w:val="22"/>
          <w:szCs w:val="22"/>
        </w:rPr>
        <w:t xml:space="preserve">Independent verification is included in the framework where required — specifically in contexts involving carbon market participation, third-party assurance, or donor audit requirements. Independent review is intended to complement, not replace, national institutional ownership of the monitoring and reporting process. The framework explicitly preserves the primacy of national data stewardship while providing for external credibility assurance where required by programme arrangements.</w:t>
      </w:r>
    </w:p>
    <w:p>
      <w:pPr>
        <w:pStyle w:val="Heading2"/>
        <w:spacing w:before="300" w:after="160"/>
      </w:pPr>
      <w:r>
        <w:rPr>
          <w:rFonts w:ascii="Arial" w:cs="Arial" w:eastAsia="Arial" w:hAnsi="Arial"/>
          <w:b/>
          <w:bCs/>
          <w:color w:val="1A6B7A"/>
          <w:sz w:val="26"/>
          <w:szCs w:val="26"/>
        </w:rPr>
        <w:t xml:space="preserve">3.2  Functional Layers</w:t>
      </w:r>
    </w:p>
    <w:p>
      <w:pPr>
        <w:spacing w:before="80" w:after="120" w:line="276"/>
        <w:jc w:val="both"/>
      </w:pPr>
      <w:r>
        <w:rPr>
          <w:rFonts w:ascii="Arial" w:cs="Arial" w:eastAsia="Arial" w:hAnsi="Arial"/>
          <w:b w:val="false"/>
          <w:bCs w:val="false"/>
          <w:i w:val="false"/>
          <w:iCs w:val="false"/>
          <w:color w:val="1A1A1A"/>
          <w:sz w:val="22"/>
          <w:szCs w:val="22"/>
        </w:rPr>
        <w:t xml:space="preserve">The Framework operates through three integrated functional layers, each addressing a distinct dimension of blue carbon integrity.</w:t>
      </w:r>
    </w:p>
    <w:p>
      <w:pPr>
        <w:spacing w:before="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c>
          <w:tcPr>
            <w:tcW w:type="dxa" w:w="26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Layer</w:t>
            </w:r>
          </w:p>
        </w:tc>
        <w:tc>
          <w:tcPr>
            <w:tcW w:type="dxa" w:w="36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Focus</w:t>
            </w:r>
          </w:p>
        </w:tc>
        <w:tc>
          <w:tcPr>
            <w:tcW w:type="dxa" w:w="34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Key outputs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 — Ecological and Carbon Integrity</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Mangrove extent, restoration performance, carbon stocks, and long-term ecosystem asset integrity</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extent change maps, restoration performance records, carbon stock updates, PSP measurement archives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II — Environmental Pressure Surveillance</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Drivers of degradation, early warning signals, and leakage risk management</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Pressure indicator summaries, alert flags, hotspot maps, escalation records</w:t>
            </w:r>
          </w:p>
        </w:tc>
      </w:tr>
      <w:tr>
        <w:tc>
          <w:tcPr>
            <w:tcW w:type="dxa" w:w="2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Layer III — Governance and Safeguard Assurance</w:t>
            </w:r>
          </w:p>
        </w:tc>
        <w:tc>
          <w:tcPr>
            <w:tcW w:type="dxa" w:w="36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Inclusive participation, benefit transparency, conflict monitoring, and grievance redress</w:t>
            </w:r>
          </w:p>
        </w:tc>
        <w:tc>
          <w:tcPr>
            <w:tcW w:type="dxa" w:w="34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Governance composition data, grievance logs, benefit-sharing records, conflict mediation outcomes</w:t>
            </w:r>
          </w:p>
        </w:tc>
      </w:tr>
    </w:tbl>
    <w:p>
      <w:pPr>
        <w:spacing w:before="0" w:after="12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These layers are not designed to operate in isolation. Governance instability, for example, is treated as a risk signal for ecological and carbon integrity. Environmental pressure data is cross-referenced against PSP locations and carbon stock projections. Carbon risk assessments incorporate governance and safeguard performance as contributing factors. The layers function as an integrated national monitoring system.</w:t>
      </w:r>
    </w:p>
    <w:p>
      <w:pPr>
        <w:pStyle w:val="Heading2"/>
        <w:spacing w:before="300" w:after="160"/>
      </w:pPr>
      <w:r>
        <w:rPr>
          <w:rFonts w:ascii="Arial" w:cs="Arial" w:eastAsia="Arial" w:hAnsi="Arial"/>
          <w:b/>
          <w:bCs/>
          <w:color w:val="1A6B7A"/>
          <w:sz w:val="26"/>
          <w:szCs w:val="26"/>
        </w:rPr>
        <w:t xml:space="preserve">3.3  Guiding Principles</w:t>
      </w:r>
    </w:p>
    <w:p>
      <w:pPr>
        <w:pStyle w:val="Heading3"/>
        <w:spacing w:before="240" w:after="120"/>
      </w:pPr>
      <w:r>
        <w:rPr>
          <w:rFonts w:ascii="Arial" w:cs="Arial" w:eastAsia="Arial" w:hAnsi="Arial"/>
          <w:b/>
          <w:bCs/>
          <w:color w:val="1B4F72"/>
          <w:sz w:val="24"/>
          <w:szCs w:val="24"/>
        </w:rPr>
        <w:t xml:space="preserve">Institutional Permanence</w:t>
      </w:r>
    </w:p>
    <w:p>
      <w:pPr>
        <w:spacing w:before="80" w:after="120" w:line="276"/>
        <w:jc w:val="both"/>
      </w:pPr>
      <w:r>
        <w:rPr>
          <w:rFonts w:ascii="Arial" w:cs="Arial" w:eastAsia="Arial" w:hAnsi="Arial"/>
          <w:b w:val="false"/>
          <w:bCs w:val="false"/>
          <w:i w:val="false"/>
          <w:iCs w:val="false"/>
          <w:color w:val="1A1A1A"/>
          <w:sz w:val="22"/>
          <w:szCs w:val="22"/>
        </w:rPr>
        <w:t xml:space="preserve">The MRV system is designed as a long-term national framework. Any project using the framework applies site-specific baselines within the national architecture. The framework itself is not bound to any single project cycle or funding instrument.</w:t>
      </w:r>
    </w:p>
    <w:p>
      <w:pPr>
        <w:pStyle w:val="Heading3"/>
        <w:spacing w:before="240" w:after="120"/>
      </w:pPr>
      <w:r>
        <w:rPr>
          <w:rFonts w:ascii="Arial" w:cs="Arial" w:eastAsia="Arial" w:hAnsi="Arial"/>
          <w:b/>
          <w:bCs/>
          <w:color w:val="1B4F72"/>
          <w:sz w:val="24"/>
          <w:szCs w:val="24"/>
        </w:rPr>
        <w:t xml:space="preserve">Technical Credibility</w:t>
      </w:r>
    </w:p>
    <w:p>
      <w:pPr>
        <w:spacing w:before="80" w:after="120" w:line="276"/>
        <w:jc w:val="both"/>
      </w:pPr>
      <w:r>
        <w:rPr>
          <w:rFonts w:ascii="Arial" w:cs="Arial" w:eastAsia="Arial" w:hAnsi="Arial"/>
          <w:b w:val="false"/>
          <w:bCs w:val="false"/>
          <w:i w:val="false"/>
          <w:iCs w:val="false"/>
          <w:color w:val="1A1A1A"/>
          <w:sz w:val="22"/>
          <w:szCs w:val="22"/>
        </w:rPr>
        <w:t xml:space="preserve">Carbon measurement and ecological monitoring are aligned with internationally recognised methodologies and IPCC good practice. Minimum Protocols and a Manual of Procedures are provided to guide replication, validation, and verification across all workstreams.</w:t>
      </w:r>
    </w:p>
    <w:p>
      <w:pPr>
        <w:pStyle w:val="Heading3"/>
        <w:spacing w:before="240" w:after="120"/>
      </w:pPr>
      <w:r>
        <w:rPr>
          <w:rFonts w:ascii="Arial" w:cs="Arial" w:eastAsia="Arial" w:hAnsi="Arial"/>
          <w:b/>
          <w:bCs/>
          <w:color w:val="1B4F72"/>
          <w:sz w:val="24"/>
          <w:szCs w:val="24"/>
        </w:rPr>
        <w:t xml:space="preserve">Digital Integration</w:t>
      </w:r>
    </w:p>
    <w:p>
      <w:pPr>
        <w:spacing w:before="80" w:after="120" w:line="276"/>
        <w:jc w:val="both"/>
      </w:pPr>
      <w:r>
        <w:rPr>
          <w:rFonts w:ascii="Arial" w:cs="Arial" w:eastAsia="Arial" w:hAnsi="Arial"/>
          <w:b w:val="false"/>
          <w:bCs w:val="false"/>
          <w:i w:val="false"/>
          <w:iCs w:val="false"/>
          <w:color w:val="1A1A1A"/>
          <w:sz w:val="22"/>
          <w:szCs w:val="22"/>
        </w:rPr>
        <w:t xml:space="preserve">A web-based spatial monitoring platform hosts restoration potential areas, ecologically sensitive zones, Permanent Sample Plot locations, weekly satellite imagery feeds, and spatial change detection analytics. Access is managed at national level while enabling authorised district and community-level access through smartphone-compatible interfaces.</w:t>
      </w:r>
    </w:p>
    <w:p>
      <w:pPr>
        <w:pStyle w:val="Heading3"/>
        <w:spacing w:before="240" w:after="120"/>
      </w:pPr>
      <w:r>
        <w:rPr>
          <w:rFonts w:ascii="Arial" w:cs="Arial" w:eastAsia="Arial" w:hAnsi="Arial"/>
          <w:b/>
          <w:bCs/>
          <w:color w:val="1B4F72"/>
          <w:sz w:val="24"/>
          <w:szCs w:val="24"/>
        </w:rPr>
        <w:t xml:space="preserve">Early-Warning Orientation</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monitoring functions as a surveillance system designed to detect risk signals before irreversible degradation occurs. The system extends beyond project-specific areas to ensure that leakage pressures are also monitored and managed.</w:t>
      </w:r>
    </w:p>
    <w:p>
      <w:pPr>
        <w:pStyle w:val="Heading3"/>
        <w:spacing w:before="240" w:after="120"/>
      </w:pPr>
      <w:r>
        <w:rPr>
          <w:rFonts w:ascii="Arial" w:cs="Arial" w:eastAsia="Arial" w:hAnsi="Arial"/>
          <w:b/>
          <w:bCs/>
          <w:color w:val="1B4F72"/>
          <w:sz w:val="24"/>
          <w:szCs w:val="24"/>
        </w:rPr>
        <w:t xml:space="preserve">Transparency and Accountability</w:t>
      </w:r>
    </w:p>
    <w:p>
      <w:pPr>
        <w:spacing w:before="80" w:after="120" w:line="276"/>
        <w:jc w:val="both"/>
      </w:pPr>
      <w:r>
        <w:rPr>
          <w:rFonts w:ascii="Arial" w:cs="Arial" w:eastAsia="Arial" w:hAnsi="Arial"/>
          <w:b w:val="false"/>
          <w:bCs w:val="false"/>
          <w:i w:val="false"/>
          <w:iCs w:val="false"/>
          <w:color w:val="1A1A1A"/>
          <w:sz w:val="22"/>
          <w:szCs w:val="22"/>
        </w:rPr>
        <w:t xml:space="preserve">Monitoring outputs inform annual national reporting and investment-grade disclosure. The digital architecture ensures that data flows from field collection to national reporting are auditable and traceable.</w:t>
      </w:r>
    </w:p>
    <w:p>
      <w:pPr>
        <w:pStyle w:val="Heading3"/>
        <w:spacing w:before="240" w:after="120"/>
      </w:pPr>
      <w:r>
        <w:rPr>
          <w:rFonts w:ascii="Arial" w:cs="Arial" w:eastAsia="Arial" w:hAnsi="Arial"/>
          <w:b/>
          <w:bCs/>
          <w:color w:val="1B4F72"/>
          <w:sz w:val="24"/>
          <w:szCs w:val="24"/>
        </w:rPr>
        <w:t xml:space="preserve">Progressive Enhancement</w:t>
      </w:r>
    </w:p>
    <w:p>
      <w:pPr>
        <w:spacing w:before="80" w:after="120" w:line="276"/>
        <w:jc w:val="both"/>
      </w:pPr>
      <w:r>
        <w:rPr>
          <w:rFonts w:ascii="Arial" w:cs="Arial" w:eastAsia="Arial" w:hAnsi="Arial"/>
          <w:b w:val="false"/>
          <w:bCs w:val="false"/>
          <w:i w:val="false"/>
          <w:iCs w:val="false"/>
          <w:color w:val="1A1A1A"/>
          <w:sz w:val="22"/>
          <w:szCs w:val="22"/>
        </w:rPr>
        <w:t xml:space="preserve">The MRV system is designed to expand as landscape baselines mature. It incorporates mechanisms for continuous improvement as investments, technical capacity, and field presence develop over time.</w:t>
      </w:r>
    </w:p>
    <w:p>
      <w:pPr>
        <w:pStyle w:val="Heading1"/>
        <w:pageBreakBefore/>
        <w:spacing w:before="480" w:after="240"/>
      </w:pPr>
      <w:r>
        <w:rPr>
          <w:rFonts w:ascii="Arial" w:cs="Arial" w:eastAsia="Arial" w:hAnsi="Arial"/>
          <w:b/>
          <w:bCs/>
          <w:color w:val="1B4F72"/>
          <w:sz w:val="30"/>
          <w:szCs w:val="30"/>
        </w:rPr>
        <w:t xml:space="preserve">4.  Ecological and Carbon Integrity Framework</w:t>
      </w:r>
    </w:p>
    <w:p>
      <w:pPr>
        <w:pStyle w:val="Heading2"/>
        <w:spacing w:before="300" w:after="160"/>
      </w:pPr>
      <w:r>
        <w:rPr>
          <w:rFonts w:ascii="Arial" w:cs="Arial" w:eastAsia="Arial" w:hAnsi="Arial"/>
          <w:b/>
          <w:bCs/>
          <w:color w:val="1A6B7A"/>
          <w:sz w:val="26"/>
          <w:szCs w:val="26"/>
        </w:rPr>
        <w:t xml:space="preserve">4.1  Objective</w:t>
      </w:r>
    </w:p>
    <w:p>
      <w:pPr>
        <w:spacing w:before="80" w:after="120" w:line="276"/>
        <w:jc w:val="both"/>
      </w:pPr>
      <w:r>
        <w:rPr>
          <w:rFonts w:ascii="Arial" w:cs="Arial" w:eastAsia="Arial" w:hAnsi="Arial"/>
          <w:b w:val="false"/>
          <w:bCs w:val="false"/>
          <w:i w:val="false"/>
          <w:iCs w:val="false"/>
          <w:color w:val="1A1A1A"/>
          <w:sz w:val="22"/>
          <w:szCs w:val="22"/>
        </w:rPr>
        <w:t xml:space="preserve">The Ecological and Carbon Integrity Framework establishes the technical architecture through which Ghana will monitor the spatial extent and condition of mangrove and coastal wetland ecosystems, quantify and periodically re-measure carbon stocks, track restoration performance and ecological recovery, maintain the long-term integrity of blue carbon assets, and ensure readiness for voluntary and compliance carbon market participation.</w:t>
      </w:r>
    </w:p>
    <w:p>
      <w:pPr>
        <w:spacing w:before="80" w:after="120" w:line="276"/>
        <w:jc w:val="both"/>
      </w:pPr>
      <w:r>
        <w:rPr>
          <w:rFonts w:ascii="Arial" w:cs="Arial" w:eastAsia="Arial" w:hAnsi="Arial"/>
          <w:b w:val="false"/>
          <w:bCs w:val="false"/>
          <w:i w:val="false"/>
          <w:iCs w:val="false"/>
          <w:color w:val="1A1A1A"/>
          <w:sz w:val="22"/>
          <w:szCs w:val="22"/>
        </w:rPr>
        <w:t xml:space="preserve">The framework is internationally grounded but nationally managed. It ensures that ecological monitoring and carbon accounting are conducted in accordance with internationally recognised standards while remaining institutionally anchored within Ghana's own environmental governance system.</w:t>
      </w:r>
    </w:p>
    <w:p>
      <w:pPr>
        <w:pStyle w:val="Heading2"/>
        <w:spacing w:before="300" w:after="160"/>
      </w:pPr>
      <w:r>
        <w:rPr>
          <w:rFonts w:ascii="Arial" w:cs="Arial" w:eastAsia="Arial" w:hAnsi="Arial"/>
          <w:b/>
          <w:bCs/>
          <w:color w:val="1A6B7A"/>
          <w:sz w:val="26"/>
          <w:szCs w:val="26"/>
        </w:rPr>
        <w:t xml:space="preserve">4.2  National Baseline Reference — Year 0</w:t>
      </w:r>
    </w:p>
    <w:p>
      <w:pPr>
        <w:spacing w:before="80" w:after="120" w:line="276"/>
        <w:jc w:val="both"/>
      </w:pPr>
      <w:r>
        <w:rPr>
          <w:rFonts w:ascii="Arial" w:cs="Arial" w:eastAsia="Arial" w:hAnsi="Arial"/>
          <w:b w:val="false"/>
          <w:bCs w:val="false"/>
          <w:i w:val="false"/>
          <w:iCs w:val="false"/>
          <w:color w:val="1A1A1A"/>
          <w:sz w:val="22"/>
          <w:szCs w:val="22"/>
        </w:rPr>
        <w:t xml:space="preserve">The 2025 Geospatial Mangrove Extent Baseline, Ecosystem Health Assessment, and Carbon Inventory together constitute the national Year 0 reference for the MRV system. This baseline provides the foundation for:</w:t>
      </w:r>
    </w:p>
    <w:p>
      <w:pPr>
        <w:pStyle w:val="ListParagraph"/>
        <w:numPr>
          <w:ilvl w:val="0"/>
          <w:numId w:val="2"/>
        </w:numPr>
        <w:spacing w:before="40" w:after="60"/>
      </w:pPr>
      <w:r>
        <w:rPr>
          <w:rFonts w:ascii="Arial" w:cs="Arial" w:eastAsia="Arial" w:hAnsi="Arial"/>
          <w:b w:val="false"/>
          <w:bCs w:val="false"/>
          <w:color w:val="1A1A1A"/>
          <w:sz w:val="22"/>
          <w:szCs w:val="22"/>
        </w:rPr>
        <w:t xml:space="preserve">mangrove spatial coverage, ecosystem classification, and fragmentation mapping;</w:t>
      </w:r>
    </w:p>
    <w:p>
      <w:pPr>
        <w:pStyle w:val="ListParagraph"/>
        <w:numPr>
          <w:ilvl w:val="0"/>
          <w:numId w:val="2"/>
        </w:numPr>
        <w:spacing w:before="40" w:after="60"/>
      </w:pPr>
      <w:r>
        <w:rPr>
          <w:rFonts w:ascii="Arial" w:cs="Arial" w:eastAsia="Arial" w:hAnsi="Arial"/>
          <w:b w:val="false"/>
          <w:bCs w:val="false"/>
          <w:color w:val="1A1A1A"/>
          <w:sz w:val="22"/>
          <w:szCs w:val="22"/>
        </w:rPr>
        <w:t xml:space="preserve">stratification of the landscape for carbon measurement and restoration potential mapping;</w:t>
      </w:r>
    </w:p>
    <w:p>
      <w:pPr>
        <w:pStyle w:val="ListParagraph"/>
        <w:numPr>
          <w:ilvl w:val="0"/>
          <w:numId w:val="2"/>
        </w:numPr>
        <w:spacing w:before="40" w:after="60"/>
      </w:pPr>
      <w:r>
        <w:rPr>
          <w:rFonts w:ascii="Arial" w:cs="Arial" w:eastAsia="Arial" w:hAnsi="Arial"/>
          <w:b w:val="false"/>
          <w:bCs w:val="false"/>
          <w:color w:val="1A1A1A"/>
          <w:sz w:val="22"/>
          <w:szCs w:val="22"/>
        </w:rPr>
        <w:t xml:space="preserve">the Permanent Sample Plot network and initial carbon pool quantification;</w:t>
      </w:r>
    </w:p>
    <w:p>
      <w:pPr>
        <w:pStyle w:val="ListParagraph"/>
        <w:numPr>
          <w:ilvl w:val="0"/>
          <w:numId w:val="2"/>
        </w:numPr>
        <w:spacing w:before="40" w:after="60"/>
      </w:pPr>
      <w:r>
        <w:rPr>
          <w:rFonts w:ascii="Arial" w:cs="Arial" w:eastAsia="Arial" w:hAnsi="Arial"/>
          <w:b w:val="false"/>
          <w:bCs w:val="false"/>
          <w:color w:val="1A1A1A"/>
          <w:sz w:val="22"/>
          <w:szCs w:val="22"/>
        </w:rPr>
        <w:t xml:space="preserve">all future annual extent comparisons, restoration performance benchmarks, and carbon stock change calculations.</w:t>
      </w:r>
    </w:p>
    <w:p>
      <w:pPr>
        <w:spacing w:before="0" w:after="8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 integrity of future MRV reporting depends on the preservation and careful archiving of Year 0 data. All spatial layers, plot records, soil samples, field data sheets, and satellite imagery used in the baseline are treated as controlled reference datasets within the national digital platform.</w:t>
      </w:r>
    </w:p>
    <w:p>
      <w:pPr>
        <w:pStyle w:val="Heading2"/>
        <w:spacing w:before="300" w:after="160"/>
      </w:pPr>
      <w:r>
        <w:rPr>
          <w:rFonts w:ascii="Arial" w:cs="Arial" w:eastAsia="Arial" w:hAnsi="Arial"/>
          <w:b/>
          <w:bCs/>
          <w:color w:val="1A6B7A"/>
          <w:sz w:val="26"/>
          <w:szCs w:val="26"/>
        </w:rPr>
        <w:t xml:space="preserve">4.3  Annual Satellite-Based Extent Monitoring</w:t>
      </w:r>
    </w:p>
    <w:p>
      <w:pPr>
        <w:spacing w:before="80" w:after="120" w:line="276"/>
        <w:jc w:val="both"/>
      </w:pPr>
      <w:r>
        <w:rPr>
          <w:rFonts w:ascii="Arial" w:cs="Arial" w:eastAsia="Arial" w:hAnsi="Arial"/>
          <w:b w:val="false"/>
          <w:bCs w:val="false"/>
          <w:i w:val="false"/>
          <w:iCs w:val="false"/>
          <w:color w:val="1A1A1A"/>
          <w:sz w:val="22"/>
          <w:szCs w:val="22"/>
        </w:rPr>
        <w:t xml:space="preserve">Mangrove and coastal wetland extent is monitored annually using Sentinel-2 or equivalent satellite imagery, applying standardised classification algorithms consistent with the baseline methodology, supervised land cover classification and change detection, and ground-truth validation through CREMA and Wildlife Division field teams.</w:t>
      </w:r>
    </w:p>
    <w:p>
      <w:pPr>
        <w:spacing w:before="80" w:after="120" w:line="276"/>
        <w:jc w:val="both"/>
      </w:pPr>
      <w:r>
        <w:rPr>
          <w:rFonts w:ascii="Arial" w:cs="Arial" w:eastAsia="Arial" w:hAnsi="Arial"/>
          <w:b w:val="false"/>
          <w:bCs w:val="false"/>
          <w:i w:val="false"/>
          <w:iCs w:val="false"/>
          <w:color w:val="1A1A1A"/>
          <w:sz w:val="22"/>
          <w:szCs w:val="22"/>
        </w:rPr>
        <w:t xml:space="preserve">The national web-based platform hosts baseline and annual extent layers, restoration zones, ecologically sensitive areas, and detected land-use change polygons. Annual monitoring outputs include net mangrove area change expressed in hectares, fragmentation trend analysis, encroachment hotspot identification, and restoration expansion verification.</w:t>
      </w:r>
    </w:p>
    <w:p>
      <w:pPr>
        <w:spacing w:before="80" w:after="120" w:line="276"/>
        <w:jc w:val="both"/>
      </w:pPr>
      <w:r>
        <w:rPr>
          <w:rFonts w:ascii="Arial" w:cs="Arial" w:eastAsia="Arial" w:hAnsi="Arial"/>
          <w:b w:val="false"/>
          <w:bCs w:val="false"/>
          <w:i w:val="false"/>
          <w:iCs w:val="false"/>
          <w:color w:val="1A1A1A"/>
          <w:sz w:val="22"/>
          <w:szCs w:val="22"/>
        </w:rPr>
        <w:t xml:space="preserve">Where annual analysis detects net mangrove loss, significant fragmentation, or conversion hotspots, these findings are immediately cross-referenced with PSP data, environmental pressure indicators, and conflict or land tenure records, and escalated for institutional response.</w:t>
      </w:r>
    </w:p>
    <w:p>
      <w:pPr>
        <w:pStyle w:val="Heading2"/>
        <w:spacing w:before="300" w:after="160"/>
      </w:pPr>
      <w:r>
        <w:rPr>
          <w:rFonts w:ascii="Arial" w:cs="Arial" w:eastAsia="Arial" w:hAnsi="Arial"/>
          <w:b/>
          <w:bCs/>
          <w:color w:val="1A6B7A"/>
          <w:sz w:val="26"/>
          <w:szCs w:val="26"/>
        </w:rPr>
        <w:t xml:space="preserve">4.4  Restoration Monitoring and Ecological Recovery</w:t>
      </w:r>
    </w:p>
    <w:p>
      <w:pPr>
        <w:pStyle w:val="Heading3"/>
        <w:spacing w:before="240" w:after="120"/>
      </w:pPr>
      <w:r>
        <w:rPr>
          <w:rFonts w:ascii="Arial" w:cs="Arial" w:eastAsia="Arial" w:hAnsi="Arial"/>
          <w:b/>
          <w:bCs/>
          <w:color w:val="1B4F72"/>
          <w:sz w:val="24"/>
          <w:szCs w:val="24"/>
        </w:rPr>
        <w:t xml:space="preserve">Site Registration</w:t>
      </w:r>
    </w:p>
    <w:p>
      <w:pPr>
        <w:spacing w:before="80" w:after="120" w:line="276"/>
        <w:jc w:val="both"/>
      </w:pPr>
      <w:r>
        <w:rPr>
          <w:rFonts w:ascii="Arial" w:cs="Arial" w:eastAsia="Arial" w:hAnsi="Arial"/>
          <w:b w:val="false"/>
          <w:bCs w:val="false"/>
          <w:i w:val="false"/>
          <w:iCs w:val="false"/>
          <w:color w:val="1A1A1A"/>
          <w:sz w:val="22"/>
          <w:szCs w:val="22"/>
        </w:rPr>
        <w:t xml:space="preserve">All restoration sites are georeferenced and mapped within the national web platform, assigned a unique site identifier, and linked to the responsible CREMA and district authority. This ensures continuous spatial traceability from planting through to verified establishment.</w:t>
      </w:r>
    </w:p>
    <w:p>
      <w:pPr>
        <w:pStyle w:val="Heading3"/>
        <w:spacing w:before="240" w:after="120"/>
      </w:pPr>
      <w:r>
        <w:rPr>
          <w:rFonts w:ascii="Arial" w:cs="Arial" w:eastAsia="Arial" w:hAnsi="Arial"/>
          <w:b/>
          <w:bCs/>
          <w:color w:val="1B4F72"/>
          <w:sz w:val="24"/>
          <w:szCs w:val="24"/>
        </w:rPr>
        <w:t xml:space="preserve">Survival and Establishment Monitoring</w:t>
      </w:r>
    </w:p>
    <w:p>
      <w:pPr>
        <w:spacing w:before="80" w:after="120" w:line="276"/>
        <w:jc w:val="both"/>
      </w:pPr>
      <w:r>
        <w:rPr>
          <w:rFonts w:ascii="Arial" w:cs="Arial" w:eastAsia="Arial" w:hAnsi="Arial"/>
          <w:b w:val="false"/>
          <w:bCs w:val="false"/>
          <w:i w:val="false"/>
          <w:iCs w:val="false"/>
          <w:color w:val="1A1A1A"/>
          <w:sz w:val="22"/>
          <w:szCs w:val="22"/>
        </w:rPr>
        <w:t xml:space="preserve">For each registered restoration site, monitoring covers seedling survival rate, canopy development progression, evidence of disturbance including grazing, clearing, or re-cutting, and hydrological suitability confirmation. Monitoring is conducted at 3 months post-planting, 6 months, 12 months, and annually thereafter until establishment is confirmed.</w:t>
      </w:r>
    </w:p>
    <w:p>
      <w:pPr>
        <w:spacing w:before="80" w:after="120" w:line="276"/>
        <w:jc w:val="both"/>
      </w:pPr>
      <w:r>
        <w:rPr>
          <w:rFonts w:ascii="Arial" w:cs="Arial" w:eastAsia="Arial" w:hAnsi="Arial"/>
          <w:b w:val="false"/>
          <w:bCs w:val="false"/>
          <w:i w:val="false"/>
          <w:iCs w:val="false"/>
          <w:color w:val="1A1A1A"/>
          <w:sz w:val="22"/>
          <w:szCs w:val="22"/>
        </w:rPr>
        <w:t xml:space="preserve">The minimum performance threshold is 70% seedling survival after Year 1. Sites that fail to meet this threshold trigger corrective restoration action, including investigation of failure causes, remediation planting, and review of site suitability where warranted.</w:t>
      </w:r>
    </w:p>
    <w:p>
      <w:pPr>
        <w:pStyle w:val="Heading3"/>
        <w:spacing w:before="240" w:after="120"/>
      </w:pPr>
      <w:r>
        <w:rPr>
          <w:rFonts w:ascii="Arial" w:cs="Arial" w:eastAsia="Arial" w:hAnsi="Arial"/>
          <w:b/>
          <w:bCs/>
          <w:color w:val="1B4F72"/>
          <w:sz w:val="24"/>
          <w:szCs w:val="24"/>
        </w:rPr>
        <w:t xml:space="preserve">Ecologically Sensitive Area Surveillance</w:t>
      </w:r>
    </w:p>
    <w:p>
      <w:pPr>
        <w:spacing w:before="80" w:after="120" w:line="276"/>
        <w:jc w:val="both"/>
      </w:pPr>
      <w:r>
        <w:rPr>
          <w:rFonts w:ascii="Arial" w:cs="Arial" w:eastAsia="Arial" w:hAnsi="Arial"/>
          <w:b w:val="false"/>
          <w:bCs w:val="false"/>
          <w:i w:val="false"/>
          <w:iCs w:val="false"/>
          <w:color w:val="1A1A1A"/>
          <w:sz w:val="22"/>
          <w:szCs w:val="22"/>
        </w:rPr>
        <w:t xml:space="preserve">Permanent ecologically sensitive areas are mapped and monitored on a continuous basis for disturbance signals, hydrological alteration, invasive species presence where applicable, and degradation trends. These areas are integrated into the web platform for ongoing digital oversight, and field verification is conducted where satellite-detected signals indicate potential change.</w:t>
      </w:r>
    </w:p>
    <w:p>
      <w:pPr>
        <w:pStyle w:val="Heading2"/>
        <w:spacing w:before="300" w:after="160"/>
      </w:pPr>
      <w:r>
        <w:rPr>
          <w:rFonts w:ascii="Arial" w:cs="Arial" w:eastAsia="Arial" w:hAnsi="Arial"/>
          <w:b/>
          <w:bCs/>
          <w:color w:val="1A6B7A"/>
          <w:sz w:val="26"/>
          <w:szCs w:val="26"/>
        </w:rPr>
        <w:t xml:space="preserve">4.5  Carbon Stock Monitoring and Accounting</w:t>
      </w:r>
    </w:p>
    <w:p>
      <w:pPr>
        <w:pStyle w:val="Heading3"/>
        <w:spacing w:before="240" w:after="120"/>
      </w:pPr>
      <w:r>
        <w:rPr>
          <w:rFonts w:ascii="Arial" w:cs="Arial" w:eastAsia="Arial" w:hAnsi="Arial"/>
          <w:b/>
          <w:bCs/>
          <w:color w:val="1B4F72"/>
          <w:sz w:val="24"/>
          <w:szCs w:val="24"/>
        </w:rPr>
        <w:t xml:space="preserve">Carbon Pools Covered</w:t>
      </w:r>
    </w:p>
    <w:p>
      <w:pPr>
        <w:spacing w:before="80" w:after="120" w:line="276"/>
        <w:jc w:val="both"/>
      </w:pPr>
      <w:r>
        <w:rPr>
          <w:rFonts w:ascii="Arial" w:cs="Arial" w:eastAsia="Arial" w:hAnsi="Arial"/>
          <w:b w:val="false"/>
          <w:bCs w:val="false"/>
          <w:i w:val="false"/>
          <w:iCs w:val="false"/>
          <w:color w:val="1A1A1A"/>
          <w:sz w:val="22"/>
          <w:szCs w:val="22"/>
        </w:rPr>
        <w:t xml:space="preserve">The national carbon monitoring system covers four IPCC-recognised carbon pools: above-ground biomass, below-ground biomass, deadwood where relevant, and soil organic carbon to a depth of 0–100 cm. These pools are aligned with IPCC Wetlands Supplement guidance and with internationally recognised blue carbon accounting practice.</w:t>
      </w:r>
    </w:p>
    <w:p>
      <w:pPr>
        <w:pStyle w:val="Heading3"/>
        <w:spacing w:before="240" w:after="120"/>
      </w:pPr>
      <w:r>
        <w:rPr>
          <w:rFonts w:ascii="Arial" w:cs="Arial" w:eastAsia="Arial" w:hAnsi="Arial"/>
          <w:b/>
          <w:bCs/>
          <w:color w:val="1B4F72"/>
          <w:sz w:val="24"/>
          <w:szCs w:val="24"/>
        </w:rPr>
        <w:t xml:space="preserve">Permanent Sample Plot System</w:t>
      </w:r>
    </w:p>
    <w:p>
      <w:pPr>
        <w:spacing w:before="80" w:after="120" w:line="276"/>
        <w:jc w:val="both"/>
      </w:pPr>
      <w:r>
        <w:rPr>
          <w:rFonts w:ascii="Arial" w:cs="Arial" w:eastAsia="Arial" w:hAnsi="Arial"/>
          <w:b w:val="false"/>
          <w:bCs w:val="false"/>
          <w:i w:val="false"/>
          <w:iCs w:val="false"/>
          <w:color w:val="1A1A1A"/>
          <w:sz w:val="22"/>
          <w:szCs w:val="22"/>
        </w:rPr>
        <w:t xml:space="preserve">Permanent Sample Plots established during the Carbon Inventory Assessment serve as the long-term monitoring backbone. Each PSP is georeferenced and digitally archived, assigned a unique identification code, categorised within the plot stratification schema, and hosted on the national web platform with its full measurement history and re-measurement schedule.</w:t>
      </w:r>
    </w:p>
    <w:p>
      <w:pPr>
        <w:spacing w:before="80" w:after="120" w:line="276"/>
        <w:jc w:val="both"/>
      </w:pPr>
      <w:r>
        <w:rPr>
          <w:rFonts w:ascii="Arial" w:cs="Arial" w:eastAsia="Arial" w:hAnsi="Arial"/>
          <w:b w:val="false"/>
          <w:bCs w:val="false"/>
          <w:i w:val="false"/>
          <w:iCs w:val="false"/>
          <w:color w:val="1A1A1A"/>
          <w:sz w:val="22"/>
          <w:szCs w:val="22"/>
        </w:rPr>
        <w:t xml:space="preserve">Community Change Agents support the PSP system through plot access maintenance, tree Diameter at Breast Height (DBH) measurement recording, and visual disturbance documentation. National technical agencies conduct carbon stock calculations using approved allometric equations, soil core sampling and laboratory analysis, data verification, uncertainty assessment, and controlled archiving.</w:t>
      </w:r>
    </w:p>
    <w:p>
      <w:pPr>
        <w:pStyle w:val="Heading3"/>
        <w:spacing w:before="240" w:after="120"/>
      </w:pPr>
      <w:r>
        <w:rPr>
          <w:rFonts w:ascii="Arial" w:cs="Arial" w:eastAsia="Arial" w:hAnsi="Arial"/>
          <w:b/>
          <w:bCs/>
          <w:color w:val="1B4F72"/>
          <w:sz w:val="24"/>
          <w:szCs w:val="24"/>
        </w:rPr>
        <w:t xml:space="preserve">Re-Measurement Cycles</w:t>
      </w:r>
    </w:p>
    <w:p>
      <w:pPr>
        <w:spacing w:before="80" w:after="120" w:line="276"/>
        <w:jc w:val="both"/>
      </w:pPr>
      <w:r>
        <w:rPr>
          <w:rFonts w:ascii="Arial" w:cs="Arial" w:eastAsia="Arial" w:hAnsi="Arial"/>
          <w:b w:val="false"/>
          <w:bCs w:val="false"/>
          <w:i w:val="false"/>
          <w:iCs w:val="false"/>
          <w:color w:val="1A1A1A"/>
          <w:sz w:val="22"/>
          <w:szCs w:val="22"/>
        </w:rPr>
        <w:t xml:space="preserve">Carbon stock re-measurement follows standard practice intervals: biomass re-measurement every three to five years, and soil carbon reassessment consistent with methodological guidance and risk exposure, typically aligned with biomass cycles. Re-measurement frequency is accelerated where significant disturbance is detected through satellite monitoring, large-scale restoration expansion occurs, or carbon market participation requires updated verification data.</w:t>
      </w:r>
    </w:p>
    <w:p>
      <w:pPr>
        <w:pStyle w:val="Heading2"/>
        <w:spacing w:before="300" w:after="160"/>
      </w:pPr>
      <w:r>
        <w:rPr>
          <w:rFonts w:ascii="Arial" w:cs="Arial" w:eastAsia="Arial" w:hAnsi="Arial"/>
          <w:b/>
          <w:bCs/>
          <w:color w:val="1A6B7A"/>
          <w:sz w:val="26"/>
          <w:szCs w:val="26"/>
        </w:rPr>
        <w:t xml:space="preserve">4.6  QA/QC for Ecological and Carbon Data</w:t>
      </w:r>
    </w:p>
    <w:p>
      <w:pPr>
        <w:spacing w:before="80" w:after="120" w:line="276"/>
        <w:jc w:val="both"/>
      </w:pPr>
      <w:r>
        <w:rPr>
          <w:rFonts w:ascii="Arial" w:cs="Arial" w:eastAsia="Arial" w:hAnsi="Arial"/>
          <w:b w:val="false"/>
          <w:bCs w:val="false"/>
          <w:i w:val="false"/>
          <w:iCs w:val="false"/>
          <w:color w:val="1A1A1A"/>
          <w:sz w:val="22"/>
          <w:szCs w:val="22"/>
        </w:rPr>
        <w:t xml:space="preserve">The carbon and ecological integrity layer operates under a multi-stage QA/QC regime that includes field data verification, double-check measurement protocols, outlier detection procedures, methodological consistency reviews against the baseline inventory, and secure data archiving with audit trail documentation. All carbon data are archived in a nationally managed database with controlled access rights and version-controlled update records.</w:t>
      </w:r>
    </w:p>
    <w:p>
      <w:pPr>
        <w:pStyle w:val="Heading1"/>
        <w:pageBreakBefore/>
        <w:spacing w:before="480" w:after="240"/>
      </w:pPr>
      <w:r>
        <w:rPr>
          <w:rFonts w:ascii="Arial" w:cs="Arial" w:eastAsia="Arial" w:hAnsi="Arial"/>
          <w:b/>
          <w:bCs/>
          <w:color w:val="1B4F72"/>
          <w:sz w:val="30"/>
          <w:szCs w:val="30"/>
        </w:rPr>
        <w:t xml:space="preserve">5.  Environmental Pressure Surveillance Framework</w:t>
      </w:r>
    </w:p>
    <w:p>
      <w:pPr>
        <w:pStyle w:val="Heading2"/>
        <w:spacing w:before="300" w:after="160"/>
      </w:pPr>
      <w:r>
        <w:rPr>
          <w:rFonts w:ascii="Arial" w:cs="Arial" w:eastAsia="Arial" w:hAnsi="Arial"/>
          <w:b/>
          <w:bCs/>
          <w:color w:val="1A6B7A"/>
          <w:sz w:val="26"/>
          <w:szCs w:val="26"/>
        </w:rPr>
        <w:t xml:space="preserve">5.1  Objective</w:t>
      </w:r>
    </w:p>
    <w:p>
      <w:pPr>
        <w:spacing w:before="80" w:after="120" w:line="276"/>
        <w:jc w:val="both"/>
      </w:pPr>
      <w:r>
        <w:rPr>
          <w:rFonts w:ascii="Arial" w:cs="Arial" w:eastAsia="Arial" w:hAnsi="Arial"/>
          <w:b w:val="false"/>
          <w:bCs w:val="false"/>
          <w:i w:val="false"/>
          <w:iCs w:val="false"/>
          <w:color w:val="1A1A1A"/>
          <w:sz w:val="22"/>
          <w:szCs w:val="22"/>
        </w:rPr>
        <w:t xml:space="preserve">The Environmental Pressure Surveillance Framework establishes Ghana's national system for detecting, monitoring, and responding to the drivers of degradation within blue carbon landscapes. Where ecological and carbon monitoring measure condition and stock changes, pressure surveillance functions as an early-warning system — identifying risk signals before irreversible carbon loss or ecosystem degradation occurs.</w:t>
      </w:r>
    </w:p>
    <w:p>
      <w:pPr>
        <w:spacing w:before="80" w:after="120" w:line="276"/>
        <w:jc w:val="both"/>
      </w:pPr>
      <w:r>
        <w:rPr>
          <w:rFonts w:ascii="Arial" w:cs="Arial" w:eastAsia="Arial" w:hAnsi="Arial"/>
          <w:b w:val="false"/>
          <w:bCs w:val="false"/>
          <w:i w:val="false"/>
          <w:iCs w:val="false"/>
          <w:color w:val="1A1A1A"/>
          <w:sz w:val="22"/>
          <w:szCs w:val="22"/>
        </w:rPr>
        <w:t xml:space="preserve">The framework detects emerging degradation pressures, monitors trends in human-induced ecosystem stress, links pressure signals to carbon risk, triggers timely institutional response, supports leakage monitoring, and provides investment-grade risk transparency. It is designed to prioritise signal detection over complex quantification, ensuring long-term institutional sustainability.</w:t>
      </w:r>
    </w:p>
    <w:p>
      <w:pPr>
        <w:pStyle w:val="Heading2"/>
        <w:spacing w:before="300" w:after="160"/>
      </w:pPr>
      <w:r>
        <w:rPr>
          <w:rFonts w:ascii="Arial" w:cs="Arial" w:eastAsia="Arial" w:hAnsi="Arial"/>
          <w:b/>
          <w:bCs/>
          <w:color w:val="1A6B7A"/>
          <w:sz w:val="26"/>
          <w:szCs w:val="26"/>
        </w:rPr>
        <w:t xml:space="preserve">5.2  Pressure Classification</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pressures within Ghana's blue carbon landscapes are classified into four categories:</w:t>
      </w:r>
    </w:p>
    <w:p>
      <w:pPr>
        <w:pStyle w:val="ListParagraph"/>
        <w:numPr>
          <w:ilvl w:val="0"/>
          <w:numId w:val="2"/>
        </w:numPr>
        <w:spacing w:before="40" w:after="60"/>
      </w:pPr>
      <w:r>
        <w:rPr>
          <w:rFonts w:ascii="Arial" w:cs="Arial" w:eastAsia="Arial" w:hAnsi="Arial"/>
          <w:b w:val="false"/>
          <w:bCs w:val="false"/>
          <w:color w:val="1A1A1A"/>
          <w:sz w:val="22"/>
          <w:szCs w:val="22"/>
        </w:rPr>
        <w:t xml:space="preserve">Land Conversion Pressures — spatial conversion of mangrove and wetland areas to salt pans, urban uses, or other land uses;</w:t>
      </w:r>
    </w:p>
    <w:p>
      <w:pPr>
        <w:pStyle w:val="ListParagraph"/>
        <w:numPr>
          <w:ilvl w:val="0"/>
          <w:numId w:val="2"/>
        </w:numPr>
        <w:spacing w:before="40" w:after="60"/>
      </w:pPr>
      <w:r>
        <w:rPr>
          <w:rFonts w:ascii="Arial" w:cs="Arial" w:eastAsia="Arial" w:hAnsi="Arial"/>
          <w:b w:val="false"/>
          <w:bCs w:val="false"/>
          <w:color w:val="1A1A1A"/>
          <w:sz w:val="22"/>
          <w:szCs w:val="22"/>
        </w:rPr>
        <w:t xml:space="preserve">Biomass Extraction Pressures — active cutting, charcoal production, and fuel-wood extraction;</w:t>
      </w:r>
    </w:p>
    <w:p>
      <w:pPr>
        <w:pStyle w:val="ListParagraph"/>
        <w:numPr>
          <w:ilvl w:val="0"/>
          <w:numId w:val="2"/>
        </w:numPr>
        <w:spacing w:before="40" w:after="60"/>
      </w:pPr>
      <w:r>
        <w:rPr>
          <w:rFonts w:ascii="Arial" w:cs="Arial" w:eastAsia="Arial" w:hAnsi="Arial"/>
          <w:b w:val="false"/>
          <w:bCs w:val="false"/>
          <w:color w:val="1A1A1A"/>
          <w:sz w:val="22"/>
          <w:szCs w:val="22"/>
        </w:rPr>
        <w:t xml:space="preserve">Pollution and Physical Disturbance — plastic accumulation, waste dumping, and hydrological alteration;</w:t>
      </w:r>
    </w:p>
    <w:p>
      <w:pPr>
        <w:pStyle w:val="ListParagraph"/>
        <w:numPr>
          <w:ilvl w:val="0"/>
          <w:numId w:val="2"/>
        </w:numPr>
        <w:spacing w:before="40" w:after="60"/>
      </w:pPr>
      <w:r>
        <w:rPr>
          <w:rFonts w:ascii="Arial" w:cs="Arial" w:eastAsia="Arial" w:hAnsi="Arial"/>
          <w:b w:val="false"/>
          <w:bCs w:val="false"/>
          <w:color w:val="1A1A1A"/>
          <w:sz w:val="22"/>
          <w:szCs w:val="22"/>
        </w:rPr>
        <w:t xml:space="preserve">Structural and Access-Related Drivers — land tenure disputes, access conflicts, and competing resource use claims.</w:t>
      </w:r>
    </w:p>
    <w:p>
      <w:pPr>
        <w:pStyle w:val="Heading2"/>
        <w:spacing w:before="300" w:after="160"/>
      </w:pPr>
      <w:r>
        <w:rPr>
          <w:rFonts w:ascii="Arial" w:cs="Arial" w:eastAsia="Arial" w:hAnsi="Arial"/>
          <w:b/>
          <w:bCs/>
          <w:color w:val="1A6B7A"/>
          <w:sz w:val="26"/>
          <w:szCs w:val="26"/>
        </w:rPr>
        <w:t xml:space="preserve">5.3  Core Environmental Pressure Indicators</w:t>
      </w:r>
    </w:p>
    <w:p>
      <w:pPr>
        <w:spacing w:before="80" w:after="120" w:line="276"/>
        <w:jc w:val="both"/>
      </w:pPr>
      <w:r>
        <w:rPr>
          <w:rFonts w:ascii="Arial" w:cs="Arial" w:eastAsia="Arial" w:hAnsi="Arial"/>
          <w:b w:val="false"/>
          <w:bCs w:val="false"/>
          <w:i w:val="false"/>
          <w:iCs w:val="false"/>
          <w:color w:val="1A1A1A"/>
          <w:sz w:val="22"/>
          <w:szCs w:val="22"/>
        </w:rPr>
        <w:t xml:space="preserve">To ensure operational feasibility and long-term continuity, the national system adopts five primary indicators. Each indicator specifies the pressure being monitored, the monitoring method, responsible entity, trigger threshold, and response protocol.</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00"/>
        <w:gridCol w:w="1700"/>
        <w:gridCol w:w="1838"/>
      </w:tblGrid>
      <w:tr>
        <w:tc>
          <w:tcPr>
            <w:tcW w:type="dxa" w:w="2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Indicator</w:t>
            </w:r>
          </w:p>
        </w:tc>
        <w:tc>
          <w:tcPr>
            <w:tcW w:type="dxa" w:w="24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Method</w:t>
            </w:r>
          </w:p>
        </w:tc>
        <w:tc>
          <w:tcPr>
            <w:tcW w:type="dxa" w:w="17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Frequency</w:t>
            </w:r>
          </w:p>
        </w:tc>
        <w:tc>
          <w:tcPr>
            <w:tcW w:type="dxa" w:w="17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Responsible entity</w:t>
            </w:r>
          </w:p>
        </w:tc>
        <w:tc>
          <w:tcPr>
            <w:tcW w:type="dxa" w:w="18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Trigger threshold</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1. Land Conversion (GIS-based)</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satellite imagery analysis and change detection against restoration and protected-area overlays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MLNR / Wildlife Division</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Any net loss within mapped sensitive or restoration areas; significant industrial salt pan expansion</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2. Mangrove Cutting Signal (Field-based)</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CREMA transect walks recording fresh stumps, active cutting evidence, and charcoal kilns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teams; validated by MMDAs/WD</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Pressure Alert triggered if 2+ signals present in same monitoring period</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3. Fuel Source Shift</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 household sample surveys (20–30 households per CREMA) recording primary cooking fuel type</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Annual</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with district oversight</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Persistent high mangrove-wood dependence = elevated carbon risk signal</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4. Charcoal and Extraction Hotspot</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recording of active charcoal production sites with GPS location and expansion evidence</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CREMA and MMDAs/WD</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Any new production sites or confirmed site expansion</w:t>
            </w:r>
          </w:p>
        </w:tc>
      </w:tr>
      <w:tr>
        <w:tc>
          <w:tcPr>
            <w:tcW w:type="dxa" w:w="2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5. Conflict and Access Pressure Index</w:t>
            </w:r>
          </w:p>
        </w:tc>
        <w:tc>
          <w:tcPr>
            <w:tcW w:type="dxa" w:w="24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 reporting of land access disputes, unresolved conflict cases, and artisanal-industrial tensions</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Quarterly</w:t>
            </w:r>
          </w:p>
        </w:tc>
        <w:tc>
          <w:tcPr>
            <w:tcW w:type="dxa" w:w="17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District authorities with CREMA reporting support</w:t>
            </w:r>
          </w:p>
        </w:tc>
        <w:tc>
          <w:tcPr>
            <w:tcW w:type="dxa" w:w="18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Rising conflict levels correlated with ecosystem vulnerability review</w:t>
            </w:r>
          </w:p>
        </w:tc>
      </w:tr>
    </w:tbl>
    <w:p>
      <w:pPr>
        <w:spacing w:before="0" w:after="120"/>
      </w:pPr>
      <w:r>
        <w:t xml:space="preserve"/>
      </w:r>
    </w:p>
    <w:p>
      <w:pPr>
        <w:pStyle w:val="Heading2"/>
        <w:spacing w:before="300" w:after="160"/>
      </w:pPr>
      <w:r>
        <w:rPr>
          <w:rFonts w:ascii="Arial" w:cs="Arial" w:eastAsia="Arial" w:hAnsi="Arial"/>
          <w:b/>
          <w:bCs/>
          <w:color w:val="1A6B7A"/>
          <w:sz w:val="26"/>
          <w:szCs w:val="26"/>
        </w:rPr>
        <w:t xml:space="preserve">5.4  Pollution and Physical Disturbance Monitoring</w:t>
      </w:r>
    </w:p>
    <w:p>
      <w:pPr>
        <w:spacing w:before="80" w:after="120" w:line="276"/>
        <w:jc w:val="both"/>
      </w:pPr>
      <w:r>
        <w:rPr>
          <w:rFonts w:ascii="Arial" w:cs="Arial" w:eastAsia="Arial" w:hAnsi="Arial"/>
          <w:b w:val="false"/>
          <w:bCs w:val="false"/>
          <w:i w:val="false"/>
          <w:iCs w:val="false"/>
          <w:color w:val="1A1A1A"/>
          <w:sz w:val="22"/>
          <w:szCs w:val="22"/>
        </w:rPr>
        <w:t xml:space="preserve">In addition to the five core indicators, shoreline transects record visible plastic accumulation clusters, waste dumping hotspots, and physical disturbances affecting wetland hydrology on a quarterly basis. Although not directly carbon-related, these factors affect ecosystem health and restoration viability and are therefore integrated into the wider environmental pressure picture.</w:t>
      </w:r>
    </w:p>
    <w:p>
      <w:pPr>
        <w:pStyle w:val="Heading2"/>
        <w:spacing w:before="300" w:after="160"/>
      </w:pPr>
      <w:r>
        <w:rPr>
          <w:rFonts w:ascii="Arial" w:cs="Arial" w:eastAsia="Arial" w:hAnsi="Arial"/>
          <w:b/>
          <w:bCs/>
          <w:color w:val="1A6B7A"/>
          <w:sz w:val="26"/>
          <w:szCs w:val="26"/>
        </w:rPr>
        <w:t xml:space="preserve">5.5  Escalation and Response Protocol</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surveillance is actionable only where it is linked to defined response mechanisms. The escalation protocol operates as follows: detection at community level triggers notification to the CREMA Executive, which forwards to district review; district authorities undertake technical assessment where warranted; and intervention follows in the form of dialogue, enforcement, restoration, or zoning review as appropriate. All actions are documented within the national MRV database to ensure accountability and traceability.</w:t>
      </w:r>
    </w:p>
    <w:p>
      <w:pPr>
        <w:pStyle w:val="Heading2"/>
        <w:spacing w:before="300" w:after="160"/>
      </w:pPr>
      <w:r>
        <w:rPr>
          <w:rFonts w:ascii="Arial" w:cs="Arial" w:eastAsia="Arial" w:hAnsi="Arial"/>
          <w:b/>
          <w:bCs/>
          <w:color w:val="1A6B7A"/>
          <w:sz w:val="26"/>
          <w:szCs w:val="26"/>
        </w:rPr>
        <w:t xml:space="preserve">5.6  Integration with Carbon Risk Monitoring</w:t>
      </w:r>
    </w:p>
    <w:p>
      <w:pPr>
        <w:spacing w:before="80" w:after="120" w:line="276"/>
        <w:jc w:val="both"/>
      </w:pPr>
      <w:r>
        <w:rPr>
          <w:rFonts w:ascii="Arial" w:cs="Arial" w:eastAsia="Arial" w:hAnsi="Arial"/>
          <w:b w:val="false"/>
          <w:bCs w:val="false"/>
          <w:i w:val="false"/>
          <w:iCs w:val="false"/>
          <w:color w:val="1A1A1A"/>
          <w:sz w:val="22"/>
          <w:szCs w:val="22"/>
        </w:rPr>
        <w:t xml:space="preserve">Where pressure indicators show rising cutting incidence, expansion of land conversion, increased charcoal activity, or escalating access conflict, these signals are cross-referenced with PSP locations, restoration areas, and carbon stock projections. This ensures that environmental pressure monitoring directly informs carbon integrity assessment and that early warning signals are converted into timely management responses rather than allowed to develop into confirmed carbon losses.</w:t>
      </w:r>
    </w:p>
    <w:p>
      <w:pPr>
        <w:pStyle w:val="Heading1"/>
        <w:pageBreakBefore/>
        <w:spacing w:before="480" w:after="240"/>
      </w:pPr>
      <w:r>
        <w:rPr>
          <w:rFonts w:ascii="Arial" w:cs="Arial" w:eastAsia="Arial" w:hAnsi="Arial"/>
          <w:b/>
          <w:bCs/>
          <w:color w:val="1B4F72"/>
          <w:sz w:val="30"/>
          <w:szCs w:val="30"/>
        </w:rPr>
        <w:t xml:space="preserve">6.  Governance and Safeguard Assurance Framework</w:t>
      </w:r>
    </w:p>
    <w:p>
      <w:pPr>
        <w:pStyle w:val="Heading2"/>
        <w:spacing w:before="300" w:after="160"/>
      </w:pPr>
      <w:r>
        <w:rPr>
          <w:rFonts w:ascii="Arial" w:cs="Arial" w:eastAsia="Arial" w:hAnsi="Arial"/>
          <w:b/>
          <w:bCs/>
          <w:color w:val="1A6B7A"/>
          <w:sz w:val="26"/>
          <w:szCs w:val="26"/>
        </w:rPr>
        <w:t xml:space="preserve">6.1  Objective</w:t>
      </w:r>
    </w:p>
    <w:p>
      <w:pPr>
        <w:spacing w:before="80" w:after="120" w:line="276"/>
        <w:jc w:val="both"/>
      </w:pPr>
      <w:r>
        <w:rPr>
          <w:rFonts w:ascii="Arial" w:cs="Arial" w:eastAsia="Arial" w:hAnsi="Arial"/>
          <w:b w:val="false"/>
          <w:bCs w:val="false"/>
          <w:i w:val="false"/>
          <w:iCs w:val="false"/>
          <w:color w:val="1A1A1A"/>
          <w:sz w:val="22"/>
          <w:szCs w:val="22"/>
        </w:rPr>
        <w:t xml:space="preserve">The Governance and Safeguard Assurance Framework establishes the institutional mechanisms through which Ghana ensures that blue carbon investments are socially inclusive, transparent, conflict-sensitive, accountable, equitably managed, and protected against elite capture and governance instability. The framework recognises that long-term carbon integrity depends on stable, legitimate, and participatory governance systems at the landscape level.</w:t>
      </w:r>
    </w:p>
    <w:p>
      <w:pPr>
        <w:spacing w:before="80" w:after="120" w:line="276"/>
        <w:jc w:val="both"/>
      </w:pPr>
      <w:r>
        <w:rPr>
          <w:rFonts w:ascii="Arial" w:cs="Arial" w:eastAsia="Arial" w:hAnsi="Arial"/>
          <w:b w:val="false"/>
          <w:bCs w:val="false"/>
          <w:i w:val="false"/>
          <w:iCs w:val="false"/>
          <w:color w:val="1A1A1A"/>
          <w:sz w:val="22"/>
          <w:szCs w:val="22"/>
        </w:rPr>
        <w:t xml:space="preserve">Governance monitoring is not an optional add-on to the MRV system. Governance failure — through unresolved conflict, exclusion of key resource users, or benefit capture — represents a direct risk to carbon permanence. The framework therefore integrates governance and safeguard performance within the same monitoring architecture as ecological and carbon data.</w:t>
      </w:r>
    </w:p>
    <w:p>
      <w:pPr>
        <w:pStyle w:val="Heading2"/>
        <w:spacing w:before="300" w:after="160"/>
      </w:pPr>
      <w:r>
        <w:rPr>
          <w:rFonts w:ascii="Arial" w:cs="Arial" w:eastAsia="Arial" w:hAnsi="Arial"/>
          <w:b/>
          <w:bCs/>
          <w:color w:val="1A6B7A"/>
          <w:sz w:val="26"/>
          <w:szCs w:val="26"/>
        </w:rPr>
        <w:t xml:space="preserve">6.2  Governance Integrity Structure</w:t>
      </w:r>
    </w:p>
    <w:p>
      <w:pPr>
        <w:spacing w:before="80" w:after="120" w:line="276"/>
        <w:jc w:val="both"/>
      </w:pPr>
      <w:r>
        <w:rPr>
          <w:rFonts w:ascii="Arial" w:cs="Arial" w:eastAsia="Arial" w:hAnsi="Arial"/>
          <w:b w:val="false"/>
          <w:bCs w:val="false"/>
          <w:i w:val="false"/>
          <w:iCs w:val="false"/>
          <w:color w:val="1A1A1A"/>
          <w:sz w:val="22"/>
          <w:szCs w:val="22"/>
        </w:rPr>
        <w:t xml:space="preserve">The governance assurance component operates through three interconnected mechanisms: Institutional Representation Monitoring, Transparency and Benefit-Sharing Oversight, and the Grievance Redress Mechanism. These mechanisms function at community, district, and national levels and are documented within the national MRV platform.</w:t>
      </w:r>
    </w:p>
    <w:p>
      <w:pPr>
        <w:pStyle w:val="Heading2"/>
        <w:spacing w:before="300" w:after="160"/>
      </w:pPr>
      <w:r>
        <w:rPr>
          <w:rFonts w:ascii="Arial" w:cs="Arial" w:eastAsia="Arial" w:hAnsi="Arial"/>
          <w:b/>
          <w:bCs/>
          <w:color w:val="1A6B7A"/>
          <w:sz w:val="26"/>
          <w:szCs w:val="26"/>
        </w:rPr>
        <w:t xml:space="preserve">6.3  Institutional Representation Monitoring</w:t>
      </w:r>
    </w:p>
    <w:p>
      <w:pPr>
        <w:spacing w:before="80" w:after="120" w:line="276"/>
        <w:jc w:val="both"/>
      </w:pPr>
      <w:r>
        <w:rPr>
          <w:rFonts w:ascii="Arial" w:cs="Arial" w:eastAsia="Arial" w:hAnsi="Arial"/>
          <w:b w:val="false"/>
          <w:bCs w:val="false"/>
          <w:i w:val="false"/>
          <w:iCs w:val="false"/>
          <w:color w:val="1A1A1A"/>
          <w:sz w:val="22"/>
          <w:szCs w:val="22"/>
        </w:rPr>
        <w:t xml:space="preserve">Inclusive governance reduces social risk and strengthens carbon permanence by ensuring that the communities most affected by ecosystem management decisions have a genuine voice in governance structures. Each CREMA and blue carbon governance structure maintains a minimum of 40% female representation in executive leadership, youth representation within governance committees, inclusion of marginalised or vulnerable groups where applicable, and documented meeting frequency and attendance records.</w:t>
      </w:r>
    </w:p>
    <w:p>
      <w:pPr>
        <w:spacing w:before="80" w:after="120" w:line="276"/>
        <w:jc w:val="both"/>
      </w:pPr>
      <w:r>
        <w:rPr>
          <w:rFonts w:ascii="Arial" w:cs="Arial" w:eastAsia="Arial" w:hAnsi="Arial"/>
          <w:b w:val="false"/>
          <w:bCs w:val="false"/>
          <w:i w:val="false"/>
          <w:iCs w:val="false"/>
          <w:color w:val="1A1A1A"/>
          <w:sz w:val="22"/>
          <w:szCs w:val="22"/>
        </w:rPr>
        <w:t xml:space="preserve">Annual reporting includes governance composition statistics, changes in leadership structure, and evidence of inclusive decision-making processes. This ensures that benefits and responsibilities are broadly distributed and that the risk of social resistance or community disengagement is actively managed.</w:t>
      </w:r>
    </w:p>
    <w:p>
      <w:pPr>
        <w:pStyle w:val="Heading2"/>
        <w:spacing w:before="300" w:after="160"/>
      </w:pPr>
      <w:r>
        <w:rPr>
          <w:rFonts w:ascii="Arial" w:cs="Arial" w:eastAsia="Arial" w:hAnsi="Arial"/>
          <w:b/>
          <w:bCs/>
          <w:color w:val="1A6B7A"/>
          <w:sz w:val="26"/>
          <w:szCs w:val="26"/>
        </w:rPr>
        <w:t xml:space="preserve">6.4  Transparency and Benefit-Sharing Oversight</w:t>
      </w:r>
    </w:p>
    <w:p>
      <w:pPr>
        <w:spacing w:before="80" w:after="120" w:line="276"/>
        <w:jc w:val="both"/>
      </w:pPr>
      <w:r>
        <w:rPr>
          <w:rFonts w:ascii="Arial" w:cs="Arial" w:eastAsia="Arial" w:hAnsi="Arial"/>
          <w:b w:val="false"/>
          <w:bCs w:val="false"/>
          <w:i w:val="false"/>
          <w:iCs w:val="false"/>
          <w:color w:val="1A1A1A"/>
          <w:sz w:val="22"/>
          <w:szCs w:val="22"/>
        </w:rPr>
        <w:t xml:space="preserve">Transparent management of blue carbon revenues and associated livelihood benefits is essential to maintaining community trust and preventing elite capture. Monitoring includes documentation of benefit allocation mechanisms, public disclosure of financial flows where carbon revenues are generated, records of livelihood support distribution disaggregated by gender and youth participation where feasible, and evidence of community consultations regarding allocation decisions. Where carbon finance mechanisms are activated, benefit-sharing frameworks are formally documented and archived within the national MRV system.</w:t>
      </w:r>
    </w:p>
    <w:p>
      <w:pPr>
        <w:pStyle w:val="Heading2"/>
        <w:spacing w:before="300" w:after="160"/>
      </w:pPr>
      <w:r>
        <w:rPr>
          <w:rFonts w:ascii="Arial" w:cs="Arial" w:eastAsia="Arial" w:hAnsi="Arial"/>
          <w:b/>
          <w:bCs/>
          <w:color w:val="1A6B7A"/>
          <w:sz w:val="26"/>
          <w:szCs w:val="26"/>
        </w:rPr>
        <w:t xml:space="preserve">6.5  Grievance Redress Mechanism</w:t>
      </w:r>
    </w:p>
    <w:p>
      <w:pPr>
        <w:spacing w:before="80" w:after="120" w:line="276"/>
        <w:jc w:val="both"/>
      </w:pPr>
      <w:r>
        <w:rPr>
          <w:rFonts w:ascii="Arial" w:cs="Arial" w:eastAsia="Arial" w:hAnsi="Arial"/>
          <w:b w:val="false"/>
          <w:bCs w:val="false"/>
          <w:i w:val="false"/>
          <w:iCs w:val="false"/>
          <w:color w:val="1A1A1A"/>
          <w:sz w:val="22"/>
          <w:szCs w:val="22"/>
        </w:rPr>
        <w:t xml:space="preserve">A functional Grievance Redress Mechanism (GRM) is mandatory for maintaining safeguard integrity across the programme. Each blue carbon landscape maintains a documented grievance submission pathway with designated focal persons, escalation procedures to district and national levels, and a documented record of grievance resolution outcomes.</w:t>
      </w:r>
    </w:p>
    <w:p>
      <w:pPr>
        <w:spacing w:before="80" w:after="120" w:line="276"/>
        <w:jc w:val="both"/>
      </w:pPr>
      <w:r>
        <w:rPr>
          <w:rFonts w:ascii="Arial" w:cs="Arial" w:eastAsia="Arial" w:hAnsi="Arial"/>
          <w:b w:val="false"/>
          <w:bCs w:val="false"/>
          <w:i w:val="false"/>
          <w:iCs w:val="false"/>
          <w:color w:val="1A1A1A"/>
          <w:sz w:val="22"/>
          <w:szCs w:val="22"/>
        </w:rPr>
        <w:t xml:space="preserve">Monitoring indicators for the GRM include the number of grievances received, the nature of grievances filed, the resolution rate, and the average time taken to resolve cases. Unresolved or repeated grievances trigger district-level review and, where necessary, national oversight. Grievance patterns are also cross-referenced with environmental pressure hotspots as a governance risk signal.</w:t>
      </w:r>
    </w:p>
    <w:p>
      <w:pPr>
        <w:pStyle w:val="Heading2"/>
        <w:spacing w:before="300" w:after="160"/>
      </w:pPr>
      <w:r>
        <w:rPr>
          <w:rFonts w:ascii="Arial" w:cs="Arial" w:eastAsia="Arial" w:hAnsi="Arial"/>
          <w:b/>
          <w:bCs/>
          <w:color w:val="1A6B7A"/>
          <w:sz w:val="26"/>
          <w:szCs w:val="26"/>
        </w:rPr>
        <w:t xml:space="preserve">6.6  Conflict and Access Risk Monitoring</w:t>
      </w:r>
    </w:p>
    <w:p>
      <w:pPr>
        <w:spacing w:before="80" w:after="120" w:line="276"/>
        <w:jc w:val="both"/>
      </w:pPr>
      <w:r>
        <w:rPr>
          <w:rFonts w:ascii="Arial" w:cs="Arial" w:eastAsia="Arial" w:hAnsi="Arial"/>
          <w:b w:val="false"/>
          <w:bCs w:val="false"/>
          <w:i w:val="false"/>
          <w:iCs w:val="false"/>
          <w:color w:val="1A1A1A"/>
          <w:sz w:val="22"/>
          <w:szCs w:val="22"/>
        </w:rPr>
        <w:t xml:space="preserve">Land tenure disputes, access conflicts, and resource competition can undermine both ecosystem protection and carbon permanence. The MRV system tracks the number of land-use conflicts affecting blue carbon areas, conflicts between artisanal and industrial actors, access restrictions affecting traditional users, and mediation efforts undertaken. Conflict escalation is treated as an environmental pressure risk and is cross-referenced with ecological monitoring outputs.</w:t>
      </w:r>
    </w:p>
    <w:p>
      <w:pPr>
        <w:pStyle w:val="Heading2"/>
        <w:spacing w:before="300" w:after="160"/>
      </w:pPr>
      <w:r>
        <w:rPr>
          <w:rFonts w:ascii="Arial" w:cs="Arial" w:eastAsia="Arial" w:hAnsi="Arial"/>
          <w:b/>
          <w:bCs/>
          <w:color w:val="1A6B7A"/>
          <w:sz w:val="26"/>
          <w:szCs w:val="26"/>
        </w:rPr>
        <w:t xml:space="preserve">6.7  Free, Prior and Informed Participation</w:t>
      </w:r>
    </w:p>
    <w:p>
      <w:pPr>
        <w:spacing w:before="80" w:after="120" w:line="276"/>
        <w:jc w:val="both"/>
      </w:pPr>
      <w:r>
        <w:rPr>
          <w:rFonts w:ascii="Arial" w:cs="Arial" w:eastAsia="Arial" w:hAnsi="Arial"/>
          <w:b w:val="false"/>
          <w:bCs w:val="false"/>
          <w:i w:val="false"/>
          <w:iCs w:val="false"/>
          <w:color w:val="1A1A1A"/>
          <w:sz w:val="22"/>
          <w:szCs w:val="22"/>
        </w:rPr>
        <w:t xml:space="preserve">Sustained community consent and participation are foundational to long-term ecosystem stewardship. The system documents annual consultation meetings, participation records, updates on restoration and monitoring activities, and community validation of key decisions affecting land use. Participation documentation is archived digitally within the national MRV database. Where necessary, community engagement records form part of safeguard evidence for donor or independent verification purposes.</w:t>
      </w:r>
    </w:p>
    <w:p>
      <w:pPr>
        <w:pStyle w:val="Heading2"/>
        <w:spacing w:before="300" w:after="160"/>
      </w:pPr>
      <w:r>
        <w:rPr>
          <w:rFonts w:ascii="Arial" w:cs="Arial" w:eastAsia="Arial" w:hAnsi="Arial"/>
          <w:b/>
          <w:bCs/>
          <w:color w:val="1A6B7A"/>
          <w:sz w:val="26"/>
          <w:szCs w:val="26"/>
        </w:rPr>
        <w:t xml:space="preserve">6.8  Integration of Governance with Ecological Monitoring</w:t>
      </w:r>
    </w:p>
    <w:p>
      <w:pPr>
        <w:spacing w:before="80" w:after="120" w:line="276"/>
        <w:jc w:val="both"/>
      </w:pPr>
      <w:r>
        <w:rPr>
          <w:rFonts w:ascii="Arial" w:cs="Arial" w:eastAsia="Arial" w:hAnsi="Arial"/>
          <w:b w:val="false"/>
          <w:bCs w:val="false"/>
          <w:i w:val="false"/>
          <w:iCs w:val="false"/>
          <w:color w:val="1A1A1A"/>
          <w:sz w:val="22"/>
          <w:szCs w:val="22"/>
        </w:rPr>
        <w:t xml:space="preserve">The governance and safeguard layer is fully integrated with the ecological and pressure layers. Conflict data is cross-referenced with land conversion alerts; benefit-sharing transparency is linked to restoration participation; grievance patterns are mapped against pressure hotspots; and governance instability signals are treated as early warnings for carbon risk zones. This integration ensures that governance breakdowns are identified before they translate into measurable ecological or carbon consequences.</w:t>
      </w:r>
    </w:p>
    <w:p>
      <w:pPr>
        <w:pStyle w:val="Heading1"/>
        <w:pageBreakBefore/>
        <w:spacing w:before="480" w:after="240"/>
      </w:pPr>
      <w:r>
        <w:rPr>
          <w:rFonts w:ascii="Arial" w:cs="Arial" w:eastAsia="Arial" w:hAnsi="Arial"/>
          <w:b/>
          <w:bCs/>
          <w:color w:val="1B4F72"/>
          <w:sz w:val="30"/>
          <w:szCs w:val="30"/>
        </w:rPr>
        <w:t xml:space="preserve">7.  Wetland Ecosystem Monitoring — Keta and Ada</w:t>
      </w:r>
    </w:p>
    <w:p>
      <w:pPr>
        <w:pStyle w:val="Heading2"/>
        <w:spacing w:before="300" w:after="160"/>
      </w:pPr>
      <w:r>
        <w:rPr>
          <w:rFonts w:ascii="Arial" w:cs="Arial" w:eastAsia="Arial" w:hAnsi="Arial"/>
          <w:b/>
          <w:bCs/>
          <w:color w:val="1A6B7A"/>
          <w:sz w:val="26"/>
          <w:szCs w:val="26"/>
        </w:rPr>
        <w:t xml:space="preserve">7.1  Overview</w:t>
      </w:r>
    </w:p>
    <w:p>
      <w:pPr>
        <w:spacing w:before="80" w:after="120" w:line="276"/>
        <w:jc w:val="both"/>
      </w:pPr>
      <w:r>
        <w:rPr>
          <w:rFonts w:ascii="Arial" w:cs="Arial" w:eastAsia="Arial" w:hAnsi="Arial"/>
          <w:b w:val="false"/>
          <w:bCs w:val="false"/>
          <w:i w:val="false"/>
          <w:iCs w:val="false"/>
          <w:color w:val="1A1A1A"/>
          <w:sz w:val="22"/>
          <w:szCs w:val="22"/>
        </w:rPr>
        <w:t xml:space="preserve">The Keta Lagoon Complex Ramsar Site and Songor Ramsar Site and UNESCO Biosphere Reserve are designated Ramsar sites under the Ramsar Convention. They carry both local and international conservation and ecological obligations. Both sites face increasing pressure from population growth, urbanisation, coastal industrialisation, and livelihood-driven resource extraction.</w:t>
      </w:r>
    </w:p>
    <w:p>
      <w:pPr>
        <w:spacing w:before="80" w:after="120" w:line="276"/>
        <w:jc w:val="both"/>
      </w:pPr>
      <w:r>
        <w:rPr>
          <w:rFonts w:ascii="Arial" w:cs="Arial" w:eastAsia="Arial" w:hAnsi="Arial"/>
          <w:b w:val="false"/>
          <w:bCs w:val="false"/>
          <w:i w:val="false"/>
          <w:iCs w:val="false"/>
          <w:color w:val="1A1A1A"/>
          <w:sz w:val="22"/>
          <w:szCs w:val="22"/>
        </w:rPr>
        <w:t xml:space="preserve">The December 2025 field assessment provided an ecosystem health baseline for both sites and identified parameters requiring ongoing monitoring to support informed management decisions. Community Change Agents received field training in data collection protocols during this assessment, establishing a practical capacity for routine monitoring at both sites.</w:t>
      </w:r>
    </w:p>
    <w:p>
      <w:pPr>
        <w:pStyle w:val="Heading2"/>
        <w:spacing w:before="300" w:after="160"/>
      </w:pPr>
      <w:r>
        <w:rPr>
          <w:rFonts w:ascii="Arial" w:cs="Arial" w:eastAsia="Arial" w:hAnsi="Arial"/>
          <w:b/>
          <w:bCs/>
          <w:color w:val="1A6B7A"/>
          <w:sz w:val="26"/>
          <w:szCs w:val="26"/>
        </w:rPr>
        <w:t xml:space="preserve">7.2  Sampling Design</w:t>
      </w:r>
    </w:p>
    <w:p>
      <w:pPr>
        <w:spacing w:before="80" w:after="120" w:line="276"/>
        <w:jc w:val="both"/>
      </w:pPr>
      <w:r>
        <w:rPr>
          <w:rFonts w:ascii="Arial" w:cs="Arial" w:eastAsia="Arial" w:hAnsi="Arial"/>
          <w:b w:val="false"/>
          <w:bCs w:val="false"/>
          <w:i w:val="false"/>
          <w:iCs w:val="false"/>
          <w:color w:val="1A1A1A"/>
          <w:sz w:val="22"/>
          <w:szCs w:val="22"/>
        </w:rPr>
        <w:t xml:space="preserve">A quarterly monitoring schedule is proposed for both Keta and Ada, covering physico-chemical water and soil parameters. Given the large geographic extent of both Ramsar sites, sampling is focused on designated stations positioned within supervised GIS-prepared maps to provide representative coverage of the diverse wetland ecosystems present at each site.</w:t>
      </w:r>
    </w:p>
    <w:p>
      <w:pPr>
        <w:spacing w:before="80" w:after="120" w:line="276"/>
        <w:jc w:val="both"/>
      </w:pPr>
      <w:r>
        <w:rPr>
          <w:rFonts w:ascii="Arial" w:cs="Arial" w:eastAsia="Arial" w:hAnsi="Arial"/>
          <w:b w:val="false"/>
          <w:bCs w:val="false"/>
          <w:i w:val="false"/>
          <w:iCs w:val="false"/>
          <w:color w:val="1A1A1A"/>
          <w:sz w:val="22"/>
          <w:szCs w:val="22"/>
        </w:rPr>
        <w:t xml:space="preserve">The proposed sampling network comprises 57 stations at Keta and 23 stations at Ada. These stations are distributed to capture variation across hydrological zones, salinity gradients, and ecological sub-units within each site. Community Change Agents conduct data collection within their designated station zones, with field data sheets providing standardised records for all collected parameters.</w:t>
      </w:r>
    </w:p>
    <w:p>
      <w:pPr>
        <w:pStyle w:val="Heading2"/>
        <w:spacing w:before="300" w:after="160"/>
      </w:pPr>
      <w:r>
        <w:rPr>
          <w:rFonts w:ascii="Arial" w:cs="Arial" w:eastAsia="Arial" w:hAnsi="Arial"/>
          <w:b/>
          <w:bCs/>
          <w:color w:val="1A6B7A"/>
          <w:sz w:val="26"/>
          <w:szCs w:val="26"/>
        </w:rPr>
        <w:t xml:space="preserve">7.3  Parameters Monitored</w:t>
      </w:r>
    </w:p>
    <w:p>
      <w:pPr>
        <w:pStyle w:val="Heading3"/>
        <w:spacing w:before="240" w:after="120"/>
      </w:pPr>
      <w:r>
        <w:rPr>
          <w:rFonts w:ascii="Arial" w:cs="Arial" w:eastAsia="Arial" w:hAnsi="Arial"/>
          <w:b/>
          <w:bCs/>
          <w:color w:val="1B4F72"/>
          <w:sz w:val="24"/>
          <w:szCs w:val="24"/>
        </w:rPr>
        <w:t xml:space="preserve">Water Quality — Physico-Chemical</w:t>
      </w:r>
    </w:p>
    <w:p>
      <w:pPr>
        <w:spacing w:before="80" w:after="120" w:line="276"/>
        <w:jc w:val="both"/>
      </w:pPr>
      <w:r>
        <w:rPr>
          <w:rFonts w:ascii="Arial" w:cs="Arial" w:eastAsia="Arial" w:hAnsi="Arial"/>
          <w:b w:val="false"/>
          <w:bCs w:val="false"/>
          <w:i w:val="false"/>
          <w:iCs w:val="false"/>
          <w:color w:val="1A1A1A"/>
          <w:sz w:val="22"/>
          <w:szCs w:val="22"/>
        </w:rPr>
        <w:t xml:space="preserve">Quarterly water quality monitoring records pH, temperature, conductivity, salinity, total dissolved solids, dissolved oxygen, oxidation-reduction potential, and resistivity. GPS coordinates of each sampling location and the model of equipment used are recorded on the field data sheet for each monitoring event.</w:t>
      </w:r>
    </w:p>
    <w:p>
      <w:pPr>
        <w:pStyle w:val="Heading3"/>
        <w:spacing w:before="240" w:after="120"/>
      </w:pPr>
      <w:r>
        <w:rPr>
          <w:rFonts w:ascii="Arial" w:cs="Arial" w:eastAsia="Arial" w:hAnsi="Arial"/>
          <w:b/>
          <w:bCs/>
          <w:color w:val="1B4F72"/>
          <w:sz w:val="24"/>
          <w:szCs w:val="24"/>
        </w:rPr>
        <w:t xml:space="preserve">Soil Chemical and Biological Indicators</w:t>
      </w:r>
    </w:p>
    <w:p>
      <w:pPr>
        <w:spacing w:before="80" w:after="120" w:line="276"/>
        <w:jc w:val="both"/>
      </w:pPr>
      <w:r>
        <w:rPr>
          <w:rFonts w:ascii="Arial" w:cs="Arial" w:eastAsia="Arial" w:hAnsi="Arial"/>
          <w:b w:val="false"/>
          <w:bCs w:val="false"/>
          <w:i w:val="false"/>
          <w:iCs w:val="false"/>
          <w:color w:val="1A1A1A"/>
          <w:sz w:val="22"/>
          <w:szCs w:val="22"/>
        </w:rPr>
        <w:t xml:space="preserve">Soil parameter monitoring covers nitrate, phosphate, potassium, pH, moisture, humus content, and soil temperature. As with water quality data, GPS coordinates and equipment details are recorded for each sampling event.</w:t>
      </w:r>
    </w:p>
    <w:p>
      <w:pPr>
        <w:pStyle w:val="Heading2"/>
        <w:spacing w:before="300" w:after="160"/>
      </w:pPr>
      <w:r>
        <w:rPr>
          <w:rFonts w:ascii="Arial" w:cs="Arial" w:eastAsia="Arial" w:hAnsi="Arial"/>
          <w:b/>
          <w:bCs/>
          <w:color w:val="1A6B7A"/>
          <w:sz w:val="26"/>
          <w:szCs w:val="26"/>
        </w:rPr>
        <w:t xml:space="preserve">7.4  Field Protocol Requirements</w:t>
      </w:r>
    </w:p>
    <w:p>
      <w:pPr>
        <w:spacing w:before="80" w:after="120" w:line="276"/>
        <w:jc w:val="both"/>
      </w:pPr>
      <w:r>
        <w:rPr>
          <w:rFonts w:ascii="Arial" w:cs="Arial" w:eastAsia="Arial" w:hAnsi="Arial"/>
          <w:b w:val="false"/>
          <w:bCs w:val="false"/>
          <w:i w:val="false"/>
          <w:iCs w:val="false"/>
          <w:color w:val="1A1A1A"/>
          <w:sz w:val="22"/>
          <w:szCs w:val="22"/>
        </w:rPr>
        <w:t xml:space="preserve">All field data sheets are completed with the site name, GPS coordinates, any descriptive information about the sampling context, date, time, name of the recorder, and equipment details including model, accuracy, and any defect or range limitation. Any variation in sampling strategy, addition of new stations, or decision to change from designated sampling sites must be documented.</w:t>
      </w:r>
    </w:p>
    <w:p>
      <w:pPr>
        <w:spacing w:before="80" w:after="120" w:line="276"/>
        <w:jc w:val="both"/>
      </w:pPr>
      <w:r>
        <w:rPr>
          <w:rFonts w:ascii="Arial" w:cs="Arial" w:eastAsia="Arial" w:hAnsi="Arial"/>
          <w:b w:val="false"/>
          <w:bCs w:val="false"/>
          <w:i w:val="false"/>
          <w:iCs w:val="false"/>
          <w:color w:val="1A1A1A"/>
          <w:sz w:val="22"/>
          <w:szCs w:val="22"/>
        </w:rPr>
        <w:t xml:space="preserve">Where equipment allows, multiple parameters may be collected by two field teams operating concurrently, joining afterwards for other sample types. Unusual or drastic changes in the physical or chemical quality of water or soil are reported immediately to the management authority or the District Assembly, without waiting for the scheduled quarterly reporting cycle. Backups for all collected data are required to prevent information loss.</w:t>
      </w:r>
    </w:p>
    <w:p>
      <w:pPr>
        <w:pStyle w:val="Heading2"/>
        <w:spacing w:before="300" w:after="160"/>
      </w:pPr>
      <w:r>
        <w:rPr>
          <w:rFonts w:ascii="Arial" w:cs="Arial" w:eastAsia="Arial" w:hAnsi="Arial"/>
          <w:b/>
          <w:bCs/>
          <w:color w:val="1A6B7A"/>
          <w:sz w:val="26"/>
          <w:szCs w:val="26"/>
        </w:rPr>
        <w:t xml:space="preserve">7.5  Linkage to MRV Reporting</w:t>
      </w:r>
    </w:p>
    <w:p>
      <w:pPr>
        <w:spacing w:before="80" w:after="120" w:line="276"/>
        <w:jc w:val="both"/>
      </w:pPr>
      <w:r>
        <w:rPr>
          <w:rFonts w:ascii="Arial" w:cs="Arial" w:eastAsia="Arial" w:hAnsi="Arial"/>
          <w:b w:val="false"/>
          <w:bCs w:val="false"/>
          <w:i w:val="false"/>
          <w:iCs w:val="false"/>
          <w:color w:val="1A1A1A"/>
          <w:sz w:val="22"/>
          <w:szCs w:val="22"/>
        </w:rPr>
        <w:t xml:space="preserve">Ecosystem monitoring data collected at Keta and Ada feeds directly into the national MRV system as a component of the Environmental Pressure Surveillance and Ecological Integrity layers. Physico-chemical changes in water and soil quality serve as early-warning signals for ecosystem stress, hydrological alteration, and pollution events. These signals are consolidated at district level, reviewed against GIS-based pressure overlays, and included in annual national MRV reporting.</w:t>
      </w:r>
    </w:p>
    <w:p>
      <w:pPr>
        <w:spacing w:before="80" w:after="120" w:line="276"/>
        <w:jc w:val="both"/>
      </w:pPr>
      <w:r>
        <w:rPr>
          <w:rFonts w:ascii="Arial" w:cs="Arial" w:eastAsia="Arial" w:hAnsi="Arial"/>
          <w:b w:val="false"/>
          <w:bCs w:val="false"/>
          <w:i w:val="false"/>
          <w:iCs w:val="false"/>
          <w:color w:val="1A1A1A"/>
          <w:sz w:val="22"/>
          <w:szCs w:val="22"/>
        </w:rPr>
        <w:t xml:space="preserve">Community Change Agents at both sites are therefore part of a protocolised national monitoring system, not merely undertaking local observation. Their data contributes to a continuous national evidence stream that supports both Ramsar site management and the broader blue carbon MRV framework.</w:t>
      </w:r>
    </w:p>
    <w:p>
      <w:pPr>
        <w:pStyle w:val="Heading1"/>
        <w:pageBreakBefore/>
        <w:spacing w:before="480" w:after="240"/>
      </w:pPr>
      <w:r>
        <w:rPr>
          <w:rFonts w:ascii="Arial" w:cs="Arial" w:eastAsia="Arial" w:hAnsi="Arial"/>
          <w:b/>
          <w:bCs/>
          <w:color w:val="1B4F72"/>
          <w:sz w:val="30"/>
          <w:szCs w:val="30"/>
        </w:rPr>
        <w:t xml:space="preserve">8.  Digital Monitoring and Web-Based Spatial Platform</w:t>
      </w:r>
    </w:p>
    <w:p>
      <w:pPr>
        <w:pStyle w:val="Heading2"/>
        <w:spacing w:before="300" w:after="160"/>
      </w:pPr>
      <w:r>
        <w:rPr>
          <w:rFonts w:ascii="Arial" w:cs="Arial" w:eastAsia="Arial" w:hAnsi="Arial"/>
          <w:b/>
          <w:bCs/>
          <w:color w:val="1A6B7A"/>
          <w:sz w:val="26"/>
          <w:szCs w:val="26"/>
        </w:rPr>
        <w:t xml:space="preserve">8.1  Objective</w:t>
      </w:r>
    </w:p>
    <w:p>
      <w:pPr>
        <w:spacing w:before="80" w:after="120" w:line="276"/>
        <w:jc w:val="both"/>
      </w:pPr>
      <w:r>
        <w:rPr>
          <w:rFonts w:ascii="Arial" w:cs="Arial" w:eastAsia="Arial" w:hAnsi="Arial"/>
          <w:b w:val="false"/>
          <w:bCs w:val="false"/>
          <w:i w:val="false"/>
          <w:iCs w:val="false"/>
          <w:color w:val="1A1A1A"/>
          <w:sz w:val="22"/>
          <w:szCs w:val="22"/>
        </w:rPr>
        <w:t xml:space="preserve">The Digital Monitoring and Web-Based Spatial Platform serves as the technological backbone of Ghana's National Blue Carbon MRV Framework. It enables continuous spatial monitoring, real-time detection of ecosystem change, centralised data management, integration of ecological and carbon and governance data, transparent institutional oversight, and enhanced investment confidence through traceable data systems.</w:t>
      </w:r>
    </w:p>
    <w:p>
      <w:pPr>
        <w:spacing w:before="80" w:after="120" w:line="276"/>
        <w:jc w:val="both"/>
      </w:pPr>
      <w:r>
        <w:rPr>
          <w:rFonts w:ascii="Arial" w:cs="Arial" w:eastAsia="Arial" w:hAnsi="Arial"/>
          <w:b w:val="false"/>
          <w:bCs w:val="false"/>
          <w:i w:val="false"/>
          <w:iCs w:val="false"/>
          <w:color w:val="1A1A1A"/>
          <w:sz w:val="22"/>
          <w:szCs w:val="22"/>
        </w:rPr>
        <w:t xml:space="preserve">The platform transforms the MRV system from a periodic reporting mechanism into a continuous monitoring architecture. Rather than relying on infrequent manual consolidation, the platform integrates satellite feeds, field inputs, PSP records, and governance data into a live national monitoring system.</w:t>
      </w:r>
    </w:p>
    <w:p>
      <w:pPr>
        <w:pStyle w:val="Heading2"/>
        <w:spacing w:before="300" w:after="160"/>
      </w:pPr>
      <w:r>
        <w:rPr>
          <w:rFonts w:ascii="Arial" w:cs="Arial" w:eastAsia="Arial" w:hAnsi="Arial"/>
          <w:b/>
          <w:bCs/>
          <w:color w:val="1A6B7A"/>
          <w:sz w:val="26"/>
          <w:szCs w:val="26"/>
        </w:rPr>
        <w:t xml:space="preserve">8.2  System Architecture</w:t>
      </w:r>
    </w:p>
    <w:p>
      <w:pPr>
        <w:spacing w:before="80" w:after="120" w:line="276"/>
        <w:jc w:val="both"/>
      </w:pPr>
      <w:r>
        <w:rPr>
          <w:rFonts w:ascii="Arial" w:cs="Arial" w:eastAsia="Arial" w:hAnsi="Arial"/>
          <w:b w:val="false"/>
          <w:bCs w:val="false"/>
          <w:i w:val="false"/>
          <w:iCs w:val="false"/>
          <w:color w:val="1A1A1A"/>
          <w:sz w:val="22"/>
          <w:szCs w:val="22"/>
        </w:rPr>
        <w:t xml:space="preserve">The digital platform integrates baseline ecological and carbon layers, restoration potential zones and active restoration sites, the Permanent Sample Plot registry, ecologically sensitive areas, environmental pressure hotspots, weekly satellite imagery feeds, and change detection analytics. The platform operates through secure, role-based access controlled centrally by MLNR and MEST.</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MRV Platform Dashboard Screenshot</w:t>
      </w:r>
    </w:p>
    <w:p>
      <w:pPr>
        <w:spacing w:before="80" w:after="120" w:line="276"/>
        <w:jc w:val="both"/>
      </w:pPr>
      <w:r>
        <w:rPr>
          <w:rFonts w:ascii="Arial" w:cs="Arial" w:eastAsia="Arial" w:hAnsi="Arial"/>
          <w:b w:val="false"/>
          <w:bCs w:val="false"/>
          <w:i/>
          <w:iCs/>
          <w:color w:val="1A1A1A"/>
          <w:sz w:val="22"/>
          <w:szCs w:val="22"/>
        </w:rPr>
        <w:t xml:space="preserve">[Insert screenshot of the national MRV platform overview dashboard showing spatial layers, restoration tracking overlays, and carbon monitoring modules when available.]</w:t>
      </w:r>
    </w:p>
    <w:p>
      <w:pPr>
        <w:spacing w:before="0" w:after="60"/>
      </w:pPr>
      <w:r>
        <w:t xml:space="preserve"/>
      </w:r>
    </w:p>
    <w:p>
      <w:pPr>
        <w:pStyle w:val="Heading2"/>
        <w:spacing w:before="300" w:after="160"/>
      </w:pPr>
      <w:r>
        <w:rPr>
          <w:rFonts w:ascii="Arial" w:cs="Arial" w:eastAsia="Arial" w:hAnsi="Arial"/>
          <w:b/>
          <w:bCs/>
          <w:color w:val="1A6B7A"/>
          <w:sz w:val="26"/>
          <w:szCs w:val="26"/>
        </w:rPr>
        <w:t xml:space="preserve">8.3  Spatial Data Layers</w:t>
      </w:r>
    </w:p>
    <w:p>
      <w:pPr>
        <w:spacing w:before="80" w:after="120" w:line="276"/>
        <w:jc w:val="both"/>
      </w:pPr>
      <w:r>
        <w:rPr>
          <w:rFonts w:ascii="Arial" w:cs="Arial" w:eastAsia="Arial" w:hAnsi="Arial"/>
          <w:b w:val="false"/>
          <w:bCs w:val="false"/>
          <w:i w:val="false"/>
          <w:iCs w:val="false"/>
          <w:color w:val="1A1A1A"/>
          <w:sz w:val="22"/>
          <w:szCs w:val="22"/>
        </w:rPr>
        <w:t xml:space="preserve">The platform hosts the following core spatial datasets across four layer groups:</w:t>
      </w:r>
    </w:p>
    <w:p>
      <w:pPr>
        <w:pStyle w:val="Heading3"/>
        <w:spacing w:before="240" w:after="120"/>
      </w:pPr>
      <w:r>
        <w:rPr>
          <w:rFonts w:ascii="Arial" w:cs="Arial" w:eastAsia="Arial" w:hAnsi="Arial"/>
          <w:b/>
          <w:bCs/>
          <w:color w:val="1B4F72"/>
          <w:sz w:val="24"/>
          <w:szCs w:val="24"/>
        </w:rPr>
        <w:t xml:space="preserve">Baseline Layers</w:t>
      </w:r>
    </w:p>
    <w:p>
      <w:pPr>
        <w:spacing w:before="80" w:after="120" w:line="276"/>
        <w:jc w:val="both"/>
      </w:pPr>
      <w:r>
        <w:rPr>
          <w:rFonts w:ascii="Arial" w:cs="Arial" w:eastAsia="Arial" w:hAnsi="Arial"/>
          <w:b w:val="false"/>
          <w:bCs w:val="false"/>
          <w:i w:val="false"/>
          <w:iCs w:val="false"/>
          <w:color w:val="1A1A1A"/>
          <w:sz w:val="22"/>
          <w:szCs w:val="22"/>
        </w:rPr>
        <w:t xml:space="preserve">National mangrove extent at Year 0 reference; ecosystem classification zones; and stratified carbon inventory units.</w:t>
      </w:r>
    </w:p>
    <w:p>
      <w:pPr>
        <w:pStyle w:val="Heading3"/>
        <w:spacing w:before="240" w:after="120"/>
      </w:pPr>
      <w:r>
        <w:rPr>
          <w:rFonts w:ascii="Arial" w:cs="Arial" w:eastAsia="Arial" w:hAnsi="Arial"/>
          <w:b/>
          <w:bCs/>
          <w:color w:val="1B4F72"/>
          <w:sz w:val="24"/>
          <w:szCs w:val="24"/>
        </w:rPr>
        <w:t xml:space="preserve">Restoration Layers</w:t>
      </w:r>
    </w:p>
    <w:p>
      <w:pPr>
        <w:spacing w:before="80" w:after="120" w:line="276"/>
        <w:jc w:val="both"/>
      </w:pPr>
      <w:r>
        <w:rPr>
          <w:rFonts w:ascii="Arial" w:cs="Arial" w:eastAsia="Arial" w:hAnsi="Arial"/>
          <w:b w:val="false"/>
          <w:bCs w:val="false"/>
          <w:i w:val="false"/>
          <w:iCs w:val="false"/>
          <w:color w:val="1A1A1A"/>
          <w:sz w:val="22"/>
          <w:szCs w:val="22"/>
        </w:rPr>
        <w:t xml:space="preserve">Registered restoration sites with unique identifiers, survival monitoring records, and restoration performance status.</w:t>
      </w:r>
    </w:p>
    <w:p>
      <w:pPr>
        <w:pStyle w:val="Heading3"/>
        <w:spacing w:before="240" w:after="120"/>
      </w:pPr>
      <w:r>
        <w:rPr>
          <w:rFonts w:ascii="Arial" w:cs="Arial" w:eastAsia="Arial" w:hAnsi="Arial"/>
          <w:b/>
          <w:bCs/>
          <w:color w:val="1B4F72"/>
          <w:sz w:val="24"/>
          <w:szCs w:val="24"/>
        </w:rPr>
        <w:t xml:space="preserve">Permanent Sample Plot Registry</w:t>
      </w:r>
    </w:p>
    <w:p>
      <w:pPr>
        <w:spacing w:before="80" w:after="120" w:line="276"/>
        <w:jc w:val="both"/>
      </w:pPr>
      <w:r>
        <w:rPr>
          <w:rFonts w:ascii="Arial" w:cs="Arial" w:eastAsia="Arial" w:hAnsi="Arial"/>
          <w:b w:val="false"/>
          <w:bCs w:val="false"/>
          <w:i w:val="false"/>
          <w:iCs w:val="false"/>
          <w:color w:val="1A1A1A"/>
          <w:sz w:val="22"/>
          <w:szCs w:val="22"/>
        </w:rPr>
        <w:t xml:space="preserve">Georeferenced PSP locations with carbon pool classification, measurement history archives, and re-measurement scheduling indicators.</w:t>
      </w:r>
    </w:p>
    <w:p>
      <w:pPr>
        <w:pStyle w:val="Heading3"/>
        <w:spacing w:before="240" w:after="120"/>
      </w:pPr>
      <w:r>
        <w:rPr>
          <w:rFonts w:ascii="Arial" w:cs="Arial" w:eastAsia="Arial" w:hAnsi="Arial"/>
          <w:b/>
          <w:bCs/>
          <w:color w:val="1B4F72"/>
          <w:sz w:val="24"/>
          <w:szCs w:val="24"/>
        </w:rPr>
        <w:t xml:space="preserve">Environmental Pressure Overlays</w:t>
      </w:r>
    </w:p>
    <w:p>
      <w:pPr>
        <w:spacing w:before="80" w:after="120" w:line="276"/>
        <w:jc w:val="both"/>
      </w:pPr>
      <w:r>
        <w:rPr>
          <w:rFonts w:ascii="Arial" w:cs="Arial" w:eastAsia="Arial" w:hAnsi="Arial"/>
          <w:b w:val="false"/>
          <w:bCs w:val="false"/>
          <w:i w:val="false"/>
          <w:iCs w:val="false"/>
          <w:color w:val="1A1A1A"/>
          <w:sz w:val="22"/>
          <w:szCs w:val="22"/>
        </w:rPr>
        <w:t xml:space="preserve">Salt pan expansion polygons; urban encroachment detection zones; charcoal hotspot mapping; conflict-affected areas; and cutting signal zones. These overlays support integrated risk visualisation that links spatial change to institutional response.</w:t>
      </w:r>
    </w:p>
    <w:p>
      <w:pPr>
        <w:pStyle w:val="Heading2"/>
        <w:spacing w:before="300" w:after="160"/>
      </w:pPr>
      <w:r>
        <w:rPr>
          <w:rFonts w:ascii="Arial" w:cs="Arial" w:eastAsia="Arial" w:hAnsi="Arial"/>
          <w:b/>
          <w:bCs/>
          <w:color w:val="1A6B7A"/>
          <w:sz w:val="26"/>
          <w:szCs w:val="26"/>
        </w:rPr>
        <w:t xml:space="preserve">8.4  Continuous Satellite Monitoring</w:t>
      </w:r>
    </w:p>
    <w:p>
      <w:pPr>
        <w:spacing w:before="80" w:after="120" w:line="276"/>
        <w:jc w:val="both"/>
      </w:pPr>
      <w:r>
        <w:rPr>
          <w:rFonts w:ascii="Arial" w:cs="Arial" w:eastAsia="Arial" w:hAnsi="Arial"/>
          <w:b w:val="false"/>
          <w:bCs w:val="false"/>
          <w:i w:val="false"/>
          <w:iCs w:val="false"/>
          <w:color w:val="1A1A1A"/>
          <w:sz w:val="22"/>
          <w:szCs w:val="22"/>
        </w:rPr>
        <w:t xml:space="preserve">The platform incorporates weekly satellite imagery updates and automated change detection triggers. Where satellite-detected changes intersect with ecologically sensitive areas, active restoration zones, or PSP locations, the system generates alert flags for institutional review. This ensures rapid detection of degradation risks at scales and frequencies that quarterly field monitoring alone cannot provide.</w:t>
      </w:r>
    </w:p>
    <w:p>
      <w:pPr>
        <w:pStyle w:val="Heading2"/>
        <w:spacing w:before="300" w:after="160"/>
      </w:pPr>
      <w:r>
        <w:rPr>
          <w:rFonts w:ascii="Arial" w:cs="Arial" w:eastAsia="Arial" w:hAnsi="Arial"/>
          <w:b/>
          <w:bCs/>
          <w:color w:val="1A6B7A"/>
          <w:sz w:val="26"/>
          <w:szCs w:val="26"/>
        </w:rPr>
        <w:t xml:space="preserve">8.5  Community-Level Access</w:t>
      </w:r>
    </w:p>
    <w:p>
      <w:pPr>
        <w:spacing w:before="80" w:after="120" w:line="276"/>
        <w:jc w:val="both"/>
      </w:pPr>
      <w:r>
        <w:rPr>
          <w:rFonts w:ascii="Arial" w:cs="Arial" w:eastAsia="Arial" w:hAnsi="Arial"/>
          <w:b w:val="false"/>
          <w:bCs w:val="false"/>
          <w:i w:val="false"/>
          <w:iCs w:val="false"/>
          <w:color w:val="1A1A1A"/>
          <w:sz w:val="22"/>
          <w:szCs w:val="22"/>
        </w:rPr>
        <w:t xml:space="preserve">Recognising the central importance of community engagement to the MRV system, the platform provides smartphone-compatible access for CCAs and CREMA members. This allows field observers to view visual map overlays of their designated monitoring zones, validate or report observed changes, and reference simplified dashboards during field operations. System management and data validation remain centralised at MLNR and MEST, while controlled local access strengthens transparency, community ownership, and the timeliness of response to emerging pressures.</w:t>
      </w:r>
    </w:p>
    <w:p>
      <w:pPr>
        <w:pStyle w:val="Heading2"/>
        <w:spacing w:before="300" w:after="160"/>
      </w:pPr>
      <w:r>
        <w:rPr>
          <w:rFonts w:ascii="Arial" w:cs="Arial" w:eastAsia="Arial" w:hAnsi="Arial"/>
          <w:b/>
          <w:bCs/>
          <w:color w:val="1A6B7A"/>
          <w:sz w:val="26"/>
          <w:szCs w:val="26"/>
        </w:rPr>
        <w:t xml:space="preserve">8.6  Data Flow and Integration</w:t>
      </w:r>
    </w:p>
    <w:p>
      <w:pPr>
        <w:spacing w:before="80" w:after="120" w:line="276"/>
        <w:jc w:val="both"/>
      </w:pPr>
      <w:r>
        <w:rPr>
          <w:rFonts w:ascii="Arial" w:cs="Arial" w:eastAsia="Arial" w:hAnsi="Arial"/>
          <w:b w:val="false"/>
          <w:bCs w:val="false"/>
          <w:i w:val="false"/>
          <w:iCs w:val="false"/>
          <w:color w:val="1A1A1A"/>
          <w:sz w:val="22"/>
          <w:szCs w:val="22"/>
        </w:rPr>
        <w:t xml:space="preserve">The platform integrates data from three streams: satellite and GIS analytics, field-based ecological and pressure monitoring, and governance and safeguard reporting. The data flow structure moves from community field observation through district consolidation and validation to national technical QA/QC and database storage, to platform integration, and finally to annual reporting. All updates are time-stamped and archived to maintain full auditability.</w:t>
      </w:r>
    </w:p>
    <w:p>
      <w:pPr>
        <w:pStyle w:val="Heading2"/>
        <w:spacing w:before="300" w:after="160"/>
      </w:pPr>
      <w:r>
        <w:rPr>
          <w:rFonts w:ascii="Arial" w:cs="Arial" w:eastAsia="Arial" w:hAnsi="Arial"/>
          <w:b/>
          <w:bCs/>
          <w:color w:val="1A6B7A"/>
          <w:sz w:val="26"/>
          <w:szCs w:val="26"/>
        </w:rPr>
        <w:t xml:space="preserve">8.7  Data Security and Governance</w:t>
      </w:r>
    </w:p>
    <w:p>
      <w:pPr>
        <w:spacing w:before="80" w:after="120" w:line="276"/>
        <w:jc w:val="both"/>
      </w:pPr>
      <w:r>
        <w:rPr>
          <w:rFonts w:ascii="Arial" w:cs="Arial" w:eastAsia="Arial" w:hAnsi="Arial"/>
          <w:b w:val="false"/>
          <w:bCs w:val="false"/>
          <w:i w:val="false"/>
          <w:iCs w:val="false"/>
          <w:color w:val="1A1A1A"/>
          <w:sz w:val="22"/>
          <w:szCs w:val="22"/>
        </w:rPr>
        <w:t xml:space="preserve">The platform operates under national data governance protocols with role-based user permissions, controlled editing rights, secure cloud-based storage, and data backup and redundancy systems. Sensitive governance or grievance information is protected through restricted access layers while ensuring appropriate institutional accountability.</w:t>
      </w:r>
    </w:p>
    <w:p>
      <w:pPr>
        <w:pStyle w:val="Heading2"/>
        <w:spacing w:before="300" w:after="160"/>
      </w:pPr>
      <w:r>
        <w:rPr>
          <w:rFonts w:ascii="Arial" w:cs="Arial" w:eastAsia="Arial" w:hAnsi="Arial"/>
          <w:b/>
          <w:bCs/>
          <w:color w:val="1A6B7A"/>
          <w:sz w:val="26"/>
          <w:szCs w:val="26"/>
        </w:rPr>
        <w:t xml:space="preserve">8.8  Transparency and Investment Confidence</w:t>
      </w:r>
    </w:p>
    <w:p>
      <w:pPr>
        <w:spacing w:before="80" w:after="120" w:line="276"/>
        <w:jc w:val="both"/>
      </w:pPr>
      <w:r>
        <w:rPr>
          <w:rFonts w:ascii="Arial" w:cs="Arial" w:eastAsia="Arial" w:hAnsi="Arial"/>
          <w:b w:val="false"/>
          <w:bCs w:val="false"/>
          <w:i w:val="false"/>
          <w:iCs w:val="false"/>
          <w:color w:val="1A1A1A"/>
          <w:sz w:val="22"/>
          <w:szCs w:val="22"/>
        </w:rPr>
        <w:t xml:space="preserve">For donors and private sector actors, the digital architecture demonstrates continuous oversight capacity, institutional data management maturity, reduced monitoring risk, and reduced non-permanence risk. The traceability of carbon data, the visibility of restoration performance, and the accountability of governance indicators supported by the platform collectively strengthen the investment case for Ghana's blue carbon programme.</w:t>
      </w:r>
    </w:p>
    <w:p>
      <w:pPr>
        <w:pStyle w:val="Heading1"/>
        <w:pageBreakBefore/>
        <w:spacing w:before="480" w:after="240"/>
      </w:pPr>
      <w:r>
        <w:rPr>
          <w:rFonts w:ascii="Arial" w:cs="Arial" w:eastAsia="Arial" w:hAnsi="Arial"/>
          <w:b/>
          <w:bCs/>
          <w:color w:val="1B4F72"/>
          <w:sz w:val="30"/>
          <w:szCs w:val="30"/>
        </w:rPr>
        <w:t xml:space="preserve">9.  Carbon Accounting Protocol and Re-Measurement Cycle</w:t>
      </w:r>
    </w:p>
    <w:p>
      <w:pPr>
        <w:pStyle w:val="Heading2"/>
        <w:spacing w:before="300" w:after="160"/>
      </w:pPr>
      <w:r>
        <w:rPr>
          <w:rFonts w:ascii="Arial" w:cs="Arial" w:eastAsia="Arial" w:hAnsi="Arial"/>
          <w:b/>
          <w:bCs/>
          <w:color w:val="1A6B7A"/>
          <w:sz w:val="26"/>
          <w:szCs w:val="26"/>
        </w:rPr>
        <w:t xml:space="preserve">9.1  Objective</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establishes the national technical procedures through which Ghana quantifies blue carbon stocks, monitors stock changes over time, detects emissions and removals, maintains methodological consistency across monitoring cycles, ensures auditability and transparency, and supports participation in voluntary and compliance carbon markets.</w:t>
      </w:r>
    </w:p>
    <w:p>
      <w:pPr>
        <w:spacing w:before="80" w:after="120" w:line="276"/>
        <w:jc w:val="both"/>
      </w:pPr>
      <w:r>
        <w:rPr>
          <w:rFonts w:ascii="Arial" w:cs="Arial" w:eastAsia="Arial" w:hAnsi="Arial"/>
          <w:b w:val="false"/>
          <w:bCs w:val="false"/>
          <w:i w:val="false"/>
          <w:iCs w:val="false"/>
          <w:color w:val="1A1A1A"/>
          <w:sz w:val="22"/>
          <w:szCs w:val="22"/>
        </w:rPr>
        <w:t xml:space="preserve">The protocol is anchored in the national Carbon Inventory Baseline assessment and is aligned with internationally recognised practice including IPCC Wetlands guidance and established blue carbon accounting standards.</w:t>
      </w:r>
    </w:p>
    <w:p>
      <w:pPr>
        <w:pStyle w:val="Heading2"/>
        <w:spacing w:before="300" w:after="160"/>
      </w:pPr>
      <w:r>
        <w:rPr>
          <w:rFonts w:ascii="Arial" w:cs="Arial" w:eastAsia="Arial" w:hAnsi="Arial"/>
          <w:b/>
          <w:bCs/>
          <w:color w:val="1A6B7A"/>
          <w:sz w:val="26"/>
          <w:szCs w:val="26"/>
        </w:rPr>
        <w:t xml:space="preserve">9.2  Carbon Pools</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accounting system covers above-ground biomass, below-ground biomass, deadwood where applicable, and soil organic carbon to 0–100 cm depth. These pools were quantified under the Carbon Inventory Assessment and constitute the Year 0 benchmark values from which future change will be measured.</w:t>
      </w:r>
    </w:p>
    <w:p>
      <w:pPr>
        <w:pStyle w:val="Heading2"/>
        <w:spacing w:before="300" w:after="160"/>
      </w:pPr>
      <w:r>
        <w:rPr>
          <w:rFonts w:ascii="Arial" w:cs="Arial" w:eastAsia="Arial" w:hAnsi="Arial"/>
          <w:b/>
          <w:bCs/>
          <w:color w:val="1A6B7A"/>
          <w:sz w:val="26"/>
          <w:szCs w:val="26"/>
        </w:rPr>
        <w:t xml:space="preserve">9.3  Stratification Framework</w:t>
      </w:r>
    </w:p>
    <w:p>
      <w:pPr>
        <w:spacing w:before="80" w:after="120" w:line="276"/>
        <w:jc w:val="both"/>
      </w:pPr>
      <w:r>
        <w:rPr>
          <w:rFonts w:ascii="Arial" w:cs="Arial" w:eastAsia="Arial" w:hAnsi="Arial"/>
          <w:b w:val="false"/>
          <w:bCs w:val="false"/>
          <w:i w:val="false"/>
          <w:iCs w:val="false"/>
          <w:color w:val="1A1A1A"/>
          <w:sz w:val="22"/>
          <w:szCs w:val="22"/>
        </w:rPr>
        <w:t xml:space="preserve">Carbon accounting is conducted using ecological stratification based on mangrove species composition, canopy density classes, hydrological zones, and degradation intensity categories. Stratification ensures representative sampling, reduced uncertainty, and accurate extrapolation to landscape scale. The stratification schema established during the baseline inventory remains the reference structure for all future re-measurement cycles to ensure methodological consistency.</w:t>
      </w:r>
    </w:p>
    <w:p>
      <w:pPr>
        <w:pStyle w:val="Heading2"/>
        <w:spacing w:before="300" w:after="160"/>
      </w:pPr>
      <w:r>
        <w:rPr>
          <w:rFonts w:ascii="Arial" w:cs="Arial" w:eastAsia="Arial" w:hAnsi="Arial"/>
          <w:b/>
          <w:bCs/>
          <w:color w:val="1A6B7A"/>
          <w:sz w:val="26"/>
          <w:szCs w:val="26"/>
        </w:rPr>
        <w:t xml:space="preserve">9.4  Permanent Sample Plot System</w:t>
      </w:r>
    </w:p>
    <w:p>
      <w:pPr>
        <w:spacing w:before="80" w:after="120" w:line="276"/>
        <w:jc w:val="both"/>
      </w:pPr>
      <w:r>
        <w:rPr>
          <w:rFonts w:ascii="Arial" w:cs="Arial" w:eastAsia="Arial" w:hAnsi="Arial"/>
          <w:b w:val="false"/>
          <w:bCs w:val="false"/>
          <w:i w:val="false"/>
          <w:iCs w:val="false"/>
          <w:color w:val="1A1A1A"/>
          <w:sz w:val="22"/>
          <w:szCs w:val="22"/>
        </w:rPr>
        <w:t xml:space="preserve">All PSPs established during the baseline inventory are georeferenced, digitally archived, assigned unique identifiers, and integrated into the national web-based platform. They represent the long-term carbon monitoring backbone of the national system. Community-level support for DBH measurement, plot access maintenance, and visual disturbance reporting is provided through trained CCAs. National technical agencies carry responsibility for biomass calculations using approved allometric equations, soil core sampling and laboratory analysis, data verification, uncertainty assessment, and national carbon database management.</w:t>
      </w:r>
    </w:p>
    <w:p>
      <w:pPr>
        <w:pStyle w:val="Heading2"/>
        <w:spacing w:before="300" w:after="160"/>
      </w:pPr>
      <w:r>
        <w:rPr>
          <w:rFonts w:ascii="Arial" w:cs="Arial" w:eastAsia="Arial" w:hAnsi="Arial"/>
          <w:b/>
          <w:bCs/>
          <w:color w:val="1A6B7A"/>
          <w:sz w:val="26"/>
          <w:szCs w:val="26"/>
        </w:rPr>
        <w:t xml:space="preserve">9.5  Re-Measurement Cycle</w:t>
      </w:r>
    </w:p>
    <w:p>
      <w:pPr>
        <w:spacing w:before="80" w:after="120" w:line="276"/>
        <w:jc w:val="both"/>
      </w:pPr>
      <w:r>
        <w:rPr>
          <w:rFonts w:ascii="Arial" w:cs="Arial" w:eastAsia="Arial" w:hAnsi="Arial"/>
          <w:b w:val="false"/>
          <w:bCs w:val="false"/>
          <w:i w:val="false"/>
          <w:iCs w:val="false"/>
          <w:color w:val="1A1A1A"/>
          <w:sz w:val="22"/>
          <w:szCs w:val="22"/>
        </w:rPr>
        <w:t xml:space="preserve">Biomass re-measurement is conducted every three to five years. Soil carbon reassessment is conducted in line with methodological guidance and risk exposure, typically aligned with biomass cycles unless disturbance events require earlier assessment. Re-measurement frequency is accelerated where significant disturbance is detected through satellite monitoring, large-scale restoration expansion occurs, or carbon credit issuance cycles require updated verification data.</w:t>
      </w:r>
    </w:p>
    <w:p>
      <w:pPr>
        <w:pStyle w:val="Heading2"/>
        <w:spacing w:before="300" w:after="160"/>
      </w:pPr>
      <w:r>
        <w:rPr>
          <w:rFonts w:ascii="Arial" w:cs="Arial" w:eastAsia="Arial" w:hAnsi="Arial"/>
          <w:b/>
          <w:bCs/>
          <w:color w:val="1A6B7A"/>
          <w:sz w:val="26"/>
          <w:szCs w:val="26"/>
        </w:rPr>
        <w:t xml:space="preserve">9.6  Emissions and Removals Accounting</w:t>
      </w:r>
    </w:p>
    <w:p>
      <w:pPr>
        <w:spacing w:before="80" w:after="120" w:line="276"/>
        <w:jc w:val="both"/>
      </w:pPr>
      <w:r>
        <w:rPr>
          <w:rFonts w:ascii="Arial" w:cs="Arial" w:eastAsia="Arial" w:hAnsi="Arial"/>
          <w:b w:val="false"/>
          <w:bCs w:val="false"/>
          <w:i w:val="false"/>
          <w:iCs w:val="false"/>
          <w:color w:val="1A1A1A"/>
          <w:sz w:val="22"/>
          <w:szCs w:val="22"/>
        </w:rPr>
        <w:t xml:space="preserve">Carbon stock changes are calculated through comparison of re-measured stocks against the baseline, estimation of removals from restoration growth, and estimation of emissions from confirmed land conversion or degradation events. Where degradation or loss is detected through spatial monitoring, affected stratification units are assessed for carbon impact. All calculations apply conservative assumptions where uncertainty exists, with clear documentation of equations applied and transparent methodological notes.</w:t>
      </w:r>
    </w:p>
    <w:p>
      <w:pPr>
        <w:pStyle w:val="Heading2"/>
        <w:spacing w:before="300" w:after="160"/>
      </w:pPr>
      <w:r>
        <w:rPr>
          <w:rFonts w:ascii="Arial" w:cs="Arial" w:eastAsia="Arial" w:hAnsi="Arial"/>
          <w:b/>
          <w:bCs/>
          <w:color w:val="1A6B7A"/>
          <w:sz w:val="26"/>
          <w:szCs w:val="26"/>
        </w:rPr>
        <w:t xml:space="preserve">9.7  Leakage and Risk Management</w:t>
      </w:r>
    </w:p>
    <w:p>
      <w:pPr>
        <w:spacing w:before="80" w:after="120" w:line="276"/>
        <w:jc w:val="both"/>
      </w:pPr>
      <w:r>
        <w:rPr>
          <w:rFonts w:ascii="Arial" w:cs="Arial" w:eastAsia="Arial" w:hAnsi="Arial"/>
          <w:b w:val="false"/>
          <w:bCs w:val="false"/>
          <w:i w:val="false"/>
          <w:iCs w:val="false"/>
          <w:color w:val="1A1A1A"/>
          <w:sz w:val="22"/>
          <w:szCs w:val="22"/>
        </w:rPr>
        <w:t xml:space="preserve">Leakage risk is assessed through integration of environmental pressure indicators, fuel source shift monitoring, charcoal hotspot tracking, and conflict and access signals. Where pressure increases are detected outside restoration zones, the national carbon accounting assessment considers potential displacement effects. This ensures that carbon gains are not undermined by externally displaced degradation.</w:t>
      </w:r>
    </w:p>
    <w:p>
      <w:pPr>
        <w:pStyle w:val="Heading2"/>
        <w:spacing w:before="300" w:after="160"/>
      </w:pPr>
      <w:r>
        <w:rPr>
          <w:rFonts w:ascii="Arial" w:cs="Arial" w:eastAsia="Arial" w:hAnsi="Arial"/>
          <w:b/>
          <w:bCs/>
          <w:color w:val="1A6B7A"/>
          <w:sz w:val="26"/>
          <w:szCs w:val="26"/>
        </w:rPr>
        <w:t xml:space="preserve">9.8  QA/QC and Data Archiving</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incorporates double-entry field measurement verification, random plot re-checks, data consistency audits, outlier detection procedures, version-controlled database updates, and secure archiving of raw field sheets and laboratory reports. All carbon calculations are traceable from plot-level data to national totals. Carbon data is stored within a nationally managed database, backed up under secure protocols, time-stamped and version-controlled, and accessible for independent verification when required.</w:t>
      </w:r>
    </w:p>
    <w:p>
      <w:pPr>
        <w:pStyle w:val="Heading2"/>
        <w:spacing w:before="300" w:after="160"/>
      </w:pPr>
      <w:r>
        <w:rPr>
          <w:rFonts w:ascii="Arial" w:cs="Arial" w:eastAsia="Arial" w:hAnsi="Arial"/>
          <w:b/>
          <w:bCs/>
          <w:color w:val="1A6B7A"/>
          <w:sz w:val="26"/>
          <w:szCs w:val="26"/>
        </w:rPr>
        <w:t xml:space="preserve">9.9  Carbon Reporting Outputs</w:t>
      </w:r>
    </w:p>
    <w:p>
      <w:pPr>
        <w:spacing w:before="80" w:after="120" w:line="276"/>
        <w:jc w:val="both"/>
      </w:pPr>
      <w:r>
        <w:rPr>
          <w:rFonts w:ascii="Arial" w:cs="Arial" w:eastAsia="Arial" w:hAnsi="Arial"/>
          <w:b w:val="false"/>
          <w:bCs w:val="false"/>
          <w:i w:val="false"/>
          <w:iCs w:val="false"/>
          <w:color w:val="1A1A1A"/>
          <w:sz w:val="22"/>
          <w:szCs w:val="22"/>
        </w:rPr>
        <w:t xml:space="preserve">The Carbon Accounting Protocol produces five-year carbon stock update reports, emission reduction or removal summaries, uncertainty estimates, risk-adjusted carbon projections, and landscape-level carbon balance assessments. These outputs support national climate reporting obligations, investment due diligence, and carbon market participation readiness.</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Carbon Inventory Summary Table</w:t>
      </w:r>
    </w:p>
    <w:p>
      <w:pPr>
        <w:spacing w:before="80" w:after="120" w:line="276"/>
        <w:jc w:val="both"/>
      </w:pPr>
      <w:r>
        <w:rPr>
          <w:rFonts w:ascii="Arial" w:cs="Arial" w:eastAsia="Arial" w:hAnsi="Arial"/>
          <w:b w:val="false"/>
          <w:bCs w:val="false"/>
          <w:i/>
          <w:iCs/>
          <w:color w:val="1A1A1A"/>
          <w:sz w:val="22"/>
          <w:szCs w:val="22"/>
        </w:rPr>
        <w:t xml:space="preserve">[Insert final verified carbon stock tables by pool and stratification unit from the Carbon Inventory Assessment when available for this report.]</w:t>
      </w:r>
    </w:p>
    <w:p>
      <w:pPr>
        <w:spacing w:before="0" w:after="60"/>
      </w:pPr>
      <w:r>
        <w:t xml:space="preserve"/>
      </w:r>
    </w:p>
    <w:p>
      <w:pPr>
        <w:pStyle w:val="Heading1"/>
        <w:pageBreakBefore/>
        <w:spacing w:before="480" w:after="240"/>
      </w:pPr>
      <w:r>
        <w:rPr>
          <w:rFonts w:ascii="Arial" w:cs="Arial" w:eastAsia="Arial" w:hAnsi="Arial"/>
          <w:b/>
          <w:bCs/>
          <w:color w:val="1B4F72"/>
          <w:sz w:val="30"/>
          <w:szCs w:val="30"/>
        </w:rPr>
        <w:t xml:space="preserve">10.  National Reporting and Disclosure Framework</w:t>
      </w:r>
    </w:p>
    <w:p>
      <w:pPr>
        <w:pStyle w:val="Heading2"/>
        <w:spacing w:before="300" w:after="160"/>
      </w:pPr>
      <w:r>
        <w:rPr>
          <w:rFonts w:ascii="Arial" w:cs="Arial" w:eastAsia="Arial" w:hAnsi="Arial"/>
          <w:b/>
          <w:bCs/>
          <w:color w:val="1A6B7A"/>
          <w:sz w:val="26"/>
          <w:szCs w:val="26"/>
        </w:rPr>
        <w:t xml:space="preserve">10.1  Objective</w:t>
      </w:r>
    </w:p>
    <w:p>
      <w:pPr>
        <w:spacing w:before="80" w:after="120" w:line="276"/>
        <w:jc w:val="both"/>
      </w:pPr>
      <w:r>
        <w:rPr>
          <w:rFonts w:ascii="Arial" w:cs="Arial" w:eastAsia="Arial" w:hAnsi="Arial"/>
          <w:b w:val="false"/>
          <w:bCs w:val="false"/>
          <w:i w:val="false"/>
          <w:iCs w:val="false"/>
          <w:color w:val="1A1A1A"/>
          <w:sz w:val="22"/>
          <w:szCs w:val="22"/>
        </w:rPr>
        <w:t xml:space="preserve">The National Reporting and Disclosure Framework establishes the structured outputs of Ghana's Blue Carbon MRV System and defines the mechanisms through which ecological, carbon, environmental pressure, and governance data are consolidated, reviewed, and communicated. It ensures institutional accountability, national transparency, climate reporting integration, investment-grade disclosure, and continuous adaptive management.</w:t>
      </w:r>
    </w:p>
    <w:p>
      <w:pPr>
        <w:pStyle w:val="Heading2"/>
        <w:spacing w:before="300" w:after="160"/>
      </w:pPr>
      <w:r>
        <w:rPr>
          <w:rFonts w:ascii="Arial" w:cs="Arial" w:eastAsia="Arial" w:hAnsi="Arial"/>
          <w:b/>
          <w:bCs/>
          <w:color w:val="1A6B7A"/>
          <w:sz w:val="26"/>
          <w:szCs w:val="26"/>
        </w:rPr>
        <w:t xml:space="preserve">10.2  Reporting Hierarchy</w:t>
      </w:r>
    </w:p>
    <w:p>
      <w:pPr>
        <w:pStyle w:val="Heading3"/>
        <w:spacing w:before="240" w:after="120"/>
      </w:pPr>
      <w:r>
        <w:rPr>
          <w:rFonts w:ascii="Arial" w:cs="Arial" w:eastAsia="Arial" w:hAnsi="Arial"/>
          <w:b/>
          <w:bCs/>
          <w:color w:val="1B4F72"/>
          <w:sz w:val="24"/>
          <w:szCs w:val="24"/>
        </w:rPr>
        <w:t xml:space="preserve">Community Level</w:t>
      </w:r>
    </w:p>
    <w:p>
      <w:pPr>
        <w:spacing w:before="80" w:after="120" w:line="276"/>
        <w:jc w:val="both"/>
      </w:pPr>
      <w:r>
        <w:rPr>
          <w:rFonts w:ascii="Arial" w:cs="Arial" w:eastAsia="Arial" w:hAnsi="Arial"/>
          <w:b w:val="false"/>
          <w:bCs w:val="false"/>
          <w:i w:val="false"/>
          <w:iCs w:val="false"/>
          <w:color w:val="1A1A1A"/>
          <w:sz w:val="22"/>
          <w:szCs w:val="22"/>
        </w:rPr>
        <w:t xml:space="preserve">Quarterly summaries compiled by CREMAs cover restoration survival updates, mangrove cutting signals, environmental pressure alerts, conflict and grievance reports, and governance participation records. These are submitted to district authorities for validation and consolidation.</w:t>
      </w:r>
    </w:p>
    <w:p>
      <w:pPr>
        <w:pStyle w:val="Heading3"/>
        <w:spacing w:before="240" w:after="120"/>
      </w:pPr>
      <w:r>
        <w:rPr>
          <w:rFonts w:ascii="Arial" w:cs="Arial" w:eastAsia="Arial" w:hAnsi="Arial"/>
          <w:b/>
          <w:bCs/>
          <w:color w:val="1B4F72"/>
          <w:sz w:val="24"/>
          <w:szCs w:val="24"/>
        </w:rPr>
        <w:t xml:space="preserve">District Level</w:t>
      </w:r>
    </w:p>
    <w:p>
      <w:pPr>
        <w:spacing w:before="80" w:after="120" w:line="276"/>
        <w:jc w:val="both"/>
      </w:pPr>
      <w:r>
        <w:rPr>
          <w:rFonts w:ascii="Arial" w:cs="Arial" w:eastAsia="Arial" w:hAnsi="Arial"/>
          <w:b w:val="false"/>
          <w:bCs w:val="false"/>
          <w:i w:val="false"/>
          <w:iCs w:val="false"/>
          <w:color w:val="1A1A1A"/>
          <w:sz w:val="22"/>
          <w:szCs w:val="22"/>
        </w:rPr>
        <w:t xml:space="preserve">District authorities compile aggregated ecological monitoring data, environmental pressure trend summaries, governance and safeguard performance reviews, and escalated risks requiring national attention. District reports are submitted annually to MLNR and MEST for national consolidation.</w:t>
      </w:r>
    </w:p>
    <w:p>
      <w:pPr>
        <w:pStyle w:val="Heading3"/>
        <w:spacing w:before="240" w:after="120"/>
      </w:pPr>
      <w:r>
        <w:rPr>
          <w:rFonts w:ascii="Arial" w:cs="Arial" w:eastAsia="Arial" w:hAnsi="Arial"/>
          <w:b/>
          <w:bCs/>
          <w:color w:val="1B4F72"/>
          <w:sz w:val="24"/>
          <w:szCs w:val="24"/>
        </w:rPr>
        <w:t xml:space="preserve">National Level</w:t>
      </w:r>
    </w:p>
    <w:p>
      <w:pPr>
        <w:spacing w:before="80" w:after="120" w:line="276"/>
        <w:jc w:val="both"/>
      </w:pPr>
      <w:r>
        <w:rPr>
          <w:rFonts w:ascii="Arial" w:cs="Arial" w:eastAsia="Arial" w:hAnsi="Arial"/>
          <w:b w:val="false"/>
          <w:bCs w:val="false"/>
          <w:i w:val="false"/>
          <w:iCs w:val="false"/>
          <w:color w:val="1A1A1A"/>
          <w:sz w:val="22"/>
          <w:szCs w:val="22"/>
        </w:rPr>
        <w:t xml:space="preserve">An Annual National Blue Carbon MRV Report is produced and formally issued by MLNR and MEST. This report is the primary national disclosure instrument and includes: an executive overview; the national mangrove extent change summary; restoration performance assessment; environmental pressure trend analysis; governance and safeguard performance review; carbon risk assessment summary; adaptive management actions undertaken during the reporting period; and strategic recommendations. The annual MRV Report is the principal reference document for government planning, donor review, private sector due diligence, and national climate reporting integration.</w:t>
      </w:r>
    </w:p>
    <w:p>
      <w:pPr>
        <w:pStyle w:val="Heading2"/>
        <w:spacing w:before="300" w:after="160"/>
      </w:pPr>
      <w:r>
        <w:rPr>
          <w:rFonts w:ascii="Arial" w:cs="Arial" w:eastAsia="Arial" w:hAnsi="Arial"/>
          <w:b/>
          <w:bCs/>
          <w:color w:val="1A6B7A"/>
          <w:sz w:val="26"/>
          <w:szCs w:val="26"/>
        </w:rPr>
        <w:t xml:space="preserve">10.3  Carbon Stock Update Report</w:t>
      </w:r>
    </w:p>
    <w:p>
      <w:pPr>
        <w:spacing w:before="80" w:after="120" w:line="276"/>
        <w:jc w:val="both"/>
      </w:pPr>
      <w:r>
        <w:rPr>
          <w:rFonts w:ascii="Arial" w:cs="Arial" w:eastAsia="Arial" w:hAnsi="Arial"/>
          <w:b w:val="false"/>
          <w:bCs w:val="false"/>
          <w:i w:val="false"/>
          <w:iCs w:val="false"/>
          <w:color w:val="1A1A1A"/>
          <w:sz w:val="22"/>
          <w:szCs w:val="22"/>
        </w:rPr>
        <w:t xml:space="preserve">In addition to the annual MRV report, a Carbon Stock Update Report is issued every three to five years, aligned with the PSP re-measurement cycle. This report includes updated biomass and soil carbon estimates, emissions and removals summary, uncertainty assessment, risk-adjusted carbon balance, PSP re-measurement documentation, and a methodological consistency statement. It supports carbon market participation and long-term blue carbon asset valuation.</w:t>
      </w:r>
    </w:p>
    <w:p>
      <w:pPr>
        <w:pStyle w:val="Heading2"/>
        <w:spacing w:before="300" w:after="160"/>
      </w:pPr>
      <w:r>
        <w:rPr>
          <w:rFonts w:ascii="Arial" w:cs="Arial" w:eastAsia="Arial" w:hAnsi="Arial"/>
          <w:b/>
          <w:bCs/>
          <w:color w:val="1A6B7A"/>
          <w:sz w:val="26"/>
          <w:szCs w:val="26"/>
        </w:rPr>
        <w:t xml:space="preserve">10.4  Environmental Pressure Reporting</w:t>
      </w:r>
    </w:p>
    <w:p>
      <w:pPr>
        <w:spacing w:before="80" w:after="120" w:line="276"/>
        <w:jc w:val="both"/>
      </w:pPr>
      <w:r>
        <w:rPr>
          <w:rFonts w:ascii="Arial" w:cs="Arial" w:eastAsia="Arial" w:hAnsi="Arial"/>
          <w:b w:val="false"/>
          <w:bCs w:val="false"/>
          <w:i w:val="false"/>
          <w:iCs w:val="false"/>
          <w:color w:val="1A1A1A"/>
          <w:sz w:val="22"/>
          <w:szCs w:val="22"/>
        </w:rPr>
        <w:t xml:space="preserve">Environmental pressure surveillance findings are summarised annually, covering land conversion statistics in hectares per year, cutting incidence trends, charcoal hotspot changes, fuel source transition trends, and conflict index trends. Where pressure increases are detected, the report documents the corrective measures taken, enforcement actions where applicable, restoration responses, and any policy adjustments that have been initiated.</w:t>
      </w:r>
    </w:p>
    <w:p>
      <w:pPr>
        <w:pStyle w:val="Heading2"/>
        <w:spacing w:before="300" w:after="160"/>
      </w:pPr>
      <w:r>
        <w:rPr>
          <w:rFonts w:ascii="Arial" w:cs="Arial" w:eastAsia="Arial" w:hAnsi="Arial"/>
          <w:b/>
          <w:bCs/>
          <w:color w:val="1A6B7A"/>
          <w:sz w:val="26"/>
          <w:szCs w:val="26"/>
        </w:rPr>
        <w:t xml:space="preserve">10.5  Governance and Safeguard Disclosure</w:t>
      </w:r>
    </w:p>
    <w:p>
      <w:pPr>
        <w:spacing w:before="80" w:after="120" w:line="276"/>
        <w:jc w:val="both"/>
      </w:pPr>
      <w:r>
        <w:rPr>
          <w:rFonts w:ascii="Arial" w:cs="Arial" w:eastAsia="Arial" w:hAnsi="Arial"/>
          <w:b w:val="false"/>
          <w:bCs w:val="false"/>
          <w:i w:val="false"/>
          <w:iCs w:val="false"/>
          <w:color w:val="1A1A1A"/>
          <w:sz w:val="22"/>
          <w:szCs w:val="22"/>
        </w:rPr>
        <w:t xml:space="preserve">Annual reporting includes CREMA composition statistics, gender and youth representation data, grievance redress performance metrics, conflict mediation outcomes, and benefit-sharing transparency summaries. Sensitive information is protected under national data governance protocols while maintaining institutional accountability.</w:t>
      </w:r>
    </w:p>
    <w:p>
      <w:pPr>
        <w:pStyle w:val="Heading2"/>
        <w:spacing w:before="300" w:after="160"/>
      </w:pPr>
      <w:r>
        <w:rPr>
          <w:rFonts w:ascii="Arial" w:cs="Arial" w:eastAsia="Arial" w:hAnsi="Arial"/>
          <w:b/>
          <w:bCs/>
          <w:color w:val="1A6B7A"/>
          <w:sz w:val="26"/>
          <w:szCs w:val="26"/>
        </w:rPr>
        <w:t xml:space="preserve">10.6  Digital Dashboard Outputs</w:t>
      </w:r>
    </w:p>
    <w:p>
      <w:pPr>
        <w:spacing w:before="80" w:after="120" w:line="276"/>
        <w:jc w:val="both"/>
      </w:pPr>
      <w:r>
        <w:rPr>
          <w:rFonts w:ascii="Arial" w:cs="Arial" w:eastAsia="Arial" w:hAnsi="Arial"/>
          <w:b w:val="false"/>
          <w:bCs w:val="false"/>
          <w:i w:val="false"/>
          <w:iCs w:val="false"/>
          <w:color w:val="1A1A1A"/>
          <w:sz w:val="22"/>
          <w:szCs w:val="22"/>
        </w:rPr>
        <w:t xml:space="preserve">The web-based spatial platform generates summary dashboards for authorised stakeholder access, automated change alerts for institutional response, and periodic export packages for verification or donor reporting purposes.</w:t>
      </w:r>
    </w:p>
    <w:p>
      <w:pPr>
        <w:spacing w:before="0" w:after="60"/>
      </w:pPr>
      <w:r>
        <w:t xml:space="preserve"/>
      </w:r>
    </w:p>
    <w:p>
      <w:pPr>
        <w:spacing w:before="80" w:after="120" w:line="276"/>
        <w:jc w:val="both"/>
      </w:pPr>
      <w:r>
        <w:rPr>
          <w:rFonts w:ascii="Arial" w:cs="Arial" w:eastAsia="Arial" w:hAnsi="Arial"/>
          <w:b/>
          <w:bCs/>
          <w:i/>
          <w:iCs/>
          <w:color w:val="1A1A1A"/>
          <w:sz w:val="22"/>
          <w:szCs w:val="22"/>
        </w:rPr>
        <w:t xml:space="preserve">PLACEHOLDER — Platform Dashboard and Alert Export Examples</w:t>
      </w:r>
    </w:p>
    <w:p>
      <w:pPr>
        <w:spacing w:before="80" w:after="120" w:line="276"/>
        <w:jc w:val="both"/>
      </w:pPr>
      <w:r>
        <w:rPr>
          <w:rFonts w:ascii="Arial" w:cs="Arial" w:eastAsia="Arial" w:hAnsi="Arial"/>
          <w:b w:val="false"/>
          <w:bCs w:val="false"/>
          <w:i/>
          <w:iCs/>
          <w:color w:val="1A1A1A"/>
          <w:sz w:val="22"/>
          <w:szCs w:val="22"/>
        </w:rPr>
        <w:t xml:space="preserve">[Insert representative dashboard screenshots and hotspot or alert export examples showing the platform's reporting and monitoring outputs when available.]</w:t>
      </w:r>
    </w:p>
    <w:p>
      <w:pPr>
        <w:spacing w:before="0" w:after="60"/>
      </w:pPr>
      <w:r>
        <w:t xml:space="preserve"/>
      </w:r>
    </w:p>
    <w:p>
      <w:pPr>
        <w:pStyle w:val="Heading2"/>
        <w:spacing w:before="300" w:after="160"/>
      </w:pPr>
      <w:r>
        <w:rPr>
          <w:rFonts w:ascii="Arial" w:cs="Arial" w:eastAsia="Arial" w:hAnsi="Arial"/>
          <w:b/>
          <w:bCs/>
          <w:color w:val="1A6B7A"/>
          <w:sz w:val="26"/>
          <w:szCs w:val="26"/>
        </w:rPr>
        <w:t xml:space="preserve">10.7  NDC and National Climate Reporting Integration</w:t>
      </w:r>
    </w:p>
    <w:p>
      <w:pPr>
        <w:spacing w:before="80" w:after="120" w:line="276"/>
        <w:jc w:val="both"/>
      </w:pPr>
      <w:r>
        <w:rPr>
          <w:rFonts w:ascii="Arial" w:cs="Arial" w:eastAsia="Arial" w:hAnsi="Arial"/>
          <w:b w:val="false"/>
          <w:bCs w:val="false"/>
          <w:i w:val="false"/>
          <w:iCs w:val="false"/>
          <w:color w:val="1A1A1A"/>
          <w:sz w:val="22"/>
          <w:szCs w:val="22"/>
        </w:rPr>
        <w:t xml:space="preserve">The MRV Framework is designed to support Ghana's obligations under the Paris Agreement through structured linkage between site-level monitoring outputs and national greenhouse gas accounting. Annual extent monitoring and five-yearly carbon stock updates provide the data inputs needed to track blue carbon contributions to national emission reductions and removals. The national MRV reporting cycle is aligned to support integration into Ghana's NDC tracking and reporting processes, providing a credible national evidence base for international climate negotiations and reporting.</w:t>
      </w:r>
    </w:p>
    <w:p>
      <w:pPr>
        <w:pStyle w:val="Heading1"/>
        <w:pageBreakBefore/>
        <w:spacing w:before="480" w:after="240"/>
      </w:pPr>
      <w:r>
        <w:rPr>
          <w:rFonts w:ascii="Arial" w:cs="Arial" w:eastAsia="Arial" w:hAnsi="Arial"/>
          <w:b/>
          <w:bCs/>
          <w:color w:val="1B4F72"/>
          <w:sz w:val="30"/>
          <w:szCs w:val="30"/>
        </w:rPr>
        <w:t xml:space="preserve">11.  Keta Lagoon Complex as Pilot Implementation Context</w:t>
      </w:r>
    </w:p>
    <w:p>
      <w:pPr>
        <w:pStyle w:val="Heading2"/>
        <w:spacing w:before="300" w:after="160"/>
      </w:pPr>
      <w:r>
        <w:rPr>
          <w:rFonts w:ascii="Arial" w:cs="Arial" w:eastAsia="Arial" w:hAnsi="Arial"/>
          <w:b/>
          <w:bCs/>
          <w:color w:val="1A6B7A"/>
          <w:sz w:val="26"/>
          <w:szCs w:val="26"/>
        </w:rPr>
        <w:t xml:space="preserve">11.1  Rationale for Pilot Treatment</w:t>
      </w:r>
    </w:p>
    <w:p>
      <w:pPr>
        <w:spacing w:before="80" w:after="120" w:line="276"/>
        <w:jc w:val="both"/>
      </w:pPr>
      <w:r>
        <w:rPr>
          <w:rFonts w:ascii="Arial" w:cs="Arial" w:eastAsia="Arial" w:hAnsi="Arial"/>
          <w:b w:val="false"/>
          <w:bCs w:val="false"/>
          <w:i w:val="false"/>
          <w:iCs w:val="false"/>
          <w:color w:val="1A1A1A"/>
          <w:sz w:val="22"/>
          <w:szCs w:val="22"/>
        </w:rPr>
        <w:t xml:space="preserve">Keta Lagoon Complex is treated as the primary pilot implementation context for the national MRV system. This designation reflects the depth of baseline evidence accumulated at Keta through the 2025 assessment process, the relative maturity of operational readiness compared to other national landscapes, and the presence of implementation traces including restoration plot records, georeferenced PSP locations, carbon inventory point datasets, and drone Area of Interest boundary files.</w:t>
      </w:r>
    </w:p>
    <w:p>
      <w:pPr>
        <w:spacing w:before="80" w:after="120" w:line="276"/>
        <w:jc w:val="both"/>
      </w:pPr>
      <w:r>
        <w:rPr>
          <w:rFonts w:ascii="Arial" w:cs="Arial" w:eastAsia="Arial" w:hAnsi="Arial"/>
          <w:b w:val="false"/>
          <w:bCs w:val="false"/>
          <w:i w:val="false"/>
          <w:iCs w:val="false"/>
          <w:color w:val="1A1A1A"/>
          <w:sz w:val="22"/>
          <w:szCs w:val="22"/>
        </w:rPr>
        <w:t xml:space="preserve">Treating Keta as a pilot does not alter the national scope of the MRV architecture. The institutional tiers, functional layers, monitoring protocols, and reporting requirements described in this report apply at national scale. Keta provides an early operational test-bed within that architecture — a context where integrated monitoring can be demonstrated, iterated, and refined before progressive expansion to other landscapes.</w:t>
      </w:r>
    </w:p>
    <w:p>
      <w:pPr>
        <w:pStyle w:val="Heading2"/>
        <w:spacing w:before="300" w:after="160"/>
      </w:pPr>
      <w:r>
        <w:rPr>
          <w:rFonts w:ascii="Arial" w:cs="Arial" w:eastAsia="Arial" w:hAnsi="Arial"/>
          <w:b/>
          <w:bCs/>
          <w:color w:val="1A6B7A"/>
          <w:sz w:val="26"/>
          <w:szCs w:val="26"/>
        </w:rPr>
        <w:t xml:space="preserve">11.2  What the Pilot Context Means in Practice</w:t>
      </w:r>
    </w:p>
    <w:p>
      <w:pPr>
        <w:spacing w:before="80" w:after="120" w:line="276"/>
        <w:jc w:val="both"/>
      </w:pPr>
      <w:r>
        <w:rPr>
          <w:rFonts w:ascii="Arial" w:cs="Arial" w:eastAsia="Arial" w:hAnsi="Arial"/>
          <w:b w:val="false"/>
          <w:bCs w:val="false"/>
          <w:i w:val="false"/>
          <w:iCs w:val="false"/>
          <w:color w:val="1A1A1A"/>
          <w:sz w:val="22"/>
          <w:szCs w:val="22"/>
        </w:rPr>
        <w:t xml:space="preserve">At Keta, monitoring operations are more fully resourced at this stage. The Keta Lagoon Complex Ramsar Site boundary, restoration area boundaries, protection area boundaries, and drone AOI boundaries are mapped and available in the national platform. The PSP network established during the Carbon Inventory Assessment is georeferenced and linked to plot stratification categories. Community Change Agents trained during the December 2025 field process are available to support ongoing quarterly monitoring.</w:t>
      </w:r>
    </w:p>
    <w:p>
      <w:pPr>
        <w:spacing w:before="80" w:after="120" w:line="276"/>
        <w:jc w:val="both"/>
      </w:pPr>
      <w:r>
        <w:rPr>
          <w:rFonts w:ascii="Arial" w:cs="Arial" w:eastAsia="Arial" w:hAnsi="Arial"/>
          <w:b w:val="false"/>
          <w:bCs w:val="false"/>
          <w:i w:val="false"/>
          <w:iCs w:val="false"/>
          <w:color w:val="1A1A1A"/>
          <w:sz w:val="22"/>
          <w:szCs w:val="22"/>
        </w:rPr>
        <w:t xml:space="preserve">The Keta ecosystem health monitoring network — comprising 57 designated sampling stations across hydrological zones — provides the most developed site-level field monitoring infrastructure in the national system at present. This network is connected to the MRV reporting hierarchy and feeds into the environmental pressure surveillance and ecological integrity layers.</w:t>
      </w:r>
    </w:p>
    <w:p>
      <w:pPr>
        <w:pStyle w:val="Heading2"/>
        <w:spacing w:before="300" w:after="160"/>
      </w:pPr>
      <w:r>
        <w:rPr>
          <w:rFonts w:ascii="Arial" w:cs="Arial" w:eastAsia="Arial" w:hAnsi="Arial"/>
          <w:b/>
          <w:bCs/>
          <w:color w:val="1A6B7A"/>
          <w:sz w:val="26"/>
          <w:szCs w:val="26"/>
        </w:rPr>
        <w:t xml:space="preserve">11.3  National Architecture and Pilot Depth</w:t>
      </w:r>
    </w:p>
    <w:p>
      <w:pPr>
        <w:spacing w:before="80" w:after="120" w:line="276"/>
        <w:jc w:val="both"/>
      </w:pPr>
      <w:r>
        <w:rPr>
          <w:rFonts w:ascii="Arial" w:cs="Arial" w:eastAsia="Arial" w:hAnsi="Arial"/>
          <w:b w:val="false"/>
          <w:bCs w:val="false"/>
          <w:i w:val="false"/>
          <w:iCs w:val="false"/>
          <w:color w:val="1A1A1A"/>
          <w:sz w:val="22"/>
          <w:szCs w:val="22"/>
        </w:rPr>
        <w:t xml:space="preserve">The relationship between national architecture and pilot depth is an architecture-plus-layer model: the national MRV framework establishes the consistent governance structure, indicator logic, data standards, and reporting pathway; the Keta pilot layer then operates within that framework with the depth of baseline data and operational readiness currently available at that site.</w:t>
      </w:r>
    </w:p>
    <w:p>
      <w:pPr>
        <w:spacing w:before="80" w:after="120" w:line="276"/>
        <w:jc w:val="both"/>
      </w:pPr>
      <w:r>
        <w:rPr>
          <w:rFonts w:ascii="Arial" w:cs="Arial" w:eastAsia="Arial" w:hAnsi="Arial"/>
          <w:b w:val="false"/>
          <w:bCs w:val="false"/>
          <w:i w:val="false"/>
          <w:iCs w:val="false"/>
          <w:color w:val="1A1A1A"/>
          <w:sz w:val="22"/>
          <w:szCs w:val="22"/>
        </w:rPr>
        <w:t xml:space="preserve">As detailed baselines are completed for other landscapes — including Songor, Muni-Pomadze, and additional priority coastal wetlands — those landscapes will be incorporated into the national system within the same architecture. The Keta pilot provides an operational template and a learning-by-doing foundation for that expansion.</w:t>
      </w:r>
    </w:p>
    <w:p>
      <w:pPr>
        <w:pStyle w:val="Heading2"/>
        <w:spacing w:before="300" w:after="160"/>
      </w:pPr>
      <w:r>
        <w:rPr>
          <w:rFonts w:ascii="Arial" w:cs="Arial" w:eastAsia="Arial" w:hAnsi="Arial"/>
          <w:b/>
          <w:bCs/>
          <w:color w:val="1A6B7A"/>
          <w:sz w:val="26"/>
          <w:szCs w:val="26"/>
        </w:rPr>
        <w:t xml:space="preserve">11.4  Keta Findings in this Report</w:t>
      </w:r>
    </w:p>
    <w:p>
      <w:pPr>
        <w:spacing w:before="80" w:after="120" w:line="276"/>
        <w:jc w:val="both"/>
      </w:pPr>
      <w:r>
        <w:rPr>
          <w:rFonts w:ascii="Arial" w:cs="Arial" w:eastAsia="Arial" w:hAnsi="Arial"/>
          <w:b w:val="false"/>
          <w:bCs w:val="false"/>
          <w:i w:val="false"/>
          <w:iCs w:val="false"/>
          <w:color w:val="1A1A1A"/>
          <w:sz w:val="22"/>
          <w:szCs w:val="22"/>
        </w:rPr>
        <w:t xml:space="preserve">Where Keta-specific data, protocols, or implementation evidence is cited in this report, it is presented with explicit reference to Keta as a pilot context within the national system. Keta-level evidence is not presented as proof of uniform national operational maturity across all landscapes, and national framework claims are not derived solely from Keta implementation traces.</w:t>
      </w:r>
    </w:p>
    <w:p>
      <w:pPr>
        <w:pStyle w:val="Heading1"/>
        <w:pageBreakBefore/>
        <w:spacing w:before="480" w:after="240"/>
      </w:pPr>
      <w:r>
        <w:rPr>
          <w:rFonts w:ascii="Arial" w:cs="Arial" w:eastAsia="Arial" w:hAnsi="Arial"/>
          <w:b/>
          <w:bCs/>
          <w:color w:val="1B4F72"/>
          <w:sz w:val="30"/>
          <w:szCs w:val="30"/>
        </w:rPr>
        <w:t xml:space="preserve">12.  Implementation Status and Readiness</w:t>
      </w:r>
    </w:p>
    <w:p>
      <w:pPr>
        <w:pStyle w:val="Heading2"/>
        <w:spacing w:before="300" w:after="160"/>
      </w:pPr>
      <w:r>
        <w:rPr>
          <w:rFonts w:ascii="Arial" w:cs="Arial" w:eastAsia="Arial" w:hAnsi="Arial"/>
          <w:b/>
          <w:bCs/>
          <w:color w:val="1A6B7A"/>
          <w:sz w:val="26"/>
          <w:szCs w:val="26"/>
        </w:rPr>
        <w:t xml:space="preserve">12.1  Current Status of the Framework</w:t>
      </w:r>
    </w:p>
    <w:p>
      <w:pPr>
        <w:spacing w:before="80" w:after="120" w:line="276"/>
        <w:jc w:val="both"/>
      </w:pPr>
      <w:r>
        <w:rPr>
          <w:rFonts w:ascii="Arial" w:cs="Arial" w:eastAsia="Arial" w:hAnsi="Arial"/>
          <w:b w:val="false"/>
          <w:bCs w:val="false"/>
          <w:i w:val="false"/>
          <w:iCs w:val="false"/>
          <w:color w:val="1A1A1A"/>
          <w:sz w:val="22"/>
          <w:szCs w:val="22"/>
        </w:rPr>
        <w:t xml:space="preserve">The National Blue Carbon MRV Framework has been designed, protocolised, and documented through the 2025 assessment process. The institutional architecture, functional layers, indicator logic, monitoring protocols, data flow structures, and reporting requirements are fully specified. The digital platform has been built as a functioning prototype with national design intent, supporting spatial data management, carbon inventory records, restoration tracking, safeguard documentation, and governance monitoring in a single integrated system.</w:t>
      </w:r>
    </w:p>
    <w:p>
      <w:pPr>
        <w:spacing w:before="80" w:after="120" w:line="276"/>
        <w:jc w:val="both"/>
      </w:pPr>
      <w:r>
        <w:rPr>
          <w:rFonts w:ascii="Arial" w:cs="Arial" w:eastAsia="Arial" w:hAnsi="Arial"/>
          <w:b w:val="false"/>
          <w:bCs w:val="false"/>
          <w:i w:val="false"/>
          <w:iCs w:val="false"/>
          <w:color w:val="1A1A1A"/>
          <w:sz w:val="22"/>
          <w:szCs w:val="22"/>
        </w:rPr>
        <w:t xml:space="preserve">The framework is operational in the context of the Keta pilot. The national architecture is ready for progressive expansion to additional landscapes as baseline assessments are completed. The components described in Sections 4 through 10 of this report reflect the completed design.</w:t>
      </w:r>
    </w:p>
    <w:p>
      <w:pPr>
        <w:pStyle w:val="Heading2"/>
        <w:spacing w:before="300" w:after="160"/>
      </w:pPr>
      <w:r>
        <w:rPr>
          <w:rFonts w:ascii="Arial" w:cs="Arial" w:eastAsia="Arial" w:hAnsi="Arial"/>
          <w:b/>
          <w:bCs/>
          <w:color w:val="1A6B7A"/>
          <w:sz w:val="26"/>
          <w:szCs w:val="26"/>
        </w:rPr>
        <w:t xml:space="preserve">12.2  Components Operational or Demonstrable</w:t>
      </w:r>
    </w:p>
    <w:p>
      <w:pPr>
        <w:pStyle w:val="ListParagraph"/>
        <w:numPr>
          <w:ilvl w:val="0"/>
          <w:numId w:val="2"/>
        </w:numPr>
        <w:spacing w:before="40" w:after="60"/>
      </w:pPr>
      <w:r>
        <w:rPr>
          <w:rFonts w:ascii="Arial" w:cs="Arial" w:eastAsia="Arial" w:hAnsi="Arial"/>
          <w:b w:val="false"/>
          <w:bCs w:val="false"/>
          <w:color w:val="1A1A1A"/>
          <w:sz w:val="22"/>
          <w:szCs w:val="22"/>
        </w:rPr>
        <w:t xml:space="preserve">Georeferenced restoration, protection, and permanent sample plot boundaries for the Keta pilot context;</w:t>
      </w:r>
    </w:p>
    <w:p>
      <w:pPr>
        <w:pStyle w:val="ListParagraph"/>
        <w:numPr>
          <w:ilvl w:val="0"/>
          <w:numId w:val="2"/>
        </w:numPr>
        <w:spacing w:before="40" w:after="60"/>
      </w:pPr>
      <w:r>
        <w:rPr>
          <w:rFonts w:ascii="Arial" w:cs="Arial" w:eastAsia="Arial" w:hAnsi="Arial"/>
          <w:b w:val="false"/>
          <w:bCs w:val="false"/>
          <w:color w:val="1A1A1A"/>
          <w:sz w:val="22"/>
          <w:szCs w:val="22"/>
        </w:rPr>
        <w:t xml:space="preserve">Carbon inventory point datasets for Keta Lagoon Complex and Songor landscapes;</w:t>
      </w:r>
    </w:p>
    <w:p>
      <w:pPr>
        <w:pStyle w:val="ListParagraph"/>
        <w:numPr>
          <w:ilvl w:val="0"/>
          <w:numId w:val="2"/>
        </w:numPr>
        <w:spacing w:before="40" w:after="60"/>
      </w:pPr>
      <w:r>
        <w:rPr>
          <w:rFonts w:ascii="Arial" w:cs="Arial" w:eastAsia="Arial" w:hAnsi="Arial"/>
          <w:b w:val="false"/>
          <w:bCs w:val="false"/>
          <w:color w:val="1A1A1A"/>
          <w:sz w:val="22"/>
          <w:szCs w:val="22"/>
        </w:rPr>
        <w:t xml:space="preserve">Drone Area of Interest KML boundary files for pilot monitoring zones;</w:t>
      </w:r>
    </w:p>
    <w:p>
      <w:pPr>
        <w:pStyle w:val="ListParagraph"/>
        <w:numPr>
          <w:ilvl w:val="0"/>
          <w:numId w:val="2"/>
        </w:numPr>
        <w:spacing w:before="40" w:after="60"/>
      </w:pPr>
      <w:r>
        <w:rPr>
          <w:rFonts w:ascii="Arial" w:cs="Arial" w:eastAsia="Arial" w:hAnsi="Arial"/>
          <w:b w:val="false"/>
          <w:bCs w:val="false"/>
          <w:color w:val="1A1A1A"/>
          <w:sz w:val="22"/>
          <w:szCs w:val="22"/>
        </w:rPr>
        <w:t xml:space="preserve">Digital platform core architecture with multi-domain schema structures covering geospatial, field, soil, carbon, safeguard, and compliance functions;</w:t>
      </w:r>
    </w:p>
    <w:p>
      <w:pPr>
        <w:pStyle w:val="ListParagraph"/>
        <w:numPr>
          <w:ilvl w:val="0"/>
          <w:numId w:val="2"/>
        </w:numPr>
        <w:spacing w:before="40" w:after="60"/>
      </w:pPr>
      <w:r>
        <w:rPr>
          <w:rFonts w:ascii="Arial" w:cs="Arial" w:eastAsia="Arial" w:hAnsi="Arial"/>
          <w:b w:val="false"/>
          <w:bCs w:val="false"/>
          <w:color w:val="1A1A1A"/>
          <w:sz w:val="22"/>
          <w:szCs w:val="22"/>
        </w:rPr>
        <w:t xml:space="preserve">Role-based access control and audit-oriented workflow structures;</w:t>
      </w:r>
    </w:p>
    <w:p>
      <w:pPr>
        <w:pStyle w:val="ListParagraph"/>
        <w:numPr>
          <w:ilvl w:val="0"/>
          <w:numId w:val="2"/>
        </w:numPr>
        <w:spacing w:before="40" w:after="60"/>
      </w:pPr>
      <w:r>
        <w:rPr>
          <w:rFonts w:ascii="Arial" w:cs="Arial" w:eastAsia="Arial" w:hAnsi="Arial"/>
          <w:b w:val="false"/>
          <w:bCs w:val="false"/>
          <w:color w:val="1A1A1A"/>
          <w:sz w:val="22"/>
          <w:szCs w:val="22"/>
        </w:rPr>
        <w:t xml:space="preserve">Carbon calculation functions and SOP documentation within the platform repository;</w:t>
      </w:r>
    </w:p>
    <w:p>
      <w:pPr>
        <w:pStyle w:val="ListParagraph"/>
        <w:numPr>
          <w:ilvl w:val="0"/>
          <w:numId w:val="2"/>
        </w:numPr>
        <w:spacing w:before="40" w:after="60"/>
      </w:pPr>
      <w:r>
        <w:rPr>
          <w:rFonts w:ascii="Arial" w:cs="Arial" w:eastAsia="Arial" w:hAnsi="Arial"/>
          <w:b w:val="false"/>
          <w:bCs w:val="false"/>
          <w:color w:val="1A1A1A"/>
          <w:sz w:val="22"/>
          <w:szCs w:val="22"/>
        </w:rPr>
        <w:t xml:space="preserve">Community Change Agent training and field sampling capacity at Keta and Ada;</w:t>
      </w:r>
    </w:p>
    <w:p>
      <w:pPr>
        <w:pStyle w:val="ListParagraph"/>
        <w:numPr>
          <w:ilvl w:val="0"/>
          <w:numId w:val="2"/>
        </w:numPr>
        <w:spacing w:before="40" w:after="60"/>
      </w:pPr>
      <w:r>
        <w:rPr>
          <w:rFonts w:ascii="Arial" w:cs="Arial" w:eastAsia="Arial" w:hAnsi="Arial"/>
          <w:b w:val="false"/>
          <w:bCs w:val="false"/>
          <w:color w:val="1A1A1A"/>
          <w:sz w:val="22"/>
          <w:szCs w:val="22"/>
        </w:rPr>
        <w:t xml:space="preserve">Field data collection systems and quarterly monitoring protocols in operation.</w:t>
      </w:r>
    </w:p>
    <w:p>
      <w:pPr>
        <w:pStyle w:val="Heading2"/>
        <w:spacing w:before="300" w:after="160"/>
      </w:pPr>
      <w:r>
        <w:rPr>
          <w:rFonts w:ascii="Arial" w:cs="Arial" w:eastAsia="Arial" w:hAnsi="Arial"/>
          <w:b/>
          <w:bCs/>
          <w:color w:val="1A6B7A"/>
          <w:sz w:val="26"/>
          <w:szCs w:val="26"/>
        </w:rPr>
        <w:t xml:space="preserve">12.3  Components Requiring Continued Development</w:t>
      </w:r>
    </w:p>
    <w:p>
      <w:pPr>
        <w:pStyle w:val="ListParagraph"/>
        <w:numPr>
          <w:ilvl w:val="0"/>
          <w:numId w:val="2"/>
        </w:numPr>
        <w:spacing w:before="40" w:after="60"/>
      </w:pPr>
      <w:r>
        <w:rPr>
          <w:rFonts w:ascii="Arial" w:cs="Arial" w:eastAsia="Arial" w:hAnsi="Arial"/>
          <w:b w:val="false"/>
          <w:bCs w:val="false"/>
          <w:color w:val="1A1A1A"/>
          <w:sz w:val="22"/>
          <w:szCs w:val="22"/>
        </w:rPr>
        <w:t xml:space="preserve">Fully automated recurring remote-sensing classification workflows for all national landscapes;</w:t>
      </w:r>
    </w:p>
    <w:p>
      <w:pPr>
        <w:pStyle w:val="ListParagraph"/>
        <w:numPr>
          <w:ilvl w:val="0"/>
          <w:numId w:val="2"/>
        </w:numPr>
        <w:spacing w:before="40" w:after="60"/>
      </w:pPr>
      <w:r>
        <w:rPr>
          <w:rFonts w:ascii="Arial" w:cs="Arial" w:eastAsia="Arial" w:hAnsi="Arial"/>
          <w:b w:val="false"/>
          <w:bCs w:val="false"/>
          <w:color w:val="1A1A1A"/>
          <w:sz w:val="22"/>
          <w:szCs w:val="22"/>
        </w:rPr>
        <w:t xml:space="preserve">Baseline onboarding for additional coastal areas beyond the current pilot context;</w:t>
      </w:r>
    </w:p>
    <w:p>
      <w:pPr>
        <w:pStyle w:val="ListParagraph"/>
        <w:numPr>
          <w:ilvl w:val="0"/>
          <w:numId w:val="2"/>
        </w:numPr>
        <w:spacing w:before="40" w:after="60"/>
      </w:pPr>
      <w:r>
        <w:rPr>
          <w:rFonts w:ascii="Arial" w:cs="Arial" w:eastAsia="Arial" w:hAnsi="Arial"/>
          <w:b w:val="false"/>
          <w:bCs w:val="false"/>
          <w:color w:val="1A1A1A"/>
          <w:sz w:val="22"/>
          <w:szCs w:val="22"/>
        </w:rPr>
        <w:t xml:space="preserve">Complete audit-grade traceability and immutable evidence linkage across all platform modules;</w:t>
      </w:r>
    </w:p>
    <w:p>
      <w:pPr>
        <w:pStyle w:val="ListParagraph"/>
        <w:numPr>
          <w:ilvl w:val="0"/>
          <w:numId w:val="2"/>
        </w:numPr>
        <w:spacing w:before="40" w:after="60"/>
      </w:pPr>
      <w:r>
        <w:rPr>
          <w:rFonts w:ascii="Arial" w:cs="Arial" w:eastAsia="Arial" w:hAnsi="Arial"/>
          <w:b w:val="false"/>
          <w:bCs w:val="false"/>
          <w:color w:val="1A1A1A"/>
          <w:sz w:val="22"/>
          <w:szCs w:val="22"/>
        </w:rPr>
        <w:t xml:space="preserve">Independently verified proof of full national operational deployment at scale;</w:t>
      </w:r>
    </w:p>
    <w:p>
      <w:pPr>
        <w:pStyle w:val="ListParagraph"/>
        <w:numPr>
          <w:ilvl w:val="0"/>
          <w:numId w:val="2"/>
        </w:numPr>
        <w:spacing w:before="40" w:after="60"/>
      </w:pPr>
      <w:r>
        <w:rPr>
          <w:rFonts w:ascii="Arial" w:cs="Arial" w:eastAsia="Arial" w:hAnsi="Arial"/>
          <w:b w:val="false"/>
          <w:bCs w:val="false"/>
          <w:color w:val="1A1A1A"/>
          <w:sz w:val="22"/>
          <w:szCs w:val="22"/>
        </w:rPr>
        <w:t xml:space="preserve">Final data dictionary and annex-ready indicator metadata tables for all monitoring workstreams;</w:t>
      </w:r>
    </w:p>
    <w:p>
      <w:pPr>
        <w:pStyle w:val="ListParagraph"/>
        <w:numPr>
          <w:ilvl w:val="0"/>
          <w:numId w:val="2"/>
        </w:numPr>
        <w:spacing w:before="40" w:after="60"/>
      </w:pPr>
      <w:r>
        <w:rPr>
          <w:rFonts w:ascii="Arial" w:cs="Arial" w:eastAsia="Arial" w:hAnsi="Arial"/>
          <w:b w:val="false"/>
          <w:bCs w:val="false"/>
          <w:color w:val="1A1A1A"/>
          <w:sz w:val="22"/>
          <w:szCs w:val="22"/>
        </w:rPr>
        <w:t xml:space="preserve">Final protocol register and SOP list with approved titles and versions.</w:t>
      </w:r>
    </w:p>
    <w:p>
      <w:pPr>
        <w:spacing w:before="0" w:after="8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 current evidence supports characterising the system as a functioning MRV prototype with strong national design intent, protocolised workstream logic, and pilot-linked implementation traces, with automation and audit hardening continuing in line with platform development cycles.</w:t>
      </w:r>
    </w:p>
    <w:p>
      <w:pPr>
        <w:pStyle w:val="Heading2"/>
        <w:spacing w:before="300" w:after="160"/>
      </w:pPr>
      <w:r>
        <w:rPr>
          <w:rFonts w:ascii="Arial" w:cs="Arial" w:eastAsia="Arial" w:hAnsi="Arial"/>
          <w:b/>
          <w:bCs/>
          <w:color w:val="1A6B7A"/>
          <w:sz w:val="26"/>
          <w:szCs w:val="26"/>
        </w:rPr>
        <w:t xml:space="preserve">12.4  Alignment with International Standards</w:t>
      </w:r>
    </w:p>
    <w:p>
      <w:pPr>
        <w:spacing w:before="80" w:after="120" w:line="276"/>
        <w:jc w:val="both"/>
      </w:pPr>
      <w:r>
        <w:rPr>
          <w:rFonts w:ascii="Arial" w:cs="Arial" w:eastAsia="Arial" w:hAnsi="Arial"/>
          <w:b w:val="false"/>
          <w:bCs w:val="false"/>
          <w:i w:val="false"/>
          <w:iCs w:val="false"/>
          <w:color w:val="1A1A1A"/>
          <w:sz w:val="22"/>
          <w:szCs w:val="22"/>
        </w:rPr>
        <w:t xml:space="preserve">The framework's design has been informed by comparative review of established blue carbon MRV practice, including Verra blue carbon methodologies, the Inter-American Development Bank regional blue carbon MRV mechanism, and digital mangrove MRV platform examples. The key lessons applied in this framework are: an explicit method chain from baseline through sampling to QA/QC to verification trigger to report; harmonised field protocols and explicit links to national GHG accounting; and digital chain-of-custody supporting continuous monitoring rather than periodic inspection.</w:t>
      </w:r>
    </w:p>
    <w:p>
      <w:pPr>
        <w:spacing w:before="80" w:after="120" w:line="276"/>
        <w:jc w:val="both"/>
      </w:pPr>
      <w:r>
        <w:rPr>
          <w:rFonts w:ascii="Arial" w:cs="Arial" w:eastAsia="Arial" w:hAnsi="Arial"/>
          <w:b w:val="false"/>
          <w:bCs w:val="false"/>
          <w:i w:val="false"/>
          <w:iCs w:val="false"/>
          <w:color w:val="1A1A1A"/>
          <w:sz w:val="22"/>
          <w:szCs w:val="22"/>
        </w:rPr>
        <w:t xml:space="preserve">Ghana's framework incorporates these lessons while maintaining institutional grounding in national governance systems and the CREMA community management architecture.</w:t>
      </w:r>
    </w:p>
    <w:p>
      <w:pPr>
        <w:pStyle w:val="Heading1"/>
        <w:pageBreakBefore/>
        <w:spacing w:before="480" w:after="240"/>
      </w:pPr>
      <w:r>
        <w:rPr>
          <w:rFonts w:ascii="Arial" w:cs="Arial" w:eastAsia="Arial" w:hAnsi="Arial"/>
          <w:b/>
          <w:bCs/>
          <w:color w:val="1B4F72"/>
          <w:sz w:val="30"/>
          <w:szCs w:val="30"/>
        </w:rPr>
        <w:t xml:space="preserve">Annex A — Placeholder Register for Pending Deliverables</w:t>
      </w:r>
    </w:p>
    <w:p>
      <w:pPr>
        <w:spacing w:before="80" w:after="120" w:line="276"/>
        <w:jc w:val="both"/>
      </w:pPr>
      <w:r>
        <w:rPr>
          <w:rFonts w:ascii="Arial" w:cs="Arial" w:eastAsia="Arial" w:hAnsi="Arial"/>
          <w:b w:val="false"/>
          <w:bCs w:val="false"/>
          <w:i w:val="false"/>
          <w:iCs w:val="false"/>
          <w:color w:val="1A1A1A"/>
          <w:sz w:val="22"/>
          <w:szCs w:val="22"/>
        </w:rPr>
        <w:t xml:space="preserve">The following items are required for finalisation of this report and will be inserted when available. Each placeholder is cross-referenced to the section of this report where the content will be incorporated.</w:t>
      </w:r>
    </w:p>
    <w:p>
      <w:pPr>
        <w:spacing w:before="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c>
          <w:tcPr>
            <w:tcW w:type="dxa" w:w="3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Item</w:t>
            </w:r>
          </w:p>
        </w:tc>
        <w:tc>
          <w:tcPr>
            <w:tcW w:type="dxa" w:w="4000"/>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Description</w:t>
            </w:r>
          </w:p>
        </w:tc>
        <w:tc>
          <w:tcPr>
            <w:tcW w:type="dxa" w:w="2638"/>
            <w:tcBorders>
              <w:top w:val="single" w:color="A8C8D8" w:sz="1"/>
              <w:left w:val="single" w:color="A8C8D8" w:sz="1"/>
              <w:bottom w:val="single" w:color="A8C8D8" w:sz="1"/>
              <w:right w:val="single" w:color="A8C8D8" w:sz="1"/>
            </w:tcBorders>
            <w:shd w:fill="D5E8F0"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20"/>
                <w:szCs w:val="20"/>
              </w:rPr>
              <w:t xml:space="preserve">Report section</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MRV Platform Dashboard Screenshot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National overview dashboard showing spatial layers, active monitoring, and system status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8.2</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Hotspot and Alert Export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Representative export showing detected pressure hotspots and system alert function</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8.4 and 10.6</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Role-View or Workflow Export</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Dashboard view showing role-based access and workflow structure</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8.5 and 10.6</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Carbon Inventory Summary Table</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Verified carbon stock values by pool and stratification unit from the Carbon Inventory Assessment</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Section 9.9</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Indicator Lineage Table</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Full indicator register showing source data, collection frequency, responsible actor, validation step, storage point, and reporting output for each MRV indicator</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B (pending)</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Protocol and SOP Register</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Final annex-ready register of protocols, SOPs, and manuals with approved titles and versions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C (pending)</w:t>
            </w:r>
          </w:p>
        </w:tc>
      </w:tr>
      <w:tr>
        <w:tc>
          <w:tcPr>
            <w:tcW w:type="dxa" w:w="3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Final Data Dictionary</w:t>
            </w:r>
          </w:p>
        </w:tc>
        <w:tc>
          <w:tcPr>
            <w:tcW w:type="dxa" w:w="4000"/>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Complete data dictionary for all MRV system fields, variables, and metadata requirements</w:t>
            </w:r>
          </w:p>
        </w:tc>
        <w:tc>
          <w:tcPr>
            <w:tcW w:type="dxa" w:w="2638"/>
            <w:tcBorders>
              <w:top w:val="single" w:color="A8C8D8" w:sz="1"/>
              <w:left w:val="single" w:color="A8C8D8" w:sz="1"/>
              <w:bottom w:val="single" w:color="A8C8D8" w:sz="1"/>
              <w:right w:val="single" w:color="A8C8D8"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20"/>
                <w:szCs w:val="20"/>
              </w:rPr>
              <w:t xml:space="preserve">Annex D (pending)</w:t>
            </w:r>
          </w:p>
        </w:tc>
      </w:tr>
    </w:tbl>
    <w:p>
      <w:pPr>
        <w:spacing w:before="0" w:after="120"/>
      </w:pPr>
      <w:r>
        <w:t xml:space="preserve"/>
      </w:r>
    </w:p>
    <w:p>
      <w:pPr>
        <w:spacing w:before="80" w:after="120" w:line="276"/>
        <w:jc w:val="both"/>
      </w:pPr>
      <w:r>
        <w:rPr>
          <w:rFonts w:ascii="Arial" w:cs="Arial" w:eastAsia="Arial" w:hAnsi="Arial"/>
          <w:b w:val="false"/>
          <w:bCs w:val="false"/>
          <w:i w:val="false"/>
          <w:iCs w:val="false"/>
          <w:color w:val="1A1A1A"/>
          <w:sz w:val="22"/>
          <w:szCs w:val="22"/>
        </w:rPr>
        <w:t xml:space="preserve">These items do not affect the completeness of the MRV Framework design as documented in this report. They represent final evidence and visual outputs that will be added to specific sections and annexes as they become available.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A" w:sz="4" w:space="1"/>
      </w:pBdr>
      <w:spacing w:before="80" w:after="0"/>
      <w:jc w:val="center"/>
    </w:pPr>
    <w:r>
      <w:rPr>
        <w:rFonts w:ascii="Arial" w:cs="Arial" w:eastAsia="Arial" w:hAnsi="Arial"/>
        <w:i/>
        <w:iCs/>
        <w:color w:val="888888"/>
        <w:sz w:val="18"/>
        <w:szCs w:val="18"/>
      </w:rPr>
      <w:t xml:space="preserve">Confidential — Draft for Review</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4" w:space="1"/>
      </w:pBdr>
      <w:spacing w:before="0" w:after="120"/>
    </w:pPr>
    <w:r>
      <w:rPr>
        <w:rFonts w:ascii="Arial" w:cs="Arial" w:eastAsia="Arial" w:hAnsi="Arial"/>
        <w:color w:val="1A6B7A"/>
        <w:sz w:val="18"/>
        <w:szCs w:val="18"/>
      </w:rPr>
      <w:t xml:space="preserve">Ghana National Blue Carbon MRV Framework</w:t>
    </w:r>
    <w:r>
      <w:rPr>
        <w:rFonts w:ascii="Arial" w:cs="Arial" w:eastAsia="Arial" w:hAnsi="Arial"/>
        <w:color w:val="888888"/>
        <w:sz w:val="18"/>
        <w:szCs w:val="18"/>
      </w:rPr>
      <w:t xml:space="preserve">  |  Standalone Report  |  GAB Climate Smart Investment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4F72"/>
      <w:sz w:val="30"/>
      <w:szCs w:val="30"/>
    </w:rPr>
  </w:style>
  <w:style w:type="paragraph" w:styleId="Heading2">
    <w:name w:val="Heading 2"/>
    <w:basedOn w:val="Normal"/>
    <w:next w:val="Normal"/>
    <w:qFormat/>
    <w:pPr>
      <w:spacing w:before="300" w:after="160"/>
      <w:outlineLvl w:val="1"/>
    </w:pPr>
    <w:rPr>
      <w:rFonts w:ascii="Arial" w:cs="Arial" w:eastAsia="Arial" w:hAnsi="Arial"/>
      <w:b/>
      <w:bCs/>
      <w:color w:val="1A6B7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2026-03-23T15:02:01.780Z</dcterms:created>
  <dcterms:modified xsi:type="dcterms:W3CDTF">2026-03-23T15:02:01.780Z</dcterms:modified>
</cp:coreProperties>
</file>

<file path=docProps/custom.xml><?xml version="1.0" encoding="utf-8"?>
<Properties xmlns="http://schemas.openxmlformats.org/officeDocument/2006/custom-properties" xmlns:vt="http://schemas.openxmlformats.org/officeDocument/2006/docPropsVTypes"/>
</file>