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50561" w14:textId="77777777" w:rsidR="00EB2F85" w:rsidRDefault="00EB2F85" w:rsidP="00C50695">
      <w:pPr>
        <w:spacing w:before="2880" w:after="0"/>
      </w:pPr>
    </w:p>
    <w:p w14:paraId="10550562" w14:textId="77777777" w:rsidR="00EB2F85" w:rsidRDefault="00000000">
      <w:pPr>
        <w:spacing w:after="120"/>
        <w:jc w:val="center"/>
      </w:pPr>
      <w:r>
        <w:rPr>
          <w:b/>
          <w:color w:val="1A3A5C"/>
          <w:sz w:val="16"/>
        </w:rPr>
        <w:t>World Bank WACA ResIP 2 • Project P175625 • Ghana</w:t>
      </w:r>
    </w:p>
    <w:p w14:paraId="10550563" w14:textId="77777777" w:rsidR="00EB2F85" w:rsidRDefault="00000000">
      <w:pPr>
        <w:spacing w:before="480" w:after="120"/>
        <w:jc w:val="center"/>
      </w:pPr>
      <w:r>
        <w:rPr>
          <w:b/>
          <w:color w:val="1A3A5C"/>
          <w:sz w:val="44"/>
        </w:rPr>
        <w:t>Assessment of Blue Carbon</w:t>
      </w:r>
    </w:p>
    <w:p w14:paraId="10550564" w14:textId="77777777" w:rsidR="00EB2F85" w:rsidRDefault="00000000">
      <w:pPr>
        <w:spacing w:after="240"/>
        <w:jc w:val="center"/>
      </w:pPr>
      <w:r>
        <w:rPr>
          <w:b/>
          <w:color w:val="1A3A5C"/>
          <w:sz w:val="44"/>
        </w:rPr>
        <w:t>Ecosystem Potentials of Ghana</w:t>
      </w:r>
    </w:p>
    <w:p w14:paraId="10550565" w14:textId="77777777" w:rsidR="00EB2F85" w:rsidRDefault="00000000">
      <w:pPr>
        <w:pBdr>
          <w:bottom w:val="single" w:sz="6" w:space="4" w:color="2E6FA3"/>
        </w:pBdr>
        <w:spacing w:after="480"/>
        <w:jc w:val="center"/>
      </w:pPr>
      <w:r>
        <w:rPr>
          <w:b/>
          <w:color w:val="2E6FA3"/>
          <w:sz w:val="32"/>
        </w:rPr>
        <w:t>National Blue Carbon MRV Framework</w:t>
      </w:r>
    </w:p>
    <w:p w14:paraId="10550566" w14:textId="77777777" w:rsidR="00EB2F85" w:rsidRDefault="00000000">
      <w:pPr>
        <w:spacing w:before="240" w:after="120"/>
        <w:jc w:val="center"/>
      </w:pPr>
      <w:r>
        <w:rPr>
          <w:color w:val="2E6FA3"/>
          <w:sz w:val="26"/>
        </w:rPr>
        <w:t>Standalone Report: Monitoring, Reporting, and Verification</w:t>
      </w:r>
    </w:p>
    <w:p w14:paraId="10550567" w14:textId="77777777" w:rsidR="00EB2F85" w:rsidRDefault="00000000">
      <w:pPr>
        <w:spacing w:before="1440" w:after="120"/>
        <w:jc w:val="center"/>
      </w:pPr>
      <w:r>
        <w:rPr>
          <w:color w:val="404040"/>
        </w:rPr>
        <w:t>Delivered to the Ministry of Environment, Science, Technology and Innovation (MESTI)</w:t>
      </w:r>
    </w:p>
    <w:p w14:paraId="10550568" w14:textId="77777777" w:rsidR="00EB2F85" w:rsidRDefault="00000000">
      <w:pPr>
        <w:spacing w:after="120"/>
        <w:jc w:val="center"/>
      </w:pPr>
      <w:r>
        <w:rPr>
          <w:color w:val="404040"/>
        </w:rPr>
        <w:t>and the Ministry of Lands and Natural Resources (MLNR)</w:t>
      </w:r>
    </w:p>
    <w:p w14:paraId="10550569" w14:textId="77777777" w:rsidR="00EB2F85" w:rsidRDefault="00000000">
      <w:pPr>
        <w:spacing w:before="480" w:after="120"/>
        <w:jc w:val="center"/>
      </w:pPr>
      <w:r>
        <w:rPr>
          <w:b/>
          <w:color w:val="1A3A5C"/>
        </w:rPr>
        <w:t>Authored by Ecological Nest Ltd</w:t>
      </w:r>
    </w:p>
    <w:p w14:paraId="1055056A" w14:textId="77777777" w:rsidR="00EB2F85" w:rsidRDefault="00000000">
      <w:pPr>
        <w:spacing w:after="120"/>
        <w:jc w:val="center"/>
      </w:pPr>
      <w:r>
        <w:rPr>
          <w:color w:val="404040"/>
        </w:rPr>
        <w:t>March 2026</w:t>
      </w:r>
    </w:p>
    <w:p w14:paraId="1055056B" w14:textId="77777777" w:rsidR="00EB2F85" w:rsidRDefault="00000000">
      <w:pPr>
        <w:spacing w:before="1440" w:after="0"/>
        <w:jc w:val="center"/>
      </w:pPr>
      <w:r>
        <w:rPr>
          <w:color w:val="808080"/>
          <w:sz w:val="16"/>
        </w:rPr>
        <w:t>This document is a formal government deliverable under the West Africa Coastal Areas</w:t>
      </w:r>
    </w:p>
    <w:p w14:paraId="1055056C" w14:textId="77777777" w:rsidR="00EB2F85" w:rsidRDefault="00000000">
      <w:pPr>
        <w:spacing w:after="0"/>
        <w:jc w:val="center"/>
      </w:pPr>
      <w:r>
        <w:rPr>
          <w:color w:val="808080"/>
          <w:sz w:val="16"/>
        </w:rPr>
        <w:t>Resilience Investment Project (WACA ResIP 2, P175625), Republic of Ghana.</w:t>
      </w:r>
    </w:p>
    <w:p w14:paraId="1055056D" w14:textId="77777777" w:rsidR="00EB2F85" w:rsidRDefault="00EB2F85">
      <w:pPr>
        <w:sectPr w:rsidR="00EB2F85">
          <w:pgSz w:w="11906" w:h="16838"/>
          <w:pgMar w:top="1440" w:right="1440" w:bottom="1440" w:left="1800" w:header="720" w:footer="720" w:gutter="0"/>
          <w:pgNumType w:fmt="none"/>
          <w:cols w:space="720"/>
        </w:sectPr>
      </w:pPr>
    </w:p>
    <w:sdt>
      <w:sdtPr>
        <w:rPr>
          <w:rFonts w:ascii="Arial" w:eastAsia="Times New Roman" w:hAnsi="Arial" w:cs="Arial"/>
          <w:smallCaps w:val="0"/>
          <w:spacing w:val="0"/>
          <w:sz w:val="24"/>
          <w:szCs w:val="24"/>
        </w:rPr>
        <w:id w:val="246311215"/>
        <w:docPartObj>
          <w:docPartGallery w:val="Table of Contents"/>
          <w:docPartUnique/>
        </w:docPartObj>
      </w:sdtPr>
      <w:sdtEndPr>
        <w:rPr>
          <w:rFonts w:asciiTheme="minorHAnsi" w:eastAsiaTheme="minorEastAsia" w:hAnsiTheme="minorHAnsi" w:cstheme="minorBidi"/>
          <w:sz w:val="20"/>
          <w:szCs w:val="20"/>
        </w:rPr>
      </w:sdtEndPr>
      <w:sdtContent>
        <w:p w14:paraId="1055056E" w14:textId="77777777" w:rsidR="00EB2F85" w:rsidRDefault="00000000">
          <w:pPr>
            <w:pStyle w:val="TOCHeading"/>
          </w:pPr>
          <w:r>
            <w:t>Table of Contents</w:t>
          </w:r>
        </w:p>
        <w:p w14:paraId="0B372A61" w14:textId="3C09F3CC" w:rsidR="00227C3F" w:rsidRDefault="00000000">
          <w:pPr>
            <w:pStyle w:val="TOC1"/>
            <w:tabs>
              <w:tab w:val="right" w:leader="dot" w:pos="9350"/>
            </w:tabs>
            <w:rPr>
              <w:noProof/>
              <w:kern w:val="2"/>
              <w:sz w:val="24"/>
              <w:szCs w:val="24"/>
              <w:lang w:val="en-GH" w:eastAsia="en-GB"/>
              <w14:ligatures w14:val="standardContextual"/>
            </w:rPr>
          </w:pPr>
          <w:r>
            <w:fldChar w:fldCharType="begin"/>
          </w:r>
          <w:r>
            <w:instrText>TOC \o "1-2" \h \z \u</w:instrText>
          </w:r>
          <w:r>
            <w:fldChar w:fldCharType="separate"/>
          </w:r>
          <w:hyperlink w:anchor="_Toc226177987" w:history="1">
            <w:r w:rsidR="00227C3F" w:rsidRPr="00C32D67">
              <w:rPr>
                <w:rStyle w:val="Hyperlink"/>
                <w:noProof/>
              </w:rPr>
              <w:t>Executive Summary</w:t>
            </w:r>
            <w:r w:rsidR="00227C3F">
              <w:rPr>
                <w:noProof/>
                <w:webHidden/>
              </w:rPr>
              <w:tab/>
            </w:r>
            <w:r w:rsidR="00227C3F">
              <w:rPr>
                <w:noProof/>
                <w:webHidden/>
              </w:rPr>
              <w:fldChar w:fldCharType="begin"/>
            </w:r>
            <w:r w:rsidR="00227C3F">
              <w:rPr>
                <w:noProof/>
                <w:webHidden/>
              </w:rPr>
              <w:instrText xml:space="preserve"> PAGEREF _Toc226177987 \h </w:instrText>
            </w:r>
            <w:r w:rsidR="00227C3F">
              <w:rPr>
                <w:noProof/>
                <w:webHidden/>
              </w:rPr>
            </w:r>
            <w:r w:rsidR="00227C3F">
              <w:rPr>
                <w:noProof/>
                <w:webHidden/>
              </w:rPr>
              <w:fldChar w:fldCharType="separate"/>
            </w:r>
            <w:r w:rsidR="00227C3F">
              <w:rPr>
                <w:noProof/>
                <w:webHidden/>
              </w:rPr>
              <w:t>3</w:t>
            </w:r>
            <w:r w:rsidR="00227C3F">
              <w:rPr>
                <w:noProof/>
                <w:webHidden/>
              </w:rPr>
              <w:fldChar w:fldCharType="end"/>
            </w:r>
          </w:hyperlink>
        </w:p>
        <w:p w14:paraId="5E617439" w14:textId="3706EF51" w:rsidR="00227C3F" w:rsidRDefault="00227C3F">
          <w:pPr>
            <w:pStyle w:val="TOC1"/>
            <w:tabs>
              <w:tab w:val="right" w:leader="dot" w:pos="9350"/>
            </w:tabs>
            <w:rPr>
              <w:noProof/>
              <w:kern w:val="2"/>
              <w:sz w:val="24"/>
              <w:szCs w:val="24"/>
              <w:lang w:val="en-GH" w:eastAsia="en-GB"/>
              <w14:ligatures w14:val="standardContextual"/>
            </w:rPr>
          </w:pPr>
          <w:hyperlink w:anchor="_Toc226177988" w:history="1">
            <w:r w:rsidRPr="00C32D67">
              <w:rPr>
                <w:rStyle w:val="Hyperlink"/>
                <w:noProof/>
              </w:rPr>
              <w:t>Chapter 1: Introduction</w:t>
            </w:r>
            <w:r>
              <w:rPr>
                <w:noProof/>
                <w:webHidden/>
              </w:rPr>
              <w:tab/>
            </w:r>
            <w:r>
              <w:rPr>
                <w:noProof/>
                <w:webHidden/>
              </w:rPr>
              <w:fldChar w:fldCharType="begin"/>
            </w:r>
            <w:r>
              <w:rPr>
                <w:noProof/>
                <w:webHidden/>
              </w:rPr>
              <w:instrText xml:space="preserve"> PAGEREF _Toc226177988 \h </w:instrText>
            </w:r>
            <w:r>
              <w:rPr>
                <w:noProof/>
                <w:webHidden/>
              </w:rPr>
            </w:r>
            <w:r>
              <w:rPr>
                <w:noProof/>
                <w:webHidden/>
              </w:rPr>
              <w:fldChar w:fldCharType="separate"/>
            </w:r>
            <w:r>
              <w:rPr>
                <w:noProof/>
                <w:webHidden/>
              </w:rPr>
              <w:t>5</w:t>
            </w:r>
            <w:r>
              <w:rPr>
                <w:noProof/>
                <w:webHidden/>
              </w:rPr>
              <w:fldChar w:fldCharType="end"/>
            </w:r>
          </w:hyperlink>
        </w:p>
        <w:p w14:paraId="5BB49642" w14:textId="4DB465D4" w:rsidR="00227C3F" w:rsidRDefault="00227C3F">
          <w:pPr>
            <w:pStyle w:val="TOC2"/>
            <w:tabs>
              <w:tab w:val="right" w:leader="dot" w:pos="9350"/>
            </w:tabs>
            <w:rPr>
              <w:noProof/>
              <w:kern w:val="2"/>
              <w:sz w:val="24"/>
              <w:szCs w:val="24"/>
              <w:lang w:val="en-GH" w:eastAsia="en-GB"/>
              <w14:ligatures w14:val="standardContextual"/>
            </w:rPr>
          </w:pPr>
          <w:hyperlink w:anchor="_Toc226177989" w:history="1">
            <w:r w:rsidRPr="00C32D67">
              <w:rPr>
                <w:rStyle w:val="Hyperlink"/>
                <w:noProof/>
              </w:rPr>
              <w:t>1.1 The WACA Blue Carbon Assignment</w:t>
            </w:r>
            <w:r>
              <w:rPr>
                <w:noProof/>
                <w:webHidden/>
              </w:rPr>
              <w:tab/>
            </w:r>
            <w:r>
              <w:rPr>
                <w:noProof/>
                <w:webHidden/>
              </w:rPr>
              <w:fldChar w:fldCharType="begin"/>
            </w:r>
            <w:r>
              <w:rPr>
                <w:noProof/>
                <w:webHidden/>
              </w:rPr>
              <w:instrText xml:space="preserve"> PAGEREF _Toc226177989 \h </w:instrText>
            </w:r>
            <w:r>
              <w:rPr>
                <w:noProof/>
                <w:webHidden/>
              </w:rPr>
            </w:r>
            <w:r>
              <w:rPr>
                <w:noProof/>
                <w:webHidden/>
              </w:rPr>
              <w:fldChar w:fldCharType="separate"/>
            </w:r>
            <w:r>
              <w:rPr>
                <w:noProof/>
                <w:webHidden/>
              </w:rPr>
              <w:t>5</w:t>
            </w:r>
            <w:r>
              <w:rPr>
                <w:noProof/>
                <w:webHidden/>
              </w:rPr>
              <w:fldChar w:fldCharType="end"/>
            </w:r>
          </w:hyperlink>
        </w:p>
        <w:p w14:paraId="39F53CDE" w14:textId="294FD099" w:rsidR="00227C3F" w:rsidRDefault="00227C3F">
          <w:pPr>
            <w:pStyle w:val="TOC2"/>
            <w:tabs>
              <w:tab w:val="right" w:leader="dot" w:pos="9350"/>
            </w:tabs>
            <w:rPr>
              <w:noProof/>
              <w:kern w:val="2"/>
              <w:sz w:val="24"/>
              <w:szCs w:val="24"/>
              <w:lang w:val="en-GH" w:eastAsia="en-GB"/>
              <w14:ligatures w14:val="standardContextual"/>
            </w:rPr>
          </w:pPr>
          <w:hyperlink w:anchor="_Toc226177990" w:history="1">
            <w:r w:rsidRPr="00C32D67">
              <w:rPr>
                <w:rStyle w:val="Hyperlink"/>
                <w:noProof/>
              </w:rPr>
              <w:t>1.2 Ghana’s Policy Context</w:t>
            </w:r>
            <w:r>
              <w:rPr>
                <w:noProof/>
                <w:webHidden/>
              </w:rPr>
              <w:tab/>
            </w:r>
            <w:r>
              <w:rPr>
                <w:noProof/>
                <w:webHidden/>
              </w:rPr>
              <w:fldChar w:fldCharType="begin"/>
            </w:r>
            <w:r>
              <w:rPr>
                <w:noProof/>
                <w:webHidden/>
              </w:rPr>
              <w:instrText xml:space="preserve"> PAGEREF _Toc226177990 \h </w:instrText>
            </w:r>
            <w:r>
              <w:rPr>
                <w:noProof/>
                <w:webHidden/>
              </w:rPr>
            </w:r>
            <w:r>
              <w:rPr>
                <w:noProof/>
                <w:webHidden/>
              </w:rPr>
              <w:fldChar w:fldCharType="separate"/>
            </w:r>
            <w:r>
              <w:rPr>
                <w:noProof/>
                <w:webHidden/>
              </w:rPr>
              <w:t>6</w:t>
            </w:r>
            <w:r>
              <w:rPr>
                <w:noProof/>
                <w:webHidden/>
              </w:rPr>
              <w:fldChar w:fldCharType="end"/>
            </w:r>
          </w:hyperlink>
        </w:p>
        <w:p w14:paraId="102CD0CA" w14:textId="51510DE2" w:rsidR="00227C3F" w:rsidRDefault="00227C3F">
          <w:pPr>
            <w:pStyle w:val="TOC2"/>
            <w:tabs>
              <w:tab w:val="right" w:leader="dot" w:pos="9350"/>
            </w:tabs>
            <w:rPr>
              <w:noProof/>
              <w:kern w:val="2"/>
              <w:sz w:val="24"/>
              <w:szCs w:val="24"/>
              <w:lang w:val="en-GH" w:eastAsia="en-GB"/>
              <w14:ligatures w14:val="standardContextual"/>
            </w:rPr>
          </w:pPr>
          <w:hyperlink w:anchor="_Toc226177991" w:history="1">
            <w:r w:rsidRPr="00C32D67">
              <w:rPr>
                <w:rStyle w:val="Hyperlink"/>
                <w:noProof/>
              </w:rPr>
              <w:t>1.3 The Seven-Phase Work Programme</w:t>
            </w:r>
            <w:r>
              <w:rPr>
                <w:noProof/>
                <w:webHidden/>
              </w:rPr>
              <w:tab/>
            </w:r>
            <w:r>
              <w:rPr>
                <w:noProof/>
                <w:webHidden/>
              </w:rPr>
              <w:fldChar w:fldCharType="begin"/>
            </w:r>
            <w:r>
              <w:rPr>
                <w:noProof/>
                <w:webHidden/>
              </w:rPr>
              <w:instrText xml:space="preserve"> PAGEREF _Toc226177991 \h </w:instrText>
            </w:r>
            <w:r>
              <w:rPr>
                <w:noProof/>
                <w:webHidden/>
              </w:rPr>
            </w:r>
            <w:r>
              <w:rPr>
                <w:noProof/>
                <w:webHidden/>
              </w:rPr>
              <w:fldChar w:fldCharType="separate"/>
            </w:r>
            <w:r>
              <w:rPr>
                <w:noProof/>
                <w:webHidden/>
              </w:rPr>
              <w:t>7</w:t>
            </w:r>
            <w:r>
              <w:rPr>
                <w:noProof/>
                <w:webHidden/>
              </w:rPr>
              <w:fldChar w:fldCharType="end"/>
            </w:r>
          </w:hyperlink>
        </w:p>
        <w:p w14:paraId="22529B71" w14:textId="4C1CA465" w:rsidR="00227C3F" w:rsidRDefault="00227C3F">
          <w:pPr>
            <w:pStyle w:val="TOC2"/>
            <w:tabs>
              <w:tab w:val="right" w:leader="dot" w:pos="9350"/>
            </w:tabs>
            <w:rPr>
              <w:noProof/>
              <w:kern w:val="2"/>
              <w:sz w:val="24"/>
              <w:szCs w:val="24"/>
              <w:lang w:val="en-GH" w:eastAsia="en-GB"/>
              <w14:ligatures w14:val="standardContextual"/>
            </w:rPr>
          </w:pPr>
          <w:hyperlink w:anchor="_Toc226177992" w:history="1">
            <w:r w:rsidRPr="00C32D67">
              <w:rPr>
                <w:rStyle w:val="Hyperlink"/>
                <w:noProof/>
              </w:rPr>
              <w:t>1.4 Purpose of This Standalone MRV Report</w:t>
            </w:r>
            <w:r>
              <w:rPr>
                <w:noProof/>
                <w:webHidden/>
              </w:rPr>
              <w:tab/>
            </w:r>
            <w:r>
              <w:rPr>
                <w:noProof/>
                <w:webHidden/>
              </w:rPr>
              <w:fldChar w:fldCharType="begin"/>
            </w:r>
            <w:r>
              <w:rPr>
                <w:noProof/>
                <w:webHidden/>
              </w:rPr>
              <w:instrText xml:space="preserve"> PAGEREF _Toc226177992 \h </w:instrText>
            </w:r>
            <w:r>
              <w:rPr>
                <w:noProof/>
                <w:webHidden/>
              </w:rPr>
            </w:r>
            <w:r>
              <w:rPr>
                <w:noProof/>
                <w:webHidden/>
              </w:rPr>
              <w:fldChar w:fldCharType="separate"/>
            </w:r>
            <w:r>
              <w:rPr>
                <w:noProof/>
                <w:webHidden/>
              </w:rPr>
              <w:t>8</w:t>
            </w:r>
            <w:r>
              <w:rPr>
                <w:noProof/>
                <w:webHidden/>
              </w:rPr>
              <w:fldChar w:fldCharType="end"/>
            </w:r>
          </w:hyperlink>
        </w:p>
        <w:p w14:paraId="56221185" w14:textId="60E83032" w:rsidR="00227C3F" w:rsidRDefault="00227C3F">
          <w:pPr>
            <w:pStyle w:val="TOC2"/>
            <w:tabs>
              <w:tab w:val="right" w:leader="dot" w:pos="9350"/>
            </w:tabs>
            <w:rPr>
              <w:noProof/>
              <w:kern w:val="2"/>
              <w:sz w:val="24"/>
              <w:szCs w:val="24"/>
              <w:lang w:val="en-GH" w:eastAsia="en-GB"/>
              <w14:ligatures w14:val="standardContextual"/>
            </w:rPr>
          </w:pPr>
          <w:hyperlink w:anchor="_Toc226177993" w:history="1">
            <w:r w:rsidRPr="00C32D67">
              <w:rPr>
                <w:rStyle w:val="Hyperlink"/>
                <w:noProof/>
              </w:rPr>
              <w:t>1.5 Geographic Scope</w:t>
            </w:r>
            <w:r>
              <w:rPr>
                <w:noProof/>
                <w:webHidden/>
              </w:rPr>
              <w:tab/>
            </w:r>
            <w:r>
              <w:rPr>
                <w:noProof/>
                <w:webHidden/>
              </w:rPr>
              <w:fldChar w:fldCharType="begin"/>
            </w:r>
            <w:r>
              <w:rPr>
                <w:noProof/>
                <w:webHidden/>
              </w:rPr>
              <w:instrText xml:space="preserve"> PAGEREF _Toc226177993 \h </w:instrText>
            </w:r>
            <w:r>
              <w:rPr>
                <w:noProof/>
                <w:webHidden/>
              </w:rPr>
            </w:r>
            <w:r>
              <w:rPr>
                <w:noProof/>
                <w:webHidden/>
              </w:rPr>
              <w:fldChar w:fldCharType="separate"/>
            </w:r>
            <w:r>
              <w:rPr>
                <w:noProof/>
                <w:webHidden/>
              </w:rPr>
              <w:t>8</w:t>
            </w:r>
            <w:r>
              <w:rPr>
                <w:noProof/>
                <w:webHidden/>
              </w:rPr>
              <w:fldChar w:fldCharType="end"/>
            </w:r>
          </w:hyperlink>
        </w:p>
        <w:p w14:paraId="7407027D" w14:textId="49FF22DD" w:rsidR="00227C3F" w:rsidRDefault="00227C3F">
          <w:pPr>
            <w:pStyle w:val="TOC2"/>
            <w:tabs>
              <w:tab w:val="right" w:leader="dot" w:pos="9350"/>
            </w:tabs>
            <w:rPr>
              <w:noProof/>
              <w:kern w:val="2"/>
              <w:sz w:val="24"/>
              <w:szCs w:val="24"/>
              <w:lang w:val="en-GH" w:eastAsia="en-GB"/>
              <w14:ligatures w14:val="standardContextual"/>
            </w:rPr>
          </w:pPr>
          <w:hyperlink w:anchor="_Toc226177994" w:history="1">
            <w:r w:rsidRPr="00C32D67">
              <w:rPr>
                <w:rStyle w:val="Hyperlink"/>
                <w:noProof/>
              </w:rPr>
              <w:t>1.6 Relationship to the Wider Baseline Package</w:t>
            </w:r>
            <w:r>
              <w:rPr>
                <w:noProof/>
                <w:webHidden/>
              </w:rPr>
              <w:tab/>
            </w:r>
            <w:r>
              <w:rPr>
                <w:noProof/>
                <w:webHidden/>
              </w:rPr>
              <w:fldChar w:fldCharType="begin"/>
            </w:r>
            <w:r>
              <w:rPr>
                <w:noProof/>
                <w:webHidden/>
              </w:rPr>
              <w:instrText xml:space="preserve"> PAGEREF _Toc226177994 \h </w:instrText>
            </w:r>
            <w:r>
              <w:rPr>
                <w:noProof/>
                <w:webHidden/>
              </w:rPr>
            </w:r>
            <w:r>
              <w:rPr>
                <w:noProof/>
                <w:webHidden/>
              </w:rPr>
              <w:fldChar w:fldCharType="separate"/>
            </w:r>
            <w:r>
              <w:rPr>
                <w:noProof/>
                <w:webHidden/>
              </w:rPr>
              <w:t>9</w:t>
            </w:r>
            <w:r>
              <w:rPr>
                <w:noProof/>
                <w:webHidden/>
              </w:rPr>
              <w:fldChar w:fldCharType="end"/>
            </w:r>
          </w:hyperlink>
        </w:p>
        <w:p w14:paraId="4BF77A2F" w14:textId="20F7C7B0" w:rsidR="00227C3F" w:rsidRDefault="00227C3F">
          <w:pPr>
            <w:pStyle w:val="TOC2"/>
            <w:tabs>
              <w:tab w:val="right" w:leader="dot" w:pos="9350"/>
            </w:tabs>
            <w:rPr>
              <w:noProof/>
              <w:kern w:val="2"/>
              <w:sz w:val="24"/>
              <w:szCs w:val="24"/>
              <w:lang w:val="en-GH" w:eastAsia="en-GB"/>
              <w14:ligatures w14:val="standardContextual"/>
            </w:rPr>
          </w:pPr>
          <w:hyperlink w:anchor="_Toc226177995" w:history="1">
            <w:r w:rsidRPr="00C32D67">
              <w:rPr>
                <w:rStyle w:val="Hyperlink"/>
                <w:noProof/>
              </w:rPr>
              <w:t>1.7 Structure of This Report</w:t>
            </w:r>
            <w:r>
              <w:rPr>
                <w:noProof/>
                <w:webHidden/>
              </w:rPr>
              <w:tab/>
            </w:r>
            <w:r>
              <w:rPr>
                <w:noProof/>
                <w:webHidden/>
              </w:rPr>
              <w:fldChar w:fldCharType="begin"/>
            </w:r>
            <w:r>
              <w:rPr>
                <w:noProof/>
                <w:webHidden/>
              </w:rPr>
              <w:instrText xml:space="preserve"> PAGEREF _Toc226177995 \h </w:instrText>
            </w:r>
            <w:r>
              <w:rPr>
                <w:noProof/>
                <w:webHidden/>
              </w:rPr>
            </w:r>
            <w:r>
              <w:rPr>
                <w:noProof/>
                <w:webHidden/>
              </w:rPr>
              <w:fldChar w:fldCharType="separate"/>
            </w:r>
            <w:r>
              <w:rPr>
                <w:noProof/>
                <w:webHidden/>
              </w:rPr>
              <w:t>10</w:t>
            </w:r>
            <w:r>
              <w:rPr>
                <w:noProof/>
                <w:webHidden/>
              </w:rPr>
              <w:fldChar w:fldCharType="end"/>
            </w:r>
          </w:hyperlink>
        </w:p>
        <w:p w14:paraId="701731D1" w14:textId="105FE59F" w:rsidR="00227C3F" w:rsidRDefault="00227C3F">
          <w:pPr>
            <w:pStyle w:val="TOC1"/>
            <w:tabs>
              <w:tab w:val="right" w:leader="dot" w:pos="9350"/>
            </w:tabs>
            <w:rPr>
              <w:noProof/>
              <w:kern w:val="2"/>
              <w:sz w:val="24"/>
              <w:szCs w:val="24"/>
              <w:lang w:val="en-GH" w:eastAsia="en-GB"/>
              <w14:ligatures w14:val="standardContextual"/>
            </w:rPr>
          </w:pPr>
          <w:hyperlink w:anchor="_Toc226177996" w:history="1">
            <w:r w:rsidRPr="00C32D67">
              <w:rPr>
                <w:rStyle w:val="Hyperlink"/>
                <w:noProof/>
              </w:rPr>
              <w:t>Chapter 2: Strategic Context and National Purpose</w:t>
            </w:r>
            <w:r>
              <w:rPr>
                <w:noProof/>
                <w:webHidden/>
              </w:rPr>
              <w:tab/>
            </w:r>
            <w:r>
              <w:rPr>
                <w:noProof/>
                <w:webHidden/>
              </w:rPr>
              <w:fldChar w:fldCharType="begin"/>
            </w:r>
            <w:r>
              <w:rPr>
                <w:noProof/>
                <w:webHidden/>
              </w:rPr>
              <w:instrText xml:space="preserve"> PAGEREF _Toc226177996 \h </w:instrText>
            </w:r>
            <w:r>
              <w:rPr>
                <w:noProof/>
                <w:webHidden/>
              </w:rPr>
            </w:r>
            <w:r>
              <w:rPr>
                <w:noProof/>
                <w:webHidden/>
              </w:rPr>
              <w:fldChar w:fldCharType="separate"/>
            </w:r>
            <w:r>
              <w:rPr>
                <w:noProof/>
                <w:webHidden/>
              </w:rPr>
              <w:t>11</w:t>
            </w:r>
            <w:r>
              <w:rPr>
                <w:noProof/>
                <w:webHidden/>
              </w:rPr>
              <w:fldChar w:fldCharType="end"/>
            </w:r>
          </w:hyperlink>
        </w:p>
        <w:p w14:paraId="44DF0979" w14:textId="6539B3E9" w:rsidR="00227C3F" w:rsidRDefault="00227C3F">
          <w:pPr>
            <w:pStyle w:val="TOC2"/>
            <w:tabs>
              <w:tab w:val="right" w:leader="dot" w:pos="9350"/>
            </w:tabs>
            <w:rPr>
              <w:noProof/>
              <w:kern w:val="2"/>
              <w:sz w:val="24"/>
              <w:szCs w:val="24"/>
              <w:lang w:val="en-GH" w:eastAsia="en-GB"/>
              <w14:ligatures w14:val="standardContextual"/>
            </w:rPr>
          </w:pPr>
          <w:hyperlink w:anchor="_Toc226177997" w:history="1">
            <w:r w:rsidRPr="00C32D67">
              <w:rPr>
                <w:rStyle w:val="Hyperlink"/>
                <w:noProof/>
              </w:rPr>
              <w:t>2.1 West Africa’s Coastal Crisis and Ghana’s National Response</w:t>
            </w:r>
            <w:r>
              <w:rPr>
                <w:noProof/>
                <w:webHidden/>
              </w:rPr>
              <w:tab/>
            </w:r>
            <w:r>
              <w:rPr>
                <w:noProof/>
                <w:webHidden/>
              </w:rPr>
              <w:fldChar w:fldCharType="begin"/>
            </w:r>
            <w:r>
              <w:rPr>
                <w:noProof/>
                <w:webHidden/>
              </w:rPr>
              <w:instrText xml:space="preserve"> PAGEREF _Toc226177997 \h </w:instrText>
            </w:r>
            <w:r>
              <w:rPr>
                <w:noProof/>
                <w:webHidden/>
              </w:rPr>
            </w:r>
            <w:r>
              <w:rPr>
                <w:noProof/>
                <w:webHidden/>
              </w:rPr>
              <w:fldChar w:fldCharType="separate"/>
            </w:r>
            <w:r>
              <w:rPr>
                <w:noProof/>
                <w:webHidden/>
              </w:rPr>
              <w:t>11</w:t>
            </w:r>
            <w:r>
              <w:rPr>
                <w:noProof/>
                <w:webHidden/>
              </w:rPr>
              <w:fldChar w:fldCharType="end"/>
            </w:r>
          </w:hyperlink>
        </w:p>
        <w:p w14:paraId="3B7B4C09" w14:textId="333CC343" w:rsidR="00227C3F" w:rsidRDefault="00227C3F">
          <w:pPr>
            <w:pStyle w:val="TOC2"/>
            <w:tabs>
              <w:tab w:val="right" w:leader="dot" w:pos="9350"/>
            </w:tabs>
            <w:rPr>
              <w:noProof/>
              <w:kern w:val="2"/>
              <w:sz w:val="24"/>
              <w:szCs w:val="24"/>
              <w:lang w:val="en-GH" w:eastAsia="en-GB"/>
              <w14:ligatures w14:val="standardContextual"/>
            </w:rPr>
          </w:pPr>
          <w:hyperlink w:anchor="_Toc226177998" w:history="1">
            <w:r w:rsidRPr="00C32D67">
              <w:rPr>
                <w:rStyle w:val="Hyperlink"/>
                <w:noProof/>
              </w:rPr>
              <w:t>2.2 The Scale of Ghana’s Blue Carbon Resource</w:t>
            </w:r>
            <w:r>
              <w:rPr>
                <w:noProof/>
                <w:webHidden/>
              </w:rPr>
              <w:tab/>
            </w:r>
            <w:r>
              <w:rPr>
                <w:noProof/>
                <w:webHidden/>
              </w:rPr>
              <w:fldChar w:fldCharType="begin"/>
            </w:r>
            <w:r>
              <w:rPr>
                <w:noProof/>
                <w:webHidden/>
              </w:rPr>
              <w:instrText xml:space="preserve"> PAGEREF _Toc226177998 \h </w:instrText>
            </w:r>
            <w:r>
              <w:rPr>
                <w:noProof/>
                <w:webHidden/>
              </w:rPr>
            </w:r>
            <w:r>
              <w:rPr>
                <w:noProof/>
                <w:webHidden/>
              </w:rPr>
              <w:fldChar w:fldCharType="separate"/>
            </w:r>
            <w:r>
              <w:rPr>
                <w:noProof/>
                <w:webHidden/>
              </w:rPr>
              <w:t>12</w:t>
            </w:r>
            <w:r>
              <w:rPr>
                <w:noProof/>
                <w:webHidden/>
              </w:rPr>
              <w:fldChar w:fldCharType="end"/>
            </w:r>
          </w:hyperlink>
        </w:p>
        <w:p w14:paraId="0420D063" w14:textId="6B9DE8BE" w:rsidR="00227C3F" w:rsidRDefault="00227C3F">
          <w:pPr>
            <w:pStyle w:val="TOC2"/>
            <w:tabs>
              <w:tab w:val="right" w:leader="dot" w:pos="9350"/>
            </w:tabs>
            <w:rPr>
              <w:noProof/>
              <w:kern w:val="2"/>
              <w:sz w:val="24"/>
              <w:szCs w:val="24"/>
              <w:lang w:val="en-GH" w:eastAsia="en-GB"/>
              <w14:ligatures w14:val="standardContextual"/>
            </w:rPr>
          </w:pPr>
          <w:hyperlink w:anchor="_Toc226177999" w:history="1">
            <w:r w:rsidRPr="00C32D67">
              <w:rPr>
                <w:rStyle w:val="Hyperlink"/>
                <w:noProof/>
              </w:rPr>
              <w:t>2.3 The Landscape Concentration Risk: Keta, Songor, and Muni-Pomadze</w:t>
            </w:r>
            <w:r>
              <w:rPr>
                <w:noProof/>
                <w:webHidden/>
              </w:rPr>
              <w:tab/>
            </w:r>
            <w:r>
              <w:rPr>
                <w:noProof/>
                <w:webHidden/>
              </w:rPr>
              <w:fldChar w:fldCharType="begin"/>
            </w:r>
            <w:r>
              <w:rPr>
                <w:noProof/>
                <w:webHidden/>
              </w:rPr>
              <w:instrText xml:space="preserve"> PAGEREF _Toc226177999 \h </w:instrText>
            </w:r>
            <w:r>
              <w:rPr>
                <w:noProof/>
                <w:webHidden/>
              </w:rPr>
            </w:r>
            <w:r>
              <w:rPr>
                <w:noProof/>
                <w:webHidden/>
              </w:rPr>
              <w:fldChar w:fldCharType="separate"/>
            </w:r>
            <w:r>
              <w:rPr>
                <w:noProof/>
                <w:webHidden/>
              </w:rPr>
              <w:t>12</w:t>
            </w:r>
            <w:r>
              <w:rPr>
                <w:noProof/>
                <w:webHidden/>
              </w:rPr>
              <w:fldChar w:fldCharType="end"/>
            </w:r>
          </w:hyperlink>
        </w:p>
        <w:p w14:paraId="79E714A4" w14:textId="4B1DAE4D" w:rsidR="00227C3F" w:rsidRDefault="00227C3F">
          <w:pPr>
            <w:pStyle w:val="TOC2"/>
            <w:tabs>
              <w:tab w:val="right" w:leader="dot" w:pos="9350"/>
            </w:tabs>
            <w:rPr>
              <w:noProof/>
              <w:kern w:val="2"/>
              <w:sz w:val="24"/>
              <w:szCs w:val="24"/>
              <w:lang w:val="en-GH" w:eastAsia="en-GB"/>
              <w14:ligatures w14:val="standardContextual"/>
            </w:rPr>
          </w:pPr>
          <w:hyperlink w:anchor="_Toc226178000" w:history="1">
            <w:r w:rsidRPr="00C32D67">
              <w:rPr>
                <w:rStyle w:val="Hyperlink"/>
                <w:noProof/>
              </w:rPr>
              <w:t>2.4 The Drivers of Degradation</w:t>
            </w:r>
            <w:r>
              <w:rPr>
                <w:noProof/>
                <w:webHidden/>
              </w:rPr>
              <w:tab/>
            </w:r>
            <w:r>
              <w:rPr>
                <w:noProof/>
                <w:webHidden/>
              </w:rPr>
              <w:fldChar w:fldCharType="begin"/>
            </w:r>
            <w:r>
              <w:rPr>
                <w:noProof/>
                <w:webHidden/>
              </w:rPr>
              <w:instrText xml:space="preserve"> PAGEREF _Toc226178000 \h </w:instrText>
            </w:r>
            <w:r>
              <w:rPr>
                <w:noProof/>
                <w:webHidden/>
              </w:rPr>
            </w:r>
            <w:r>
              <w:rPr>
                <w:noProof/>
                <w:webHidden/>
              </w:rPr>
              <w:fldChar w:fldCharType="separate"/>
            </w:r>
            <w:r>
              <w:rPr>
                <w:noProof/>
                <w:webHidden/>
              </w:rPr>
              <w:t>13</w:t>
            </w:r>
            <w:r>
              <w:rPr>
                <w:noProof/>
                <w:webHidden/>
              </w:rPr>
              <w:fldChar w:fldCharType="end"/>
            </w:r>
          </w:hyperlink>
        </w:p>
        <w:p w14:paraId="310FDE00" w14:textId="48A5A4EA" w:rsidR="00227C3F" w:rsidRDefault="00227C3F">
          <w:pPr>
            <w:pStyle w:val="TOC2"/>
            <w:tabs>
              <w:tab w:val="right" w:leader="dot" w:pos="9350"/>
            </w:tabs>
            <w:rPr>
              <w:noProof/>
              <w:kern w:val="2"/>
              <w:sz w:val="24"/>
              <w:szCs w:val="24"/>
              <w:lang w:val="en-GH" w:eastAsia="en-GB"/>
              <w14:ligatures w14:val="standardContextual"/>
            </w:rPr>
          </w:pPr>
          <w:hyperlink w:anchor="_Toc226178001" w:history="1">
            <w:r w:rsidRPr="00C32D67">
              <w:rPr>
                <w:rStyle w:val="Hyperlink"/>
                <w:noProof/>
              </w:rPr>
              <w:t>2.5 Ghana’s Climate, Biodiversity, and Carbon Market Obligations</w:t>
            </w:r>
            <w:r>
              <w:rPr>
                <w:noProof/>
                <w:webHidden/>
              </w:rPr>
              <w:tab/>
            </w:r>
            <w:r>
              <w:rPr>
                <w:noProof/>
                <w:webHidden/>
              </w:rPr>
              <w:fldChar w:fldCharType="begin"/>
            </w:r>
            <w:r>
              <w:rPr>
                <w:noProof/>
                <w:webHidden/>
              </w:rPr>
              <w:instrText xml:space="preserve"> PAGEREF _Toc226178001 \h </w:instrText>
            </w:r>
            <w:r>
              <w:rPr>
                <w:noProof/>
                <w:webHidden/>
              </w:rPr>
            </w:r>
            <w:r>
              <w:rPr>
                <w:noProof/>
                <w:webHidden/>
              </w:rPr>
              <w:fldChar w:fldCharType="separate"/>
            </w:r>
            <w:r>
              <w:rPr>
                <w:noProof/>
                <w:webHidden/>
              </w:rPr>
              <w:t>14</w:t>
            </w:r>
            <w:r>
              <w:rPr>
                <w:noProof/>
                <w:webHidden/>
              </w:rPr>
              <w:fldChar w:fldCharType="end"/>
            </w:r>
          </w:hyperlink>
        </w:p>
        <w:p w14:paraId="48C47A98" w14:textId="4803018C" w:rsidR="00227C3F" w:rsidRDefault="00227C3F">
          <w:pPr>
            <w:pStyle w:val="TOC2"/>
            <w:tabs>
              <w:tab w:val="right" w:leader="dot" w:pos="9350"/>
            </w:tabs>
            <w:rPr>
              <w:noProof/>
              <w:kern w:val="2"/>
              <w:sz w:val="24"/>
              <w:szCs w:val="24"/>
              <w:lang w:val="en-GH" w:eastAsia="en-GB"/>
              <w14:ligatures w14:val="standardContextual"/>
            </w:rPr>
          </w:pPr>
          <w:hyperlink w:anchor="_Toc226178002" w:history="1">
            <w:r w:rsidRPr="00C32D67">
              <w:rPr>
                <w:rStyle w:val="Hyperlink"/>
                <w:noProof/>
              </w:rPr>
              <w:t>2.6 The 2025 National Baseline as the Year 0 Foundation</w:t>
            </w:r>
            <w:r>
              <w:rPr>
                <w:noProof/>
                <w:webHidden/>
              </w:rPr>
              <w:tab/>
            </w:r>
            <w:r>
              <w:rPr>
                <w:noProof/>
                <w:webHidden/>
              </w:rPr>
              <w:fldChar w:fldCharType="begin"/>
            </w:r>
            <w:r>
              <w:rPr>
                <w:noProof/>
                <w:webHidden/>
              </w:rPr>
              <w:instrText xml:space="preserve"> PAGEREF _Toc226178002 \h </w:instrText>
            </w:r>
            <w:r>
              <w:rPr>
                <w:noProof/>
                <w:webHidden/>
              </w:rPr>
            </w:r>
            <w:r>
              <w:rPr>
                <w:noProof/>
                <w:webHidden/>
              </w:rPr>
              <w:fldChar w:fldCharType="separate"/>
            </w:r>
            <w:r>
              <w:rPr>
                <w:noProof/>
                <w:webHidden/>
              </w:rPr>
              <w:t>14</w:t>
            </w:r>
            <w:r>
              <w:rPr>
                <w:noProof/>
                <w:webHidden/>
              </w:rPr>
              <w:fldChar w:fldCharType="end"/>
            </w:r>
          </w:hyperlink>
        </w:p>
        <w:p w14:paraId="349FF5D5" w14:textId="7E0805ED" w:rsidR="00227C3F" w:rsidRDefault="00227C3F">
          <w:pPr>
            <w:pStyle w:val="TOC1"/>
            <w:tabs>
              <w:tab w:val="right" w:leader="dot" w:pos="9350"/>
            </w:tabs>
            <w:rPr>
              <w:noProof/>
              <w:kern w:val="2"/>
              <w:sz w:val="24"/>
              <w:szCs w:val="24"/>
              <w:lang w:val="en-GH" w:eastAsia="en-GB"/>
              <w14:ligatures w14:val="standardContextual"/>
            </w:rPr>
          </w:pPr>
          <w:hyperlink w:anchor="_Toc226178003" w:history="1">
            <w:r w:rsidRPr="00C32D67">
              <w:rPr>
                <w:rStyle w:val="Hyperlink"/>
                <w:noProof/>
              </w:rPr>
              <w:t>Chapter 3: National MRV Architecture</w:t>
            </w:r>
            <w:r>
              <w:rPr>
                <w:noProof/>
                <w:webHidden/>
              </w:rPr>
              <w:tab/>
            </w:r>
            <w:r>
              <w:rPr>
                <w:noProof/>
                <w:webHidden/>
              </w:rPr>
              <w:fldChar w:fldCharType="begin"/>
            </w:r>
            <w:r>
              <w:rPr>
                <w:noProof/>
                <w:webHidden/>
              </w:rPr>
              <w:instrText xml:space="preserve"> PAGEREF _Toc226178003 \h </w:instrText>
            </w:r>
            <w:r>
              <w:rPr>
                <w:noProof/>
                <w:webHidden/>
              </w:rPr>
            </w:r>
            <w:r>
              <w:rPr>
                <w:noProof/>
                <w:webHidden/>
              </w:rPr>
              <w:fldChar w:fldCharType="separate"/>
            </w:r>
            <w:r>
              <w:rPr>
                <w:noProof/>
                <w:webHidden/>
              </w:rPr>
              <w:t>15</w:t>
            </w:r>
            <w:r>
              <w:rPr>
                <w:noProof/>
                <w:webHidden/>
              </w:rPr>
              <w:fldChar w:fldCharType="end"/>
            </w:r>
          </w:hyperlink>
        </w:p>
        <w:p w14:paraId="77A6B355" w14:textId="4B868E8C" w:rsidR="00227C3F" w:rsidRDefault="00227C3F">
          <w:pPr>
            <w:pStyle w:val="TOC2"/>
            <w:tabs>
              <w:tab w:val="right" w:leader="dot" w:pos="9350"/>
            </w:tabs>
            <w:rPr>
              <w:noProof/>
              <w:kern w:val="2"/>
              <w:sz w:val="24"/>
              <w:szCs w:val="24"/>
              <w:lang w:val="en-GH" w:eastAsia="en-GB"/>
              <w14:ligatures w14:val="standardContextual"/>
            </w:rPr>
          </w:pPr>
          <w:hyperlink w:anchor="_Toc226178004" w:history="1">
            <w:r w:rsidRPr="00C32D67">
              <w:rPr>
                <w:rStyle w:val="Hyperlink"/>
                <w:noProof/>
              </w:rPr>
              <w:t>3.1 Design Philosophy</w:t>
            </w:r>
            <w:r>
              <w:rPr>
                <w:noProof/>
                <w:webHidden/>
              </w:rPr>
              <w:tab/>
            </w:r>
            <w:r>
              <w:rPr>
                <w:noProof/>
                <w:webHidden/>
              </w:rPr>
              <w:fldChar w:fldCharType="begin"/>
            </w:r>
            <w:r>
              <w:rPr>
                <w:noProof/>
                <w:webHidden/>
              </w:rPr>
              <w:instrText xml:space="preserve"> PAGEREF _Toc226178004 \h </w:instrText>
            </w:r>
            <w:r>
              <w:rPr>
                <w:noProof/>
                <w:webHidden/>
              </w:rPr>
            </w:r>
            <w:r>
              <w:rPr>
                <w:noProof/>
                <w:webHidden/>
              </w:rPr>
              <w:fldChar w:fldCharType="separate"/>
            </w:r>
            <w:r>
              <w:rPr>
                <w:noProof/>
                <w:webHidden/>
              </w:rPr>
              <w:t>15</w:t>
            </w:r>
            <w:r>
              <w:rPr>
                <w:noProof/>
                <w:webHidden/>
              </w:rPr>
              <w:fldChar w:fldCharType="end"/>
            </w:r>
          </w:hyperlink>
        </w:p>
        <w:p w14:paraId="513AC49B" w14:textId="13003435" w:rsidR="00227C3F" w:rsidRDefault="00227C3F">
          <w:pPr>
            <w:pStyle w:val="TOC2"/>
            <w:tabs>
              <w:tab w:val="right" w:leader="dot" w:pos="9350"/>
            </w:tabs>
            <w:rPr>
              <w:noProof/>
              <w:kern w:val="2"/>
              <w:sz w:val="24"/>
              <w:szCs w:val="24"/>
              <w:lang w:val="en-GH" w:eastAsia="en-GB"/>
              <w14:ligatures w14:val="standardContextual"/>
            </w:rPr>
          </w:pPr>
          <w:hyperlink w:anchor="_Toc226178005" w:history="1">
            <w:r w:rsidRPr="00C32D67">
              <w:rPr>
                <w:rStyle w:val="Hyperlink"/>
                <w:noProof/>
              </w:rPr>
              <w:t>3.2 The Four Institutional Tiers</w:t>
            </w:r>
            <w:r>
              <w:rPr>
                <w:noProof/>
                <w:webHidden/>
              </w:rPr>
              <w:tab/>
            </w:r>
            <w:r>
              <w:rPr>
                <w:noProof/>
                <w:webHidden/>
              </w:rPr>
              <w:fldChar w:fldCharType="begin"/>
            </w:r>
            <w:r>
              <w:rPr>
                <w:noProof/>
                <w:webHidden/>
              </w:rPr>
              <w:instrText xml:space="preserve"> PAGEREF _Toc226178005 \h </w:instrText>
            </w:r>
            <w:r>
              <w:rPr>
                <w:noProof/>
                <w:webHidden/>
              </w:rPr>
            </w:r>
            <w:r>
              <w:rPr>
                <w:noProof/>
                <w:webHidden/>
              </w:rPr>
              <w:fldChar w:fldCharType="separate"/>
            </w:r>
            <w:r>
              <w:rPr>
                <w:noProof/>
                <w:webHidden/>
              </w:rPr>
              <w:t>16</w:t>
            </w:r>
            <w:r>
              <w:rPr>
                <w:noProof/>
                <w:webHidden/>
              </w:rPr>
              <w:fldChar w:fldCharType="end"/>
            </w:r>
          </w:hyperlink>
        </w:p>
        <w:p w14:paraId="56954A65" w14:textId="6327F617" w:rsidR="00227C3F" w:rsidRDefault="00227C3F">
          <w:pPr>
            <w:pStyle w:val="TOC2"/>
            <w:tabs>
              <w:tab w:val="right" w:leader="dot" w:pos="9350"/>
            </w:tabs>
            <w:rPr>
              <w:noProof/>
              <w:kern w:val="2"/>
              <w:sz w:val="24"/>
              <w:szCs w:val="24"/>
              <w:lang w:val="en-GH" w:eastAsia="en-GB"/>
              <w14:ligatures w14:val="standardContextual"/>
            </w:rPr>
          </w:pPr>
          <w:hyperlink w:anchor="_Toc226178006" w:history="1">
            <w:r w:rsidRPr="00C32D67">
              <w:rPr>
                <w:rStyle w:val="Hyperlink"/>
                <w:noProof/>
              </w:rPr>
              <w:t>3.3 The Three Functional Layers</w:t>
            </w:r>
            <w:r>
              <w:rPr>
                <w:noProof/>
                <w:webHidden/>
              </w:rPr>
              <w:tab/>
            </w:r>
            <w:r>
              <w:rPr>
                <w:noProof/>
                <w:webHidden/>
              </w:rPr>
              <w:fldChar w:fldCharType="begin"/>
            </w:r>
            <w:r>
              <w:rPr>
                <w:noProof/>
                <w:webHidden/>
              </w:rPr>
              <w:instrText xml:space="preserve"> PAGEREF _Toc226178006 \h </w:instrText>
            </w:r>
            <w:r>
              <w:rPr>
                <w:noProof/>
                <w:webHidden/>
              </w:rPr>
            </w:r>
            <w:r>
              <w:rPr>
                <w:noProof/>
                <w:webHidden/>
              </w:rPr>
              <w:fldChar w:fldCharType="separate"/>
            </w:r>
            <w:r>
              <w:rPr>
                <w:noProof/>
                <w:webHidden/>
              </w:rPr>
              <w:t>18</w:t>
            </w:r>
            <w:r>
              <w:rPr>
                <w:noProof/>
                <w:webHidden/>
              </w:rPr>
              <w:fldChar w:fldCharType="end"/>
            </w:r>
          </w:hyperlink>
        </w:p>
        <w:p w14:paraId="3853E799" w14:textId="432E9057" w:rsidR="00227C3F" w:rsidRDefault="00227C3F">
          <w:pPr>
            <w:pStyle w:val="TOC2"/>
            <w:tabs>
              <w:tab w:val="right" w:leader="dot" w:pos="9350"/>
            </w:tabs>
            <w:rPr>
              <w:noProof/>
              <w:kern w:val="2"/>
              <w:sz w:val="24"/>
              <w:szCs w:val="24"/>
              <w:lang w:val="en-GH" w:eastAsia="en-GB"/>
              <w14:ligatures w14:val="standardContextual"/>
            </w:rPr>
          </w:pPr>
          <w:hyperlink w:anchor="_Toc226178007" w:history="1">
            <w:r w:rsidRPr="00C32D67">
              <w:rPr>
                <w:rStyle w:val="Hyperlink"/>
                <w:noProof/>
              </w:rPr>
              <w:t>3.4 Integration - How the Layers Work Together</w:t>
            </w:r>
            <w:r>
              <w:rPr>
                <w:noProof/>
                <w:webHidden/>
              </w:rPr>
              <w:tab/>
            </w:r>
            <w:r>
              <w:rPr>
                <w:noProof/>
                <w:webHidden/>
              </w:rPr>
              <w:fldChar w:fldCharType="begin"/>
            </w:r>
            <w:r>
              <w:rPr>
                <w:noProof/>
                <w:webHidden/>
              </w:rPr>
              <w:instrText xml:space="preserve"> PAGEREF _Toc226178007 \h </w:instrText>
            </w:r>
            <w:r>
              <w:rPr>
                <w:noProof/>
                <w:webHidden/>
              </w:rPr>
            </w:r>
            <w:r>
              <w:rPr>
                <w:noProof/>
                <w:webHidden/>
              </w:rPr>
              <w:fldChar w:fldCharType="separate"/>
            </w:r>
            <w:r>
              <w:rPr>
                <w:noProof/>
                <w:webHidden/>
              </w:rPr>
              <w:t>20</w:t>
            </w:r>
            <w:r>
              <w:rPr>
                <w:noProof/>
                <w:webHidden/>
              </w:rPr>
              <w:fldChar w:fldCharType="end"/>
            </w:r>
          </w:hyperlink>
        </w:p>
        <w:p w14:paraId="05E8A96F" w14:textId="5C0AC318" w:rsidR="00227C3F" w:rsidRDefault="00227C3F">
          <w:pPr>
            <w:pStyle w:val="TOC2"/>
            <w:tabs>
              <w:tab w:val="right" w:leader="dot" w:pos="9350"/>
            </w:tabs>
            <w:rPr>
              <w:noProof/>
              <w:kern w:val="2"/>
              <w:sz w:val="24"/>
              <w:szCs w:val="24"/>
              <w:lang w:val="en-GH" w:eastAsia="en-GB"/>
              <w14:ligatures w14:val="standardContextual"/>
            </w:rPr>
          </w:pPr>
          <w:hyperlink w:anchor="_Toc226178008" w:history="1">
            <w:r w:rsidRPr="00C32D67">
              <w:rPr>
                <w:rStyle w:val="Hyperlink"/>
                <w:noProof/>
              </w:rPr>
              <w:t>3.5 The Digital Platform as the Connective Architecture</w:t>
            </w:r>
            <w:r>
              <w:rPr>
                <w:noProof/>
                <w:webHidden/>
              </w:rPr>
              <w:tab/>
            </w:r>
            <w:r>
              <w:rPr>
                <w:noProof/>
                <w:webHidden/>
              </w:rPr>
              <w:fldChar w:fldCharType="begin"/>
            </w:r>
            <w:r>
              <w:rPr>
                <w:noProof/>
                <w:webHidden/>
              </w:rPr>
              <w:instrText xml:space="preserve"> PAGEREF _Toc226178008 \h </w:instrText>
            </w:r>
            <w:r>
              <w:rPr>
                <w:noProof/>
                <w:webHidden/>
              </w:rPr>
            </w:r>
            <w:r>
              <w:rPr>
                <w:noProof/>
                <w:webHidden/>
              </w:rPr>
              <w:fldChar w:fldCharType="separate"/>
            </w:r>
            <w:r>
              <w:rPr>
                <w:noProof/>
                <w:webHidden/>
              </w:rPr>
              <w:t>21</w:t>
            </w:r>
            <w:r>
              <w:rPr>
                <w:noProof/>
                <w:webHidden/>
              </w:rPr>
              <w:fldChar w:fldCharType="end"/>
            </w:r>
          </w:hyperlink>
        </w:p>
        <w:p w14:paraId="49B8BA6D" w14:textId="13A2CDF0" w:rsidR="00227C3F" w:rsidRDefault="00227C3F">
          <w:pPr>
            <w:pStyle w:val="TOC1"/>
            <w:tabs>
              <w:tab w:val="right" w:leader="dot" w:pos="9350"/>
            </w:tabs>
            <w:rPr>
              <w:noProof/>
              <w:kern w:val="2"/>
              <w:sz w:val="24"/>
              <w:szCs w:val="24"/>
              <w:lang w:val="en-GH" w:eastAsia="en-GB"/>
              <w14:ligatures w14:val="standardContextual"/>
            </w:rPr>
          </w:pPr>
          <w:hyperlink w:anchor="_Toc226178009" w:history="1">
            <w:r w:rsidRPr="00C32D67">
              <w:rPr>
                <w:rStyle w:val="Hyperlink"/>
                <w:noProof/>
              </w:rPr>
              <w:t>Chapter 4: Ecological and Carbon Integrity Layer</w:t>
            </w:r>
            <w:r>
              <w:rPr>
                <w:noProof/>
                <w:webHidden/>
              </w:rPr>
              <w:tab/>
            </w:r>
            <w:r>
              <w:rPr>
                <w:noProof/>
                <w:webHidden/>
              </w:rPr>
              <w:fldChar w:fldCharType="begin"/>
            </w:r>
            <w:r>
              <w:rPr>
                <w:noProof/>
                <w:webHidden/>
              </w:rPr>
              <w:instrText xml:space="preserve"> PAGEREF _Toc226178009 \h </w:instrText>
            </w:r>
            <w:r>
              <w:rPr>
                <w:noProof/>
                <w:webHidden/>
              </w:rPr>
            </w:r>
            <w:r>
              <w:rPr>
                <w:noProof/>
                <w:webHidden/>
              </w:rPr>
              <w:fldChar w:fldCharType="separate"/>
            </w:r>
            <w:r>
              <w:rPr>
                <w:noProof/>
                <w:webHidden/>
              </w:rPr>
              <w:t>22</w:t>
            </w:r>
            <w:r>
              <w:rPr>
                <w:noProof/>
                <w:webHidden/>
              </w:rPr>
              <w:fldChar w:fldCharType="end"/>
            </w:r>
          </w:hyperlink>
        </w:p>
        <w:p w14:paraId="4ED4BCCA" w14:textId="42A3D4CB" w:rsidR="00227C3F" w:rsidRDefault="00227C3F">
          <w:pPr>
            <w:pStyle w:val="TOC2"/>
            <w:tabs>
              <w:tab w:val="right" w:leader="dot" w:pos="9350"/>
            </w:tabs>
            <w:rPr>
              <w:noProof/>
              <w:kern w:val="2"/>
              <w:sz w:val="24"/>
              <w:szCs w:val="24"/>
              <w:lang w:val="en-GH" w:eastAsia="en-GB"/>
              <w14:ligatures w14:val="standardContextual"/>
            </w:rPr>
          </w:pPr>
          <w:hyperlink w:anchor="_Toc226178010" w:history="1">
            <w:r w:rsidRPr="00C32D67">
              <w:rPr>
                <w:rStyle w:val="Hyperlink"/>
                <w:noProof/>
              </w:rPr>
              <w:t>4.1 Purpose of the Ecological and Carbon Integrity Layer</w:t>
            </w:r>
            <w:r>
              <w:rPr>
                <w:noProof/>
                <w:webHidden/>
              </w:rPr>
              <w:tab/>
            </w:r>
            <w:r>
              <w:rPr>
                <w:noProof/>
                <w:webHidden/>
              </w:rPr>
              <w:fldChar w:fldCharType="begin"/>
            </w:r>
            <w:r>
              <w:rPr>
                <w:noProof/>
                <w:webHidden/>
              </w:rPr>
              <w:instrText xml:space="preserve"> PAGEREF _Toc226178010 \h </w:instrText>
            </w:r>
            <w:r>
              <w:rPr>
                <w:noProof/>
                <w:webHidden/>
              </w:rPr>
            </w:r>
            <w:r>
              <w:rPr>
                <w:noProof/>
                <w:webHidden/>
              </w:rPr>
              <w:fldChar w:fldCharType="separate"/>
            </w:r>
            <w:r>
              <w:rPr>
                <w:noProof/>
                <w:webHidden/>
              </w:rPr>
              <w:t>22</w:t>
            </w:r>
            <w:r>
              <w:rPr>
                <w:noProof/>
                <w:webHidden/>
              </w:rPr>
              <w:fldChar w:fldCharType="end"/>
            </w:r>
          </w:hyperlink>
        </w:p>
        <w:p w14:paraId="525B7F60" w14:textId="59A34120" w:rsidR="00227C3F" w:rsidRDefault="00227C3F">
          <w:pPr>
            <w:pStyle w:val="TOC2"/>
            <w:tabs>
              <w:tab w:val="right" w:leader="dot" w:pos="9350"/>
            </w:tabs>
            <w:rPr>
              <w:noProof/>
              <w:kern w:val="2"/>
              <w:sz w:val="24"/>
              <w:szCs w:val="24"/>
              <w:lang w:val="en-GH" w:eastAsia="en-GB"/>
              <w14:ligatures w14:val="standardContextual"/>
            </w:rPr>
          </w:pPr>
          <w:hyperlink w:anchor="_Toc226178011" w:history="1">
            <w:r w:rsidRPr="00C32D67">
              <w:rPr>
                <w:rStyle w:val="Hyperlink"/>
                <w:noProof/>
              </w:rPr>
              <w:t>4.2 Carbon Pools Assessed</w:t>
            </w:r>
            <w:r>
              <w:rPr>
                <w:noProof/>
                <w:webHidden/>
              </w:rPr>
              <w:tab/>
            </w:r>
            <w:r>
              <w:rPr>
                <w:noProof/>
                <w:webHidden/>
              </w:rPr>
              <w:fldChar w:fldCharType="begin"/>
            </w:r>
            <w:r>
              <w:rPr>
                <w:noProof/>
                <w:webHidden/>
              </w:rPr>
              <w:instrText xml:space="preserve"> PAGEREF _Toc226178011 \h </w:instrText>
            </w:r>
            <w:r>
              <w:rPr>
                <w:noProof/>
                <w:webHidden/>
              </w:rPr>
            </w:r>
            <w:r>
              <w:rPr>
                <w:noProof/>
                <w:webHidden/>
              </w:rPr>
              <w:fldChar w:fldCharType="separate"/>
            </w:r>
            <w:r>
              <w:rPr>
                <w:noProof/>
                <w:webHidden/>
              </w:rPr>
              <w:t>22</w:t>
            </w:r>
            <w:r>
              <w:rPr>
                <w:noProof/>
                <w:webHidden/>
              </w:rPr>
              <w:fldChar w:fldCharType="end"/>
            </w:r>
          </w:hyperlink>
        </w:p>
        <w:p w14:paraId="1B327898" w14:textId="7A07B4AB" w:rsidR="00227C3F" w:rsidRDefault="00227C3F">
          <w:pPr>
            <w:pStyle w:val="TOC2"/>
            <w:tabs>
              <w:tab w:val="right" w:leader="dot" w:pos="9350"/>
            </w:tabs>
            <w:rPr>
              <w:noProof/>
              <w:kern w:val="2"/>
              <w:sz w:val="24"/>
              <w:szCs w:val="24"/>
              <w:lang w:val="en-GH" w:eastAsia="en-GB"/>
              <w14:ligatures w14:val="standardContextual"/>
            </w:rPr>
          </w:pPr>
          <w:hyperlink w:anchor="_Toc226178012" w:history="1">
            <w:r w:rsidRPr="00C32D67">
              <w:rPr>
                <w:rStyle w:val="Hyperlink"/>
                <w:noProof/>
              </w:rPr>
              <w:t>4.3 Temporary/Permanent Sample Plots</w:t>
            </w:r>
            <w:r>
              <w:rPr>
                <w:noProof/>
                <w:webHidden/>
              </w:rPr>
              <w:tab/>
            </w:r>
            <w:r>
              <w:rPr>
                <w:noProof/>
                <w:webHidden/>
              </w:rPr>
              <w:fldChar w:fldCharType="begin"/>
            </w:r>
            <w:r>
              <w:rPr>
                <w:noProof/>
                <w:webHidden/>
              </w:rPr>
              <w:instrText xml:space="preserve"> PAGEREF _Toc226178012 \h </w:instrText>
            </w:r>
            <w:r>
              <w:rPr>
                <w:noProof/>
                <w:webHidden/>
              </w:rPr>
            </w:r>
            <w:r>
              <w:rPr>
                <w:noProof/>
                <w:webHidden/>
              </w:rPr>
              <w:fldChar w:fldCharType="separate"/>
            </w:r>
            <w:r>
              <w:rPr>
                <w:noProof/>
                <w:webHidden/>
              </w:rPr>
              <w:t>23</w:t>
            </w:r>
            <w:r>
              <w:rPr>
                <w:noProof/>
                <w:webHidden/>
              </w:rPr>
              <w:fldChar w:fldCharType="end"/>
            </w:r>
          </w:hyperlink>
        </w:p>
        <w:p w14:paraId="7A491636" w14:textId="0141A559" w:rsidR="00227C3F" w:rsidRDefault="00227C3F">
          <w:pPr>
            <w:pStyle w:val="TOC2"/>
            <w:tabs>
              <w:tab w:val="right" w:leader="dot" w:pos="9350"/>
            </w:tabs>
            <w:rPr>
              <w:noProof/>
              <w:kern w:val="2"/>
              <w:sz w:val="24"/>
              <w:szCs w:val="24"/>
              <w:lang w:val="en-GH" w:eastAsia="en-GB"/>
              <w14:ligatures w14:val="standardContextual"/>
            </w:rPr>
          </w:pPr>
          <w:hyperlink w:anchor="_Toc226178013" w:history="1">
            <w:r w:rsidRPr="00C32D67">
              <w:rPr>
                <w:rStyle w:val="Hyperlink"/>
                <w:noProof/>
              </w:rPr>
              <w:t>4.4 Mangrove Extent Monitoring</w:t>
            </w:r>
            <w:r>
              <w:rPr>
                <w:noProof/>
                <w:webHidden/>
              </w:rPr>
              <w:tab/>
            </w:r>
            <w:r>
              <w:rPr>
                <w:noProof/>
                <w:webHidden/>
              </w:rPr>
              <w:fldChar w:fldCharType="begin"/>
            </w:r>
            <w:r>
              <w:rPr>
                <w:noProof/>
                <w:webHidden/>
              </w:rPr>
              <w:instrText xml:space="preserve"> PAGEREF _Toc226178013 \h </w:instrText>
            </w:r>
            <w:r>
              <w:rPr>
                <w:noProof/>
                <w:webHidden/>
              </w:rPr>
            </w:r>
            <w:r>
              <w:rPr>
                <w:noProof/>
                <w:webHidden/>
              </w:rPr>
              <w:fldChar w:fldCharType="separate"/>
            </w:r>
            <w:r>
              <w:rPr>
                <w:noProof/>
                <w:webHidden/>
              </w:rPr>
              <w:t>23</w:t>
            </w:r>
            <w:r>
              <w:rPr>
                <w:noProof/>
                <w:webHidden/>
              </w:rPr>
              <w:fldChar w:fldCharType="end"/>
            </w:r>
          </w:hyperlink>
        </w:p>
        <w:p w14:paraId="60E62242" w14:textId="61BCAD11" w:rsidR="00227C3F" w:rsidRDefault="00227C3F">
          <w:pPr>
            <w:pStyle w:val="TOC2"/>
            <w:tabs>
              <w:tab w:val="right" w:leader="dot" w:pos="9350"/>
            </w:tabs>
            <w:rPr>
              <w:noProof/>
              <w:kern w:val="2"/>
              <w:sz w:val="24"/>
              <w:szCs w:val="24"/>
              <w:lang w:val="en-GH" w:eastAsia="en-GB"/>
              <w14:ligatures w14:val="standardContextual"/>
            </w:rPr>
          </w:pPr>
          <w:hyperlink w:anchor="_Toc226178014" w:history="1">
            <w:r w:rsidRPr="00C32D67">
              <w:rPr>
                <w:rStyle w:val="Hyperlink"/>
                <w:noProof/>
              </w:rPr>
              <w:t>4.5 Restoration Performance Monitoring</w:t>
            </w:r>
            <w:r>
              <w:rPr>
                <w:noProof/>
                <w:webHidden/>
              </w:rPr>
              <w:tab/>
            </w:r>
            <w:r>
              <w:rPr>
                <w:noProof/>
                <w:webHidden/>
              </w:rPr>
              <w:fldChar w:fldCharType="begin"/>
            </w:r>
            <w:r>
              <w:rPr>
                <w:noProof/>
                <w:webHidden/>
              </w:rPr>
              <w:instrText xml:space="preserve"> PAGEREF _Toc226178014 \h </w:instrText>
            </w:r>
            <w:r>
              <w:rPr>
                <w:noProof/>
                <w:webHidden/>
              </w:rPr>
            </w:r>
            <w:r>
              <w:rPr>
                <w:noProof/>
                <w:webHidden/>
              </w:rPr>
              <w:fldChar w:fldCharType="separate"/>
            </w:r>
            <w:r>
              <w:rPr>
                <w:noProof/>
                <w:webHidden/>
              </w:rPr>
              <w:t>23</w:t>
            </w:r>
            <w:r>
              <w:rPr>
                <w:noProof/>
                <w:webHidden/>
              </w:rPr>
              <w:fldChar w:fldCharType="end"/>
            </w:r>
          </w:hyperlink>
        </w:p>
        <w:p w14:paraId="77BD1591" w14:textId="55C00173" w:rsidR="00227C3F" w:rsidRDefault="00227C3F">
          <w:pPr>
            <w:pStyle w:val="TOC2"/>
            <w:tabs>
              <w:tab w:val="right" w:leader="dot" w:pos="9350"/>
            </w:tabs>
            <w:rPr>
              <w:noProof/>
              <w:kern w:val="2"/>
              <w:sz w:val="24"/>
              <w:szCs w:val="24"/>
              <w:lang w:val="en-GH" w:eastAsia="en-GB"/>
              <w14:ligatures w14:val="standardContextual"/>
            </w:rPr>
          </w:pPr>
          <w:hyperlink w:anchor="_Toc226178015" w:history="1">
            <w:r w:rsidRPr="00C32D67">
              <w:rPr>
                <w:rStyle w:val="Hyperlink"/>
                <w:noProof/>
              </w:rPr>
              <w:t>4.6 The Degradation Baseline and Additionality</w:t>
            </w:r>
            <w:r>
              <w:rPr>
                <w:noProof/>
                <w:webHidden/>
              </w:rPr>
              <w:tab/>
            </w:r>
            <w:r>
              <w:rPr>
                <w:noProof/>
                <w:webHidden/>
              </w:rPr>
              <w:fldChar w:fldCharType="begin"/>
            </w:r>
            <w:r>
              <w:rPr>
                <w:noProof/>
                <w:webHidden/>
              </w:rPr>
              <w:instrText xml:space="preserve"> PAGEREF _Toc226178015 \h </w:instrText>
            </w:r>
            <w:r>
              <w:rPr>
                <w:noProof/>
                <w:webHidden/>
              </w:rPr>
            </w:r>
            <w:r>
              <w:rPr>
                <w:noProof/>
                <w:webHidden/>
              </w:rPr>
              <w:fldChar w:fldCharType="separate"/>
            </w:r>
            <w:r>
              <w:rPr>
                <w:noProof/>
                <w:webHidden/>
              </w:rPr>
              <w:t>24</w:t>
            </w:r>
            <w:r>
              <w:rPr>
                <w:noProof/>
                <w:webHidden/>
              </w:rPr>
              <w:fldChar w:fldCharType="end"/>
            </w:r>
          </w:hyperlink>
        </w:p>
        <w:p w14:paraId="2BF1427B" w14:textId="42544A8D" w:rsidR="00227C3F" w:rsidRDefault="00227C3F">
          <w:pPr>
            <w:pStyle w:val="TOC2"/>
            <w:tabs>
              <w:tab w:val="right" w:leader="dot" w:pos="9350"/>
            </w:tabs>
            <w:rPr>
              <w:noProof/>
              <w:kern w:val="2"/>
              <w:sz w:val="24"/>
              <w:szCs w:val="24"/>
              <w:lang w:val="en-GH" w:eastAsia="en-GB"/>
              <w14:ligatures w14:val="standardContextual"/>
            </w:rPr>
          </w:pPr>
          <w:hyperlink w:anchor="_Toc226178016" w:history="1">
            <w:r w:rsidRPr="00C32D67">
              <w:rPr>
                <w:rStyle w:val="Hyperlink"/>
                <w:noProof/>
              </w:rPr>
              <w:t>4.7 Data Flow from Field to National Record</w:t>
            </w:r>
            <w:r>
              <w:rPr>
                <w:noProof/>
                <w:webHidden/>
              </w:rPr>
              <w:tab/>
            </w:r>
            <w:r>
              <w:rPr>
                <w:noProof/>
                <w:webHidden/>
              </w:rPr>
              <w:fldChar w:fldCharType="begin"/>
            </w:r>
            <w:r>
              <w:rPr>
                <w:noProof/>
                <w:webHidden/>
              </w:rPr>
              <w:instrText xml:space="preserve"> PAGEREF _Toc226178016 \h </w:instrText>
            </w:r>
            <w:r>
              <w:rPr>
                <w:noProof/>
                <w:webHidden/>
              </w:rPr>
            </w:r>
            <w:r>
              <w:rPr>
                <w:noProof/>
                <w:webHidden/>
              </w:rPr>
              <w:fldChar w:fldCharType="separate"/>
            </w:r>
            <w:r>
              <w:rPr>
                <w:noProof/>
                <w:webHidden/>
              </w:rPr>
              <w:t>25</w:t>
            </w:r>
            <w:r>
              <w:rPr>
                <w:noProof/>
                <w:webHidden/>
              </w:rPr>
              <w:fldChar w:fldCharType="end"/>
            </w:r>
          </w:hyperlink>
        </w:p>
        <w:p w14:paraId="61902440" w14:textId="0462D88B" w:rsidR="00227C3F" w:rsidRDefault="00227C3F">
          <w:pPr>
            <w:pStyle w:val="TOC1"/>
            <w:tabs>
              <w:tab w:val="right" w:leader="dot" w:pos="9350"/>
            </w:tabs>
            <w:rPr>
              <w:noProof/>
              <w:kern w:val="2"/>
              <w:sz w:val="24"/>
              <w:szCs w:val="24"/>
              <w:lang w:val="en-GH" w:eastAsia="en-GB"/>
              <w14:ligatures w14:val="standardContextual"/>
            </w:rPr>
          </w:pPr>
          <w:hyperlink w:anchor="_Toc226178017" w:history="1">
            <w:r w:rsidRPr="00C32D67">
              <w:rPr>
                <w:rStyle w:val="Hyperlink"/>
                <w:noProof/>
              </w:rPr>
              <w:t>Chapter 5: Environmental Pressure Surveillance</w:t>
            </w:r>
            <w:r>
              <w:rPr>
                <w:noProof/>
                <w:webHidden/>
              </w:rPr>
              <w:tab/>
            </w:r>
            <w:r>
              <w:rPr>
                <w:noProof/>
                <w:webHidden/>
              </w:rPr>
              <w:fldChar w:fldCharType="begin"/>
            </w:r>
            <w:r>
              <w:rPr>
                <w:noProof/>
                <w:webHidden/>
              </w:rPr>
              <w:instrText xml:space="preserve"> PAGEREF _Toc226178017 \h </w:instrText>
            </w:r>
            <w:r>
              <w:rPr>
                <w:noProof/>
                <w:webHidden/>
              </w:rPr>
            </w:r>
            <w:r>
              <w:rPr>
                <w:noProof/>
                <w:webHidden/>
              </w:rPr>
              <w:fldChar w:fldCharType="separate"/>
            </w:r>
            <w:r>
              <w:rPr>
                <w:noProof/>
                <w:webHidden/>
              </w:rPr>
              <w:t>26</w:t>
            </w:r>
            <w:r>
              <w:rPr>
                <w:noProof/>
                <w:webHidden/>
              </w:rPr>
              <w:fldChar w:fldCharType="end"/>
            </w:r>
          </w:hyperlink>
        </w:p>
        <w:p w14:paraId="71CB9499" w14:textId="034FC734" w:rsidR="00227C3F" w:rsidRDefault="00227C3F">
          <w:pPr>
            <w:pStyle w:val="TOC2"/>
            <w:tabs>
              <w:tab w:val="right" w:leader="dot" w:pos="9350"/>
            </w:tabs>
            <w:rPr>
              <w:noProof/>
              <w:kern w:val="2"/>
              <w:sz w:val="24"/>
              <w:szCs w:val="24"/>
              <w:lang w:val="en-GH" w:eastAsia="en-GB"/>
              <w14:ligatures w14:val="standardContextual"/>
            </w:rPr>
          </w:pPr>
          <w:hyperlink w:anchor="_Toc226178018" w:history="1">
            <w:r w:rsidRPr="00C32D67">
              <w:rPr>
                <w:rStyle w:val="Hyperlink"/>
                <w:noProof/>
              </w:rPr>
              <w:t>5.1 Purpose of Environmental Pressure Surveillance</w:t>
            </w:r>
            <w:r>
              <w:rPr>
                <w:noProof/>
                <w:webHidden/>
              </w:rPr>
              <w:tab/>
            </w:r>
            <w:r>
              <w:rPr>
                <w:noProof/>
                <w:webHidden/>
              </w:rPr>
              <w:fldChar w:fldCharType="begin"/>
            </w:r>
            <w:r>
              <w:rPr>
                <w:noProof/>
                <w:webHidden/>
              </w:rPr>
              <w:instrText xml:space="preserve"> PAGEREF _Toc226178018 \h </w:instrText>
            </w:r>
            <w:r>
              <w:rPr>
                <w:noProof/>
                <w:webHidden/>
              </w:rPr>
            </w:r>
            <w:r>
              <w:rPr>
                <w:noProof/>
                <w:webHidden/>
              </w:rPr>
              <w:fldChar w:fldCharType="separate"/>
            </w:r>
            <w:r>
              <w:rPr>
                <w:noProof/>
                <w:webHidden/>
              </w:rPr>
              <w:t>26</w:t>
            </w:r>
            <w:r>
              <w:rPr>
                <w:noProof/>
                <w:webHidden/>
              </w:rPr>
              <w:fldChar w:fldCharType="end"/>
            </w:r>
          </w:hyperlink>
        </w:p>
        <w:p w14:paraId="2A109A42" w14:textId="731FC038" w:rsidR="00227C3F" w:rsidRDefault="00227C3F">
          <w:pPr>
            <w:pStyle w:val="TOC2"/>
            <w:tabs>
              <w:tab w:val="right" w:leader="dot" w:pos="9350"/>
            </w:tabs>
            <w:rPr>
              <w:noProof/>
              <w:kern w:val="2"/>
              <w:sz w:val="24"/>
              <w:szCs w:val="24"/>
              <w:lang w:val="en-GH" w:eastAsia="en-GB"/>
              <w14:ligatures w14:val="standardContextual"/>
            </w:rPr>
          </w:pPr>
          <w:hyperlink w:anchor="_Toc226178019" w:history="1">
            <w:r w:rsidRPr="00C32D67">
              <w:rPr>
                <w:rStyle w:val="Hyperlink"/>
                <w:noProof/>
              </w:rPr>
              <w:t>5.2 The Degradation Profiles of the Three Ramsar Sites</w:t>
            </w:r>
            <w:r>
              <w:rPr>
                <w:noProof/>
                <w:webHidden/>
              </w:rPr>
              <w:tab/>
            </w:r>
            <w:r>
              <w:rPr>
                <w:noProof/>
                <w:webHidden/>
              </w:rPr>
              <w:fldChar w:fldCharType="begin"/>
            </w:r>
            <w:r>
              <w:rPr>
                <w:noProof/>
                <w:webHidden/>
              </w:rPr>
              <w:instrText xml:space="preserve"> PAGEREF _Toc226178019 \h </w:instrText>
            </w:r>
            <w:r>
              <w:rPr>
                <w:noProof/>
                <w:webHidden/>
              </w:rPr>
            </w:r>
            <w:r>
              <w:rPr>
                <w:noProof/>
                <w:webHidden/>
              </w:rPr>
              <w:fldChar w:fldCharType="separate"/>
            </w:r>
            <w:r>
              <w:rPr>
                <w:noProof/>
                <w:webHidden/>
              </w:rPr>
              <w:t>26</w:t>
            </w:r>
            <w:r>
              <w:rPr>
                <w:noProof/>
                <w:webHidden/>
              </w:rPr>
              <w:fldChar w:fldCharType="end"/>
            </w:r>
          </w:hyperlink>
        </w:p>
        <w:p w14:paraId="59FAA660" w14:textId="31B51452" w:rsidR="00227C3F" w:rsidRDefault="00227C3F">
          <w:pPr>
            <w:pStyle w:val="TOC2"/>
            <w:tabs>
              <w:tab w:val="right" w:leader="dot" w:pos="9350"/>
            </w:tabs>
            <w:rPr>
              <w:noProof/>
              <w:kern w:val="2"/>
              <w:sz w:val="24"/>
              <w:szCs w:val="24"/>
              <w:lang w:val="en-GH" w:eastAsia="en-GB"/>
              <w14:ligatures w14:val="standardContextual"/>
            </w:rPr>
          </w:pPr>
          <w:hyperlink w:anchor="_Toc226178020" w:history="1">
            <w:r w:rsidRPr="00C32D67">
              <w:rPr>
                <w:rStyle w:val="Hyperlink"/>
                <w:noProof/>
              </w:rPr>
              <w:t>5.3 The Five Core Pressure Indicators</w:t>
            </w:r>
            <w:r>
              <w:rPr>
                <w:noProof/>
                <w:webHidden/>
              </w:rPr>
              <w:tab/>
            </w:r>
            <w:r>
              <w:rPr>
                <w:noProof/>
                <w:webHidden/>
              </w:rPr>
              <w:fldChar w:fldCharType="begin"/>
            </w:r>
            <w:r>
              <w:rPr>
                <w:noProof/>
                <w:webHidden/>
              </w:rPr>
              <w:instrText xml:space="preserve"> PAGEREF _Toc226178020 \h </w:instrText>
            </w:r>
            <w:r>
              <w:rPr>
                <w:noProof/>
                <w:webHidden/>
              </w:rPr>
            </w:r>
            <w:r>
              <w:rPr>
                <w:noProof/>
                <w:webHidden/>
              </w:rPr>
              <w:fldChar w:fldCharType="separate"/>
            </w:r>
            <w:r>
              <w:rPr>
                <w:noProof/>
                <w:webHidden/>
              </w:rPr>
              <w:t>26</w:t>
            </w:r>
            <w:r>
              <w:rPr>
                <w:noProof/>
                <w:webHidden/>
              </w:rPr>
              <w:fldChar w:fldCharType="end"/>
            </w:r>
          </w:hyperlink>
        </w:p>
        <w:p w14:paraId="7FCD86E4" w14:textId="4E196350" w:rsidR="00227C3F" w:rsidRDefault="00227C3F">
          <w:pPr>
            <w:pStyle w:val="TOC2"/>
            <w:tabs>
              <w:tab w:val="right" w:leader="dot" w:pos="9350"/>
            </w:tabs>
            <w:rPr>
              <w:noProof/>
              <w:kern w:val="2"/>
              <w:sz w:val="24"/>
              <w:szCs w:val="24"/>
              <w:lang w:val="en-GH" w:eastAsia="en-GB"/>
              <w14:ligatures w14:val="standardContextual"/>
            </w:rPr>
          </w:pPr>
          <w:hyperlink w:anchor="_Toc226178021" w:history="1">
            <w:r w:rsidRPr="00C32D67">
              <w:rPr>
                <w:rStyle w:val="Hyperlink"/>
                <w:noProof/>
              </w:rPr>
              <w:t>5.4 Leakage Risk Management</w:t>
            </w:r>
            <w:r>
              <w:rPr>
                <w:noProof/>
                <w:webHidden/>
              </w:rPr>
              <w:tab/>
            </w:r>
            <w:r>
              <w:rPr>
                <w:noProof/>
                <w:webHidden/>
              </w:rPr>
              <w:fldChar w:fldCharType="begin"/>
            </w:r>
            <w:r>
              <w:rPr>
                <w:noProof/>
                <w:webHidden/>
              </w:rPr>
              <w:instrText xml:space="preserve"> PAGEREF _Toc226178021 \h </w:instrText>
            </w:r>
            <w:r>
              <w:rPr>
                <w:noProof/>
                <w:webHidden/>
              </w:rPr>
            </w:r>
            <w:r>
              <w:rPr>
                <w:noProof/>
                <w:webHidden/>
              </w:rPr>
              <w:fldChar w:fldCharType="separate"/>
            </w:r>
            <w:r>
              <w:rPr>
                <w:noProof/>
                <w:webHidden/>
              </w:rPr>
              <w:t>28</w:t>
            </w:r>
            <w:r>
              <w:rPr>
                <w:noProof/>
                <w:webHidden/>
              </w:rPr>
              <w:fldChar w:fldCharType="end"/>
            </w:r>
          </w:hyperlink>
        </w:p>
        <w:p w14:paraId="0ABCC6C0" w14:textId="0E249DEF" w:rsidR="00227C3F" w:rsidRDefault="00227C3F">
          <w:pPr>
            <w:pStyle w:val="TOC2"/>
            <w:tabs>
              <w:tab w:val="right" w:leader="dot" w:pos="9350"/>
            </w:tabs>
            <w:rPr>
              <w:noProof/>
              <w:kern w:val="2"/>
              <w:sz w:val="24"/>
              <w:szCs w:val="24"/>
              <w:lang w:val="en-GH" w:eastAsia="en-GB"/>
              <w14:ligatures w14:val="standardContextual"/>
            </w:rPr>
          </w:pPr>
          <w:hyperlink w:anchor="_Toc226178022" w:history="1">
            <w:r w:rsidRPr="00C32D67">
              <w:rPr>
                <w:rStyle w:val="Hyperlink"/>
                <w:noProof/>
              </w:rPr>
              <w:t>5.5 Escalation and Response Protocols</w:t>
            </w:r>
            <w:r>
              <w:rPr>
                <w:noProof/>
                <w:webHidden/>
              </w:rPr>
              <w:tab/>
            </w:r>
            <w:r>
              <w:rPr>
                <w:noProof/>
                <w:webHidden/>
              </w:rPr>
              <w:fldChar w:fldCharType="begin"/>
            </w:r>
            <w:r>
              <w:rPr>
                <w:noProof/>
                <w:webHidden/>
              </w:rPr>
              <w:instrText xml:space="preserve"> PAGEREF _Toc226178022 \h </w:instrText>
            </w:r>
            <w:r>
              <w:rPr>
                <w:noProof/>
                <w:webHidden/>
              </w:rPr>
            </w:r>
            <w:r>
              <w:rPr>
                <w:noProof/>
                <w:webHidden/>
              </w:rPr>
              <w:fldChar w:fldCharType="separate"/>
            </w:r>
            <w:r>
              <w:rPr>
                <w:noProof/>
                <w:webHidden/>
              </w:rPr>
              <w:t>29</w:t>
            </w:r>
            <w:r>
              <w:rPr>
                <w:noProof/>
                <w:webHidden/>
              </w:rPr>
              <w:fldChar w:fldCharType="end"/>
            </w:r>
          </w:hyperlink>
        </w:p>
        <w:p w14:paraId="07217936" w14:textId="735207A7" w:rsidR="00227C3F" w:rsidRDefault="00227C3F">
          <w:pPr>
            <w:pStyle w:val="TOC1"/>
            <w:tabs>
              <w:tab w:val="right" w:leader="dot" w:pos="9350"/>
            </w:tabs>
            <w:rPr>
              <w:noProof/>
              <w:kern w:val="2"/>
              <w:sz w:val="24"/>
              <w:szCs w:val="24"/>
              <w:lang w:val="en-GH" w:eastAsia="en-GB"/>
              <w14:ligatures w14:val="standardContextual"/>
            </w:rPr>
          </w:pPr>
          <w:hyperlink w:anchor="_Toc226178023" w:history="1">
            <w:r w:rsidRPr="00C32D67">
              <w:rPr>
                <w:rStyle w:val="Hyperlink"/>
                <w:noProof/>
              </w:rPr>
              <w:t>Chapter 6: Governance and Safeguard Assurance</w:t>
            </w:r>
            <w:r>
              <w:rPr>
                <w:noProof/>
                <w:webHidden/>
              </w:rPr>
              <w:tab/>
            </w:r>
            <w:r>
              <w:rPr>
                <w:noProof/>
                <w:webHidden/>
              </w:rPr>
              <w:fldChar w:fldCharType="begin"/>
            </w:r>
            <w:r>
              <w:rPr>
                <w:noProof/>
                <w:webHidden/>
              </w:rPr>
              <w:instrText xml:space="preserve"> PAGEREF _Toc226178023 \h </w:instrText>
            </w:r>
            <w:r>
              <w:rPr>
                <w:noProof/>
                <w:webHidden/>
              </w:rPr>
            </w:r>
            <w:r>
              <w:rPr>
                <w:noProof/>
                <w:webHidden/>
              </w:rPr>
              <w:fldChar w:fldCharType="separate"/>
            </w:r>
            <w:r>
              <w:rPr>
                <w:noProof/>
                <w:webHidden/>
              </w:rPr>
              <w:t>30</w:t>
            </w:r>
            <w:r>
              <w:rPr>
                <w:noProof/>
                <w:webHidden/>
              </w:rPr>
              <w:fldChar w:fldCharType="end"/>
            </w:r>
          </w:hyperlink>
        </w:p>
        <w:p w14:paraId="2A33CEB5" w14:textId="6F30184B" w:rsidR="00227C3F" w:rsidRDefault="00227C3F">
          <w:pPr>
            <w:pStyle w:val="TOC2"/>
            <w:tabs>
              <w:tab w:val="right" w:leader="dot" w:pos="9350"/>
            </w:tabs>
            <w:rPr>
              <w:noProof/>
              <w:kern w:val="2"/>
              <w:sz w:val="24"/>
              <w:szCs w:val="24"/>
              <w:lang w:val="en-GH" w:eastAsia="en-GB"/>
              <w14:ligatures w14:val="standardContextual"/>
            </w:rPr>
          </w:pPr>
          <w:hyperlink w:anchor="_Toc226178024" w:history="1">
            <w:r w:rsidRPr="00C32D67">
              <w:rPr>
                <w:rStyle w:val="Hyperlink"/>
                <w:noProof/>
              </w:rPr>
              <w:t>6.1 Purpose of the Governance and Safeguard Assurance Layer</w:t>
            </w:r>
            <w:r>
              <w:rPr>
                <w:noProof/>
                <w:webHidden/>
              </w:rPr>
              <w:tab/>
            </w:r>
            <w:r>
              <w:rPr>
                <w:noProof/>
                <w:webHidden/>
              </w:rPr>
              <w:fldChar w:fldCharType="begin"/>
            </w:r>
            <w:r>
              <w:rPr>
                <w:noProof/>
                <w:webHidden/>
              </w:rPr>
              <w:instrText xml:space="preserve"> PAGEREF _Toc226178024 \h </w:instrText>
            </w:r>
            <w:r>
              <w:rPr>
                <w:noProof/>
                <w:webHidden/>
              </w:rPr>
            </w:r>
            <w:r>
              <w:rPr>
                <w:noProof/>
                <w:webHidden/>
              </w:rPr>
              <w:fldChar w:fldCharType="separate"/>
            </w:r>
            <w:r>
              <w:rPr>
                <w:noProof/>
                <w:webHidden/>
              </w:rPr>
              <w:t>30</w:t>
            </w:r>
            <w:r>
              <w:rPr>
                <w:noProof/>
                <w:webHidden/>
              </w:rPr>
              <w:fldChar w:fldCharType="end"/>
            </w:r>
          </w:hyperlink>
        </w:p>
        <w:p w14:paraId="208DB12D" w14:textId="432FE60B" w:rsidR="00227C3F" w:rsidRDefault="00227C3F">
          <w:pPr>
            <w:pStyle w:val="TOC2"/>
            <w:tabs>
              <w:tab w:val="right" w:leader="dot" w:pos="9350"/>
            </w:tabs>
            <w:rPr>
              <w:noProof/>
              <w:kern w:val="2"/>
              <w:sz w:val="24"/>
              <w:szCs w:val="24"/>
              <w:lang w:val="en-GH" w:eastAsia="en-GB"/>
              <w14:ligatures w14:val="standardContextual"/>
            </w:rPr>
          </w:pPr>
          <w:hyperlink w:anchor="_Toc226178025" w:history="1">
            <w:r w:rsidRPr="00C32D67">
              <w:rPr>
                <w:rStyle w:val="Hyperlink"/>
                <w:noProof/>
              </w:rPr>
              <w:t>6.2 The Baseline Governance Gap</w:t>
            </w:r>
            <w:r>
              <w:rPr>
                <w:noProof/>
                <w:webHidden/>
              </w:rPr>
              <w:tab/>
            </w:r>
            <w:r>
              <w:rPr>
                <w:noProof/>
                <w:webHidden/>
              </w:rPr>
              <w:fldChar w:fldCharType="begin"/>
            </w:r>
            <w:r>
              <w:rPr>
                <w:noProof/>
                <w:webHidden/>
              </w:rPr>
              <w:instrText xml:space="preserve"> PAGEREF _Toc226178025 \h </w:instrText>
            </w:r>
            <w:r>
              <w:rPr>
                <w:noProof/>
                <w:webHidden/>
              </w:rPr>
            </w:r>
            <w:r>
              <w:rPr>
                <w:noProof/>
                <w:webHidden/>
              </w:rPr>
              <w:fldChar w:fldCharType="separate"/>
            </w:r>
            <w:r>
              <w:rPr>
                <w:noProof/>
                <w:webHidden/>
              </w:rPr>
              <w:t>30</w:t>
            </w:r>
            <w:r>
              <w:rPr>
                <w:noProof/>
                <w:webHidden/>
              </w:rPr>
              <w:fldChar w:fldCharType="end"/>
            </w:r>
          </w:hyperlink>
        </w:p>
        <w:p w14:paraId="76D2C065" w14:textId="4DBD3C07" w:rsidR="00227C3F" w:rsidRDefault="00227C3F">
          <w:pPr>
            <w:pStyle w:val="TOC2"/>
            <w:tabs>
              <w:tab w:val="right" w:leader="dot" w:pos="9350"/>
            </w:tabs>
            <w:rPr>
              <w:noProof/>
              <w:kern w:val="2"/>
              <w:sz w:val="24"/>
              <w:szCs w:val="24"/>
              <w:lang w:val="en-GH" w:eastAsia="en-GB"/>
              <w14:ligatures w14:val="standardContextual"/>
            </w:rPr>
          </w:pPr>
          <w:hyperlink w:anchor="_Toc226178026" w:history="1">
            <w:r w:rsidRPr="00C32D67">
              <w:rPr>
                <w:rStyle w:val="Hyperlink"/>
                <w:noProof/>
              </w:rPr>
              <w:t>6.3 Inclusion Standards</w:t>
            </w:r>
            <w:r>
              <w:rPr>
                <w:noProof/>
                <w:webHidden/>
              </w:rPr>
              <w:tab/>
            </w:r>
            <w:r>
              <w:rPr>
                <w:noProof/>
                <w:webHidden/>
              </w:rPr>
              <w:fldChar w:fldCharType="begin"/>
            </w:r>
            <w:r>
              <w:rPr>
                <w:noProof/>
                <w:webHidden/>
              </w:rPr>
              <w:instrText xml:space="preserve"> PAGEREF _Toc226178026 \h </w:instrText>
            </w:r>
            <w:r>
              <w:rPr>
                <w:noProof/>
                <w:webHidden/>
              </w:rPr>
            </w:r>
            <w:r>
              <w:rPr>
                <w:noProof/>
                <w:webHidden/>
              </w:rPr>
              <w:fldChar w:fldCharType="separate"/>
            </w:r>
            <w:r>
              <w:rPr>
                <w:noProof/>
                <w:webHidden/>
              </w:rPr>
              <w:t>30</w:t>
            </w:r>
            <w:r>
              <w:rPr>
                <w:noProof/>
                <w:webHidden/>
              </w:rPr>
              <w:fldChar w:fldCharType="end"/>
            </w:r>
          </w:hyperlink>
        </w:p>
        <w:p w14:paraId="0E2BD39D" w14:textId="0040A164" w:rsidR="00227C3F" w:rsidRDefault="00227C3F">
          <w:pPr>
            <w:pStyle w:val="TOC2"/>
            <w:tabs>
              <w:tab w:val="right" w:leader="dot" w:pos="9350"/>
            </w:tabs>
            <w:rPr>
              <w:noProof/>
              <w:kern w:val="2"/>
              <w:sz w:val="24"/>
              <w:szCs w:val="24"/>
              <w:lang w:val="en-GH" w:eastAsia="en-GB"/>
              <w14:ligatures w14:val="standardContextual"/>
            </w:rPr>
          </w:pPr>
          <w:hyperlink w:anchor="_Toc226178027" w:history="1">
            <w:r w:rsidRPr="00C32D67">
              <w:rPr>
                <w:rStyle w:val="Hyperlink"/>
                <w:noProof/>
              </w:rPr>
              <w:t>6.4 Elite Capture and Exclusion Risks</w:t>
            </w:r>
            <w:r>
              <w:rPr>
                <w:noProof/>
                <w:webHidden/>
              </w:rPr>
              <w:tab/>
            </w:r>
            <w:r>
              <w:rPr>
                <w:noProof/>
                <w:webHidden/>
              </w:rPr>
              <w:fldChar w:fldCharType="begin"/>
            </w:r>
            <w:r>
              <w:rPr>
                <w:noProof/>
                <w:webHidden/>
              </w:rPr>
              <w:instrText xml:space="preserve"> PAGEREF _Toc226178027 \h </w:instrText>
            </w:r>
            <w:r>
              <w:rPr>
                <w:noProof/>
                <w:webHidden/>
              </w:rPr>
            </w:r>
            <w:r>
              <w:rPr>
                <w:noProof/>
                <w:webHidden/>
              </w:rPr>
              <w:fldChar w:fldCharType="separate"/>
            </w:r>
            <w:r>
              <w:rPr>
                <w:noProof/>
                <w:webHidden/>
              </w:rPr>
              <w:t>31</w:t>
            </w:r>
            <w:r>
              <w:rPr>
                <w:noProof/>
                <w:webHidden/>
              </w:rPr>
              <w:fldChar w:fldCharType="end"/>
            </w:r>
          </w:hyperlink>
        </w:p>
        <w:p w14:paraId="4261D752" w14:textId="1AE094B7" w:rsidR="00227C3F" w:rsidRDefault="00227C3F">
          <w:pPr>
            <w:pStyle w:val="TOC2"/>
            <w:tabs>
              <w:tab w:val="right" w:leader="dot" w:pos="9350"/>
            </w:tabs>
            <w:rPr>
              <w:noProof/>
              <w:kern w:val="2"/>
              <w:sz w:val="24"/>
              <w:szCs w:val="24"/>
              <w:lang w:val="en-GH" w:eastAsia="en-GB"/>
              <w14:ligatures w14:val="standardContextual"/>
            </w:rPr>
          </w:pPr>
          <w:hyperlink w:anchor="_Toc226178028" w:history="1">
            <w:r w:rsidRPr="00C32D67">
              <w:rPr>
                <w:rStyle w:val="Hyperlink"/>
                <w:noProof/>
              </w:rPr>
              <w:t>6.5 FPIC and Ongoing Consent</w:t>
            </w:r>
            <w:r>
              <w:rPr>
                <w:noProof/>
                <w:webHidden/>
              </w:rPr>
              <w:tab/>
            </w:r>
            <w:r>
              <w:rPr>
                <w:noProof/>
                <w:webHidden/>
              </w:rPr>
              <w:fldChar w:fldCharType="begin"/>
            </w:r>
            <w:r>
              <w:rPr>
                <w:noProof/>
                <w:webHidden/>
              </w:rPr>
              <w:instrText xml:space="preserve"> PAGEREF _Toc226178028 \h </w:instrText>
            </w:r>
            <w:r>
              <w:rPr>
                <w:noProof/>
                <w:webHidden/>
              </w:rPr>
            </w:r>
            <w:r>
              <w:rPr>
                <w:noProof/>
                <w:webHidden/>
              </w:rPr>
              <w:fldChar w:fldCharType="separate"/>
            </w:r>
            <w:r>
              <w:rPr>
                <w:noProof/>
                <w:webHidden/>
              </w:rPr>
              <w:t>31</w:t>
            </w:r>
            <w:r>
              <w:rPr>
                <w:noProof/>
                <w:webHidden/>
              </w:rPr>
              <w:fldChar w:fldCharType="end"/>
            </w:r>
          </w:hyperlink>
        </w:p>
        <w:p w14:paraId="3E8E41DA" w14:textId="4466981A" w:rsidR="00227C3F" w:rsidRDefault="00227C3F">
          <w:pPr>
            <w:pStyle w:val="TOC2"/>
            <w:tabs>
              <w:tab w:val="right" w:leader="dot" w:pos="9350"/>
            </w:tabs>
            <w:rPr>
              <w:noProof/>
              <w:kern w:val="2"/>
              <w:sz w:val="24"/>
              <w:szCs w:val="24"/>
              <w:lang w:val="en-GH" w:eastAsia="en-GB"/>
              <w14:ligatures w14:val="standardContextual"/>
            </w:rPr>
          </w:pPr>
          <w:hyperlink w:anchor="_Toc226178029" w:history="1">
            <w:r w:rsidRPr="00C32D67">
              <w:rPr>
                <w:rStyle w:val="Hyperlink"/>
                <w:noProof/>
              </w:rPr>
              <w:t>6.6 Grievance Redress Mechanism</w:t>
            </w:r>
            <w:r>
              <w:rPr>
                <w:noProof/>
                <w:webHidden/>
              </w:rPr>
              <w:tab/>
            </w:r>
            <w:r>
              <w:rPr>
                <w:noProof/>
                <w:webHidden/>
              </w:rPr>
              <w:fldChar w:fldCharType="begin"/>
            </w:r>
            <w:r>
              <w:rPr>
                <w:noProof/>
                <w:webHidden/>
              </w:rPr>
              <w:instrText xml:space="preserve"> PAGEREF _Toc226178029 \h </w:instrText>
            </w:r>
            <w:r>
              <w:rPr>
                <w:noProof/>
                <w:webHidden/>
              </w:rPr>
            </w:r>
            <w:r>
              <w:rPr>
                <w:noProof/>
                <w:webHidden/>
              </w:rPr>
              <w:fldChar w:fldCharType="separate"/>
            </w:r>
            <w:r>
              <w:rPr>
                <w:noProof/>
                <w:webHidden/>
              </w:rPr>
              <w:t>32</w:t>
            </w:r>
            <w:r>
              <w:rPr>
                <w:noProof/>
                <w:webHidden/>
              </w:rPr>
              <w:fldChar w:fldCharType="end"/>
            </w:r>
          </w:hyperlink>
        </w:p>
        <w:p w14:paraId="72811299" w14:textId="47F8F56F" w:rsidR="00227C3F" w:rsidRDefault="00227C3F">
          <w:pPr>
            <w:pStyle w:val="TOC2"/>
            <w:tabs>
              <w:tab w:val="right" w:leader="dot" w:pos="9350"/>
            </w:tabs>
            <w:rPr>
              <w:noProof/>
              <w:kern w:val="2"/>
              <w:sz w:val="24"/>
              <w:szCs w:val="24"/>
              <w:lang w:val="en-GH" w:eastAsia="en-GB"/>
              <w14:ligatures w14:val="standardContextual"/>
            </w:rPr>
          </w:pPr>
          <w:hyperlink w:anchor="_Toc226178030" w:history="1">
            <w:r w:rsidRPr="00C32D67">
              <w:rPr>
                <w:rStyle w:val="Hyperlink"/>
                <w:noProof/>
              </w:rPr>
              <w:t>6.7 Benefit-Sharing Transparency</w:t>
            </w:r>
            <w:r>
              <w:rPr>
                <w:noProof/>
                <w:webHidden/>
              </w:rPr>
              <w:tab/>
            </w:r>
            <w:r>
              <w:rPr>
                <w:noProof/>
                <w:webHidden/>
              </w:rPr>
              <w:fldChar w:fldCharType="begin"/>
            </w:r>
            <w:r>
              <w:rPr>
                <w:noProof/>
                <w:webHidden/>
              </w:rPr>
              <w:instrText xml:space="preserve"> PAGEREF _Toc226178030 \h </w:instrText>
            </w:r>
            <w:r>
              <w:rPr>
                <w:noProof/>
                <w:webHidden/>
              </w:rPr>
            </w:r>
            <w:r>
              <w:rPr>
                <w:noProof/>
                <w:webHidden/>
              </w:rPr>
              <w:fldChar w:fldCharType="separate"/>
            </w:r>
            <w:r>
              <w:rPr>
                <w:noProof/>
                <w:webHidden/>
              </w:rPr>
              <w:t>32</w:t>
            </w:r>
            <w:r>
              <w:rPr>
                <w:noProof/>
                <w:webHidden/>
              </w:rPr>
              <w:fldChar w:fldCharType="end"/>
            </w:r>
          </w:hyperlink>
        </w:p>
        <w:p w14:paraId="5CB35F95" w14:textId="6CE9E431" w:rsidR="00227C3F" w:rsidRDefault="00227C3F">
          <w:pPr>
            <w:pStyle w:val="TOC1"/>
            <w:tabs>
              <w:tab w:val="right" w:leader="dot" w:pos="9350"/>
            </w:tabs>
            <w:rPr>
              <w:noProof/>
              <w:kern w:val="2"/>
              <w:sz w:val="24"/>
              <w:szCs w:val="24"/>
              <w:lang w:val="en-GH" w:eastAsia="en-GB"/>
              <w14:ligatures w14:val="standardContextual"/>
            </w:rPr>
          </w:pPr>
          <w:hyperlink w:anchor="_Toc226178031" w:history="1">
            <w:r w:rsidRPr="00C32D67">
              <w:rPr>
                <w:rStyle w:val="Hyperlink"/>
                <w:noProof/>
              </w:rPr>
              <w:t>Chapter 7: Reporting Framework</w:t>
            </w:r>
            <w:r>
              <w:rPr>
                <w:noProof/>
                <w:webHidden/>
              </w:rPr>
              <w:tab/>
            </w:r>
            <w:r>
              <w:rPr>
                <w:noProof/>
                <w:webHidden/>
              </w:rPr>
              <w:fldChar w:fldCharType="begin"/>
            </w:r>
            <w:r>
              <w:rPr>
                <w:noProof/>
                <w:webHidden/>
              </w:rPr>
              <w:instrText xml:space="preserve"> PAGEREF _Toc226178031 \h </w:instrText>
            </w:r>
            <w:r>
              <w:rPr>
                <w:noProof/>
                <w:webHidden/>
              </w:rPr>
            </w:r>
            <w:r>
              <w:rPr>
                <w:noProof/>
                <w:webHidden/>
              </w:rPr>
              <w:fldChar w:fldCharType="separate"/>
            </w:r>
            <w:r>
              <w:rPr>
                <w:noProof/>
                <w:webHidden/>
              </w:rPr>
              <w:t>33</w:t>
            </w:r>
            <w:r>
              <w:rPr>
                <w:noProof/>
                <w:webHidden/>
              </w:rPr>
              <w:fldChar w:fldCharType="end"/>
            </w:r>
          </w:hyperlink>
        </w:p>
        <w:p w14:paraId="6866B576" w14:textId="3E712E0C" w:rsidR="00227C3F" w:rsidRDefault="00227C3F">
          <w:pPr>
            <w:pStyle w:val="TOC2"/>
            <w:tabs>
              <w:tab w:val="right" w:leader="dot" w:pos="9350"/>
            </w:tabs>
            <w:rPr>
              <w:noProof/>
              <w:kern w:val="2"/>
              <w:sz w:val="24"/>
              <w:szCs w:val="24"/>
              <w:lang w:val="en-GH" w:eastAsia="en-GB"/>
              <w14:ligatures w14:val="standardContextual"/>
            </w:rPr>
          </w:pPr>
          <w:hyperlink w:anchor="_Toc226178032" w:history="1">
            <w:r w:rsidRPr="00C32D67">
              <w:rPr>
                <w:rStyle w:val="Hyperlink"/>
                <w:noProof/>
              </w:rPr>
              <w:t>10.1 Purpose of the Reporting Framework</w:t>
            </w:r>
            <w:r>
              <w:rPr>
                <w:noProof/>
                <w:webHidden/>
              </w:rPr>
              <w:tab/>
            </w:r>
            <w:r>
              <w:rPr>
                <w:noProof/>
                <w:webHidden/>
              </w:rPr>
              <w:fldChar w:fldCharType="begin"/>
            </w:r>
            <w:r>
              <w:rPr>
                <w:noProof/>
                <w:webHidden/>
              </w:rPr>
              <w:instrText xml:space="preserve"> PAGEREF _Toc226178032 \h </w:instrText>
            </w:r>
            <w:r>
              <w:rPr>
                <w:noProof/>
                <w:webHidden/>
              </w:rPr>
            </w:r>
            <w:r>
              <w:rPr>
                <w:noProof/>
                <w:webHidden/>
              </w:rPr>
              <w:fldChar w:fldCharType="separate"/>
            </w:r>
            <w:r>
              <w:rPr>
                <w:noProof/>
                <w:webHidden/>
              </w:rPr>
              <w:t>33</w:t>
            </w:r>
            <w:r>
              <w:rPr>
                <w:noProof/>
                <w:webHidden/>
              </w:rPr>
              <w:fldChar w:fldCharType="end"/>
            </w:r>
          </w:hyperlink>
        </w:p>
        <w:p w14:paraId="474C6402" w14:textId="058FEEAD" w:rsidR="00227C3F" w:rsidRDefault="00227C3F">
          <w:pPr>
            <w:pStyle w:val="TOC2"/>
            <w:tabs>
              <w:tab w:val="right" w:leader="dot" w:pos="9350"/>
            </w:tabs>
            <w:rPr>
              <w:noProof/>
              <w:kern w:val="2"/>
              <w:sz w:val="24"/>
              <w:szCs w:val="24"/>
              <w:lang w:val="en-GH" w:eastAsia="en-GB"/>
              <w14:ligatures w14:val="standardContextual"/>
            </w:rPr>
          </w:pPr>
          <w:hyperlink w:anchor="_Toc226178033" w:history="1">
            <w:r w:rsidRPr="00C32D67">
              <w:rPr>
                <w:rStyle w:val="Hyperlink"/>
                <w:noProof/>
              </w:rPr>
              <w:t>7.2 The Reporting Cycle</w:t>
            </w:r>
            <w:r>
              <w:rPr>
                <w:noProof/>
                <w:webHidden/>
              </w:rPr>
              <w:tab/>
            </w:r>
            <w:r>
              <w:rPr>
                <w:noProof/>
                <w:webHidden/>
              </w:rPr>
              <w:fldChar w:fldCharType="begin"/>
            </w:r>
            <w:r>
              <w:rPr>
                <w:noProof/>
                <w:webHidden/>
              </w:rPr>
              <w:instrText xml:space="preserve"> PAGEREF _Toc226178033 \h </w:instrText>
            </w:r>
            <w:r>
              <w:rPr>
                <w:noProof/>
                <w:webHidden/>
              </w:rPr>
            </w:r>
            <w:r>
              <w:rPr>
                <w:noProof/>
                <w:webHidden/>
              </w:rPr>
              <w:fldChar w:fldCharType="separate"/>
            </w:r>
            <w:r>
              <w:rPr>
                <w:noProof/>
                <w:webHidden/>
              </w:rPr>
              <w:t>33</w:t>
            </w:r>
            <w:r>
              <w:rPr>
                <w:noProof/>
                <w:webHidden/>
              </w:rPr>
              <w:fldChar w:fldCharType="end"/>
            </w:r>
          </w:hyperlink>
        </w:p>
        <w:p w14:paraId="58A56908" w14:textId="65432F36" w:rsidR="00227C3F" w:rsidRDefault="00227C3F">
          <w:pPr>
            <w:pStyle w:val="TOC2"/>
            <w:tabs>
              <w:tab w:val="right" w:leader="dot" w:pos="9350"/>
            </w:tabs>
            <w:rPr>
              <w:noProof/>
              <w:kern w:val="2"/>
              <w:sz w:val="24"/>
              <w:szCs w:val="24"/>
              <w:lang w:val="en-GH" w:eastAsia="en-GB"/>
              <w14:ligatures w14:val="standardContextual"/>
            </w:rPr>
          </w:pPr>
          <w:hyperlink w:anchor="_Toc226178034" w:history="1">
            <w:r w:rsidRPr="00C32D67">
              <w:rPr>
                <w:rStyle w:val="Hyperlink"/>
                <w:noProof/>
              </w:rPr>
              <w:t>7.3 Reporting Audiences and Their Needs</w:t>
            </w:r>
            <w:r>
              <w:rPr>
                <w:noProof/>
                <w:webHidden/>
              </w:rPr>
              <w:tab/>
            </w:r>
            <w:r>
              <w:rPr>
                <w:noProof/>
                <w:webHidden/>
              </w:rPr>
              <w:fldChar w:fldCharType="begin"/>
            </w:r>
            <w:r>
              <w:rPr>
                <w:noProof/>
                <w:webHidden/>
              </w:rPr>
              <w:instrText xml:space="preserve"> PAGEREF _Toc226178034 \h </w:instrText>
            </w:r>
            <w:r>
              <w:rPr>
                <w:noProof/>
                <w:webHidden/>
              </w:rPr>
            </w:r>
            <w:r>
              <w:rPr>
                <w:noProof/>
                <w:webHidden/>
              </w:rPr>
              <w:fldChar w:fldCharType="separate"/>
            </w:r>
            <w:r>
              <w:rPr>
                <w:noProof/>
                <w:webHidden/>
              </w:rPr>
              <w:t>36</w:t>
            </w:r>
            <w:r>
              <w:rPr>
                <w:noProof/>
                <w:webHidden/>
              </w:rPr>
              <w:fldChar w:fldCharType="end"/>
            </w:r>
          </w:hyperlink>
        </w:p>
        <w:p w14:paraId="5CBB3C9C" w14:textId="3E651AF7" w:rsidR="00227C3F" w:rsidRDefault="00227C3F">
          <w:pPr>
            <w:pStyle w:val="TOC2"/>
            <w:tabs>
              <w:tab w:val="right" w:leader="dot" w:pos="9350"/>
            </w:tabs>
            <w:rPr>
              <w:noProof/>
              <w:kern w:val="2"/>
              <w:sz w:val="24"/>
              <w:szCs w:val="24"/>
              <w:lang w:val="en-GH" w:eastAsia="en-GB"/>
              <w14:ligatures w14:val="standardContextual"/>
            </w:rPr>
          </w:pPr>
          <w:hyperlink w:anchor="_Toc226178035" w:history="1">
            <w:r w:rsidRPr="00C32D67">
              <w:rPr>
                <w:rStyle w:val="Hyperlink"/>
                <w:noProof/>
              </w:rPr>
              <w:t>7.4 NDC Reporting Linkage</w:t>
            </w:r>
            <w:r>
              <w:rPr>
                <w:noProof/>
                <w:webHidden/>
              </w:rPr>
              <w:tab/>
            </w:r>
            <w:r>
              <w:rPr>
                <w:noProof/>
                <w:webHidden/>
              </w:rPr>
              <w:fldChar w:fldCharType="begin"/>
            </w:r>
            <w:r>
              <w:rPr>
                <w:noProof/>
                <w:webHidden/>
              </w:rPr>
              <w:instrText xml:space="preserve"> PAGEREF _Toc226178035 \h </w:instrText>
            </w:r>
            <w:r>
              <w:rPr>
                <w:noProof/>
                <w:webHidden/>
              </w:rPr>
            </w:r>
            <w:r>
              <w:rPr>
                <w:noProof/>
                <w:webHidden/>
              </w:rPr>
              <w:fldChar w:fldCharType="separate"/>
            </w:r>
            <w:r>
              <w:rPr>
                <w:noProof/>
                <w:webHidden/>
              </w:rPr>
              <w:t>37</w:t>
            </w:r>
            <w:r>
              <w:rPr>
                <w:noProof/>
                <w:webHidden/>
              </w:rPr>
              <w:fldChar w:fldCharType="end"/>
            </w:r>
          </w:hyperlink>
        </w:p>
        <w:p w14:paraId="16110B4F" w14:textId="6776CA2E" w:rsidR="00227C3F" w:rsidRDefault="00227C3F">
          <w:pPr>
            <w:pStyle w:val="TOC2"/>
            <w:tabs>
              <w:tab w:val="right" w:leader="dot" w:pos="9350"/>
            </w:tabs>
            <w:rPr>
              <w:noProof/>
              <w:kern w:val="2"/>
              <w:sz w:val="24"/>
              <w:szCs w:val="24"/>
              <w:lang w:val="en-GH" w:eastAsia="en-GB"/>
              <w14:ligatures w14:val="standardContextual"/>
            </w:rPr>
          </w:pPr>
          <w:hyperlink w:anchor="_Toc226178036" w:history="1">
            <w:r w:rsidRPr="00C32D67">
              <w:rPr>
                <w:rStyle w:val="Hyperlink"/>
                <w:noProof/>
              </w:rPr>
              <w:t>7.5 Quality Assurance in Reporting</w:t>
            </w:r>
            <w:r>
              <w:rPr>
                <w:noProof/>
                <w:webHidden/>
              </w:rPr>
              <w:tab/>
            </w:r>
            <w:r>
              <w:rPr>
                <w:noProof/>
                <w:webHidden/>
              </w:rPr>
              <w:fldChar w:fldCharType="begin"/>
            </w:r>
            <w:r>
              <w:rPr>
                <w:noProof/>
                <w:webHidden/>
              </w:rPr>
              <w:instrText xml:space="preserve"> PAGEREF _Toc226178036 \h </w:instrText>
            </w:r>
            <w:r>
              <w:rPr>
                <w:noProof/>
                <w:webHidden/>
              </w:rPr>
            </w:r>
            <w:r>
              <w:rPr>
                <w:noProof/>
                <w:webHidden/>
              </w:rPr>
              <w:fldChar w:fldCharType="separate"/>
            </w:r>
            <w:r>
              <w:rPr>
                <w:noProof/>
                <w:webHidden/>
              </w:rPr>
              <w:t>37</w:t>
            </w:r>
            <w:r>
              <w:rPr>
                <w:noProof/>
                <w:webHidden/>
              </w:rPr>
              <w:fldChar w:fldCharType="end"/>
            </w:r>
          </w:hyperlink>
        </w:p>
        <w:p w14:paraId="26EB98FD" w14:textId="06868047" w:rsidR="00227C3F" w:rsidRDefault="00227C3F">
          <w:pPr>
            <w:pStyle w:val="TOC2"/>
            <w:tabs>
              <w:tab w:val="right" w:leader="dot" w:pos="9350"/>
            </w:tabs>
            <w:rPr>
              <w:noProof/>
              <w:kern w:val="2"/>
              <w:sz w:val="24"/>
              <w:szCs w:val="24"/>
              <w:lang w:val="en-GH" w:eastAsia="en-GB"/>
              <w14:ligatures w14:val="standardContextual"/>
            </w:rPr>
          </w:pPr>
          <w:hyperlink w:anchor="_Toc226178037" w:history="1">
            <w:r w:rsidRPr="00C32D67">
              <w:rPr>
                <w:rStyle w:val="Hyperlink"/>
                <w:noProof/>
              </w:rPr>
              <w:t>7.6 Public Disclosure and Transparency</w:t>
            </w:r>
            <w:r>
              <w:rPr>
                <w:noProof/>
                <w:webHidden/>
              </w:rPr>
              <w:tab/>
            </w:r>
            <w:r>
              <w:rPr>
                <w:noProof/>
                <w:webHidden/>
              </w:rPr>
              <w:fldChar w:fldCharType="begin"/>
            </w:r>
            <w:r>
              <w:rPr>
                <w:noProof/>
                <w:webHidden/>
              </w:rPr>
              <w:instrText xml:space="preserve"> PAGEREF _Toc226178037 \h </w:instrText>
            </w:r>
            <w:r>
              <w:rPr>
                <w:noProof/>
                <w:webHidden/>
              </w:rPr>
            </w:r>
            <w:r>
              <w:rPr>
                <w:noProof/>
                <w:webHidden/>
              </w:rPr>
              <w:fldChar w:fldCharType="separate"/>
            </w:r>
            <w:r>
              <w:rPr>
                <w:noProof/>
                <w:webHidden/>
              </w:rPr>
              <w:t>39</w:t>
            </w:r>
            <w:r>
              <w:rPr>
                <w:noProof/>
                <w:webHidden/>
              </w:rPr>
              <w:fldChar w:fldCharType="end"/>
            </w:r>
          </w:hyperlink>
        </w:p>
        <w:p w14:paraId="3758D9BC" w14:textId="52D3238D" w:rsidR="00227C3F" w:rsidRDefault="00227C3F">
          <w:pPr>
            <w:pStyle w:val="TOC1"/>
            <w:tabs>
              <w:tab w:val="right" w:leader="dot" w:pos="9350"/>
            </w:tabs>
            <w:rPr>
              <w:noProof/>
              <w:kern w:val="2"/>
              <w:sz w:val="24"/>
              <w:szCs w:val="24"/>
              <w:lang w:val="en-GH" w:eastAsia="en-GB"/>
              <w14:ligatures w14:val="standardContextual"/>
            </w:rPr>
          </w:pPr>
          <w:hyperlink w:anchor="_Toc226178038" w:history="1">
            <w:r w:rsidRPr="00C32D67">
              <w:rPr>
                <w:rStyle w:val="Hyperlink"/>
                <w:noProof/>
              </w:rPr>
              <w:t>Chapter 8: Implementation Maturity Assessment</w:t>
            </w:r>
            <w:r>
              <w:rPr>
                <w:noProof/>
                <w:webHidden/>
              </w:rPr>
              <w:tab/>
            </w:r>
            <w:r>
              <w:rPr>
                <w:noProof/>
                <w:webHidden/>
              </w:rPr>
              <w:fldChar w:fldCharType="begin"/>
            </w:r>
            <w:r>
              <w:rPr>
                <w:noProof/>
                <w:webHidden/>
              </w:rPr>
              <w:instrText xml:space="preserve"> PAGEREF _Toc226178038 \h </w:instrText>
            </w:r>
            <w:r>
              <w:rPr>
                <w:noProof/>
                <w:webHidden/>
              </w:rPr>
            </w:r>
            <w:r>
              <w:rPr>
                <w:noProof/>
                <w:webHidden/>
              </w:rPr>
              <w:fldChar w:fldCharType="separate"/>
            </w:r>
            <w:r>
              <w:rPr>
                <w:noProof/>
                <w:webHidden/>
              </w:rPr>
              <w:t>40</w:t>
            </w:r>
            <w:r>
              <w:rPr>
                <w:noProof/>
                <w:webHidden/>
              </w:rPr>
              <w:fldChar w:fldCharType="end"/>
            </w:r>
          </w:hyperlink>
        </w:p>
        <w:p w14:paraId="66A5C122" w14:textId="09A84612" w:rsidR="00227C3F" w:rsidRDefault="00227C3F">
          <w:pPr>
            <w:pStyle w:val="TOC2"/>
            <w:tabs>
              <w:tab w:val="right" w:leader="dot" w:pos="9350"/>
            </w:tabs>
            <w:rPr>
              <w:noProof/>
              <w:kern w:val="2"/>
              <w:sz w:val="24"/>
              <w:szCs w:val="24"/>
              <w:lang w:val="en-GH" w:eastAsia="en-GB"/>
              <w14:ligatures w14:val="standardContextual"/>
            </w:rPr>
          </w:pPr>
          <w:hyperlink w:anchor="_Toc226178039" w:history="1">
            <w:r w:rsidRPr="00C32D67">
              <w:rPr>
                <w:rStyle w:val="Hyperlink"/>
                <w:noProof/>
              </w:rPr>
              <w:t>8.1 Purpose of the Maturity Assessment</w:t>
            </w:r>
            <w:r>
              <w:rPr>
                <w:noProof/>
                <w:webHidden/>
              </w:rPr>
              <w:tab/>
            </w:r>
            <w:r>
              <w:rPr>
                <w:noProof/>
                <w:webHidden/>
              </w:rPr>
              <w:fldChar w:fldCharType="begin"/>
            </w:r>
            <w:r>
              <w:rPr>
                <w:noProof/>
                <w:webHidden/>
              </w:rPr>
              <w:instrText xml:space="preserve"> PAGEREF _Toc226178039 \h </w:instrText>
            </w:r>
            <w:r>
              <w:rPr>
                <w:noProof/>
                <w:webHidden/>
              </w:rPr>
            </w:r>
            <w:r>
              <w:rPr>
                <w:noProof/>
                <w:webHidden/>
              </w:rPr>
              <w:fldChar w:fldCharType="separate"/>
            </w:r>
            <w:r>
              <w:rPr>
                <w:noProof/>
                <w:webHidden/>
              </w:rPr>
              <w:t>40</w:t>
            </w:r>
            <w:r>
              <w:rPr>
                <w:noProof/>
                <w:webHidden/>
              </w:rPr>
              <w:fldChar w:fldCharType="end"/>
            </w:r>
          </w:hyperlink>
        </w:p>
        <w:p w14:paraId="7FEF2C42" w14:textId="44D2A0E6" w:rsidR="00227C3F" w:rsidRDefault="00227C3F">
          <w:pPr>
            <w:pStyle w:val="TOC2"/>
            <w:tabs>
              <w:tab w:val="right" w:leader="dot" w:pos="9350"/>
            </w:tabs>
            <w:rPr>
              <w:noProof/>
              <w:kern w:val="2"/>
              <w:sz w:val="24"/>
              <w:szCs w:val="24"/>
              <w:lang w:val="en-GH" w:eastAsia="en-GB"/>
              <w14:ligatures w14:val="standardContextual"/>
            </w:rPr>
          </w:pPr>
          <w:hyperlink w:anchor="_Toc226178040" w:history="1">
            <w:r w:rsidRPr="00C32D67">
              <w:rPr>
                <w:rStyle w:val="Hyperlink"/>
                <w:noProof/>
              </w:rPr>
              <w:t>8.2 Maturity Assessment — By Institutional Tier</w:t>
            </w:r>
            <w:r>
              <w:rPr>
                <w:noProof/>
                <w:webHidden/>
              </w:rPr>
              <w:tab/>
            </w:r>
            <w:r>
              <w:rPr>
                <w:noProof/>
                <w:webHidden/>
              </w:rPr>
              <w:fldChar w:fldCharType="begin"/>
            </w:r>
            <w:r>
              <w:rPr>
                <w:noProof/>
                <w:webHidden/>
              </w:rPr>
              <w:instrText xml:space="preserve"> PAGEREF _Toc226178040 \h </w:instrText>
            </w:r>
            <w:r>
              <w:rPr>
                <w:noProof/>
                <w:webHidden/>
              </w:rPr>
            </w:r>
            <w:r>
              <w:rPr>
                <w:noProof/>
                <w:webHidden/>
              </w:rPr>
              <w:fldChar w:fldCharType="separate"/>
            </w:r>
            <w:r>
              <w:rPr>
                <w:noProof/>
                <w:webHidden/>
              </w:rPr>
              <w:t>40</w:t>
            </w:r>
            <w:r>
              <w:rPr>
                <w:noProof/>
                <w:webHidden/>
              </w:rPr>
              <w:fldChar w:fldCharType="end"/>
            </w:r>
          </w:hyperlink>
        </w:p>
        <w:p w14:paraId="1581EA4C" w14:textId="6BCEF5FB" w:rsidR="00227C3F" w:rsidRDefault="00227C3F">
          <w:pPr>
            <w:pStyle w:val="TOC2"/>
            <w:tabs>
              <w:tab w:val="right" w:leader="dot" w:pos="9350"/>
            </w:tabs>
            <w:rPr>
              <w:noProof/>
              <w:kern w:val="2"/>
              <w:sz w:val="24"/>
              <w:szCs w:val="24"/>
              <w:lang w:val="en-GH" w:eastAsia="en-GB"/>
              <w14:ligatures w14:val="standardContextual"/>
            </w:rPr>
          </w:pPr>
          <w:hyperlink w:anchor="_Toc226178041" w:history="1">
            <w:r w:rsidRPr="00C32D67">
              <w:rPr>
                <w:rStyle w:val="Hyperlink"/>
                <w:noProof/>
              </w:rPr>
              <w:t>8.3 Maturity Assessment — By Functional Layer</w:t>
            </w:r>
            <w:r>
              <w:rPr>
                <w:noProof/>
                <w:webHidden/>
              </w:rPr>
              <w:tab/>
            </w:r>
            <w:r>
              <w:rPr>
                <w:noProof/>
                <w:webHidden/>
              </w:rPr>
              <w:fldChar w:fldCharType="begin"/>
            </w:r>
            <w:r>
              <w:rPr>
                <w:noProof/>
                <w:webHidden/>
              </w:rPr>
              <w:instrText xml:space="preserve"> PAGEREF _Toc226178041 \h </w:instrText>
            </w:r>
            <w:r>
              <w:rPr>
                <w:noProof/>
                <w:webHidden/>
              </w:rPr>
            </w:r>
            <w:r>
              <w:rPr>
                <w:noProof/>
                <w:webHidden/>
              </w:rPr>
              <w:fldChar w:fldCharType="separate"/>
            </w:r>
            <w:r>
              <w:rPr>
                <w:noProof/>
                <w:webHidden/>
              </w:rPr>
              <w:t>43</w:t>
            </w:r>
            <w:r>
              <w:rPr>
                <w:noProof/>
                <w:webHidden/>
              </w:rPr>
              <w:fldChar w:fldCharType="end"/>
            </w:r>
          </w:hyperlink>
        </w:p>
        <w:p w14:paraId="340624ED" w14:textId="387FEC7E" w:rsidR="00227C3F" w:rsidRDefault="00227C3F">
          <w:pPr>
            <w:pStyle w:val="TOC2"/>
            <w:tabs>
              <w:tab w:val="right" w:leader="dot" w:pos="9350"/>
            </w:tabs>
            <w:rPr>
              <w:noProof/>
              <w:kern w:val="2"/>
              <w:sz w:val="24"/>
              <w:szCs w:val="24"/>
              <w:lang w:val="en-GH" w:eastAsia="en-GB"/>
              <w14:ligatures w14:val="standardContextual"/>
            </w:rPr>
          </w:pPr>
          <w:hyperlink w:anchor="_Toc226178042" w:history="1">
            <w:r w:rsidRPr="00C32D67">
              <w:rPr>
                <w:rStyle w:val="Hyperlink"/>
                <w:noProof/>
              </w:rPr>
              <w:t>8.4 Priorities for the Next 12 Months</w:t>
            </w:r>
            <w:r>
              <w:rPr>
                <w:noProof/>
                <w:webHidden/>
              </w:rPr>
              <w:tab/>
            </w:r>
            <w:r>
              <w:rPr>
                <w:noProof/>
                <w:webHidden/>
              </w:rPr>
              <w:fldChar w:fldCharType="begin"/>
            </w:r>
            <w:r>
              <w:rPr>
                <w:noProof/>
                <w:webHidden/>
              </w:rPr>
              <w:instrText xml:space="preserve"> PAGEREF _Toc226178042 \h </w:instrText>
            </w:r>
            <w:r>
              <w:rPr>
                <w:noProof/>
                <w:webHidden/>
              </w:rPr>
            </w:r>
            <w:r>
              <w:rPr>
                <w:noProof/>
                <w:webHidden/>
              </w:rPr>
              <w:fldChar w:fldCharType="separate"/>
            </w:r>
            <w:r>
              <w:rPr>
                <w:noProof/>
                <w:webHidden/>
              </w:rPr>
              <w:t>44</w:t>
            </w:r>
            <w:r>
              <w:rPr>
                <w:noProof/>
                <w:webHidden/>
              </w:rPr>
              <w:fldChar w:fldCharType="end"/>
            </w:r>
          </w:hyperlink>
        </w:p>
        <w:p w14:paraId="6AC35E3A" w14:textId="0B98650A" w:rsidR="00227C3F" w:rsidRDefault="00227C3F">
          <w:pPr>
            <w:pStyle w:val="TOC2"/>
            <w:tabs>
              <w:tab w:val="right" w:leader="dot" w:pos="9350"/>
            </w:tabs>
            <w:rPr>
              <w:noProof/>
              <w:kern w:val="2"/>
              <w:sz w:val="24"/>
              <w:szCs w:val="24"/>
              <w:lang w:val="en-GH" w:eastAsia="en-GB"/>
              <w14:ligatures w14:val="standardContextual"/>
            </w:rPr>
          </w:pPr>
          <w:hyperlink w:anchor="_Toc226178043" w:history="1">
            <w:r w:rsidRPr="00C32D67">
              <w:rPr>
                <w:rStyle w:val="Hyperlink"/>
                <w:noProof/>
              </w:rPr>
              <w:t>8.5 The MRV System’s Long-Term Trajectory</w:t>
            </w:r>
            <w:r>
              <w:rPr>
                <w:noProof/>
                <w:webHidden/>
              </w:rPr>
              <w:tab/>
            </w:r>
            <w:r>
              <w:rPr>
                <w:noProof/>
                <w:webHidden/>
              </w:rPr>
              <w:fldChar w:fldCharType="begin"/>
            </w:r>
            <w:r>
              <w:rPr>
                <w:noProof/>
                <w:webHidden/>
              </w:rPr>
              <w:instrText xml:space="preserve"> PAGEREF _Toc226178043 \h </w:instrText>
            </w:r>
            <w:r>
              <w:rPr>
                <w:noProof/>
                <w:webHidden/>
              </w:rPr>
            </w:r>
            <w:r>
              <w:rPr>
                <w:noProof/>
                <w:webHidden/>
              </w:rPr>
              <w:fldChar w:fldCharType="separate"/>
            </w:r>
            <w:r>
              <w:rPr>
                <w:noProof/>
                <w:webHidden/>
              </w:rPr>
              <w:t>45</w:t>
            </w:r>
            <w:r>
              <w:rPr>
                <w:noProof/>
                <w:webHidden/>
              </w:rPr>
              <w:fldChar w:fldCharType="end"/>
            </w:r>
          </w:hyperlink>
        </w:p>
        <w:p w14:paraId="1055056F" w14:textId="6402D7DF" w:rsidR="00EB2F85" w:rsidRDefault="00000000">
          <w:r>
            <w:fldChar w:fldCharType="end"/>
          </w:r>
        </w:p>
      </w:sdtContent>
    </w:sdt>
    <w:p w14:paraId="72EFECA1" w14:textId="77777777" w:rsidR="00227C3F" w:rsidRDefault="00227C3F">
      <w:pPr>
        <w:rPr>
          <w:smallCaps/>
          <w:spacing w:val="5"/>
          <w:sz w:val="32"/>
          <w:szCs w:val="32"/>
        </w:rPr>
      </w:pPr>
      <w:bookmarkStart w:id="0" w:name="executive-summary"/>
      <w:bookmarkStart w:id="1" w:name="_Toc226177987"/>
      <w:r>
        <w:br w:type="page"/>
      </w:r>
    </w:p>
    <w:p w14:paraId="10550570" w14:textId="6DD72D40" w:rsidR="00EB2F85" w:rsidRDefault="00000000">
      <w:pPr>
        <w:pStyle w:val="Heading1"/>
      </w:pPr>
      <w:r>
        <w:lastRenderedPageBreak/>
        <w:t>Executive Summary</w:t>
      </w:r>
      <w:bookmarkEnd w:id="0"/>
      <w:bookmarkEnd w:id="1"/>
    </w:p>
    <w:p w14:paraId="10550571" w14:textId="77777777" w:rsidR="00EB2F85" w:rsidRDefault="000D3473">
      <w:r>
        <w:pict w14:anchorId="06664C24">
          <v:rect id="Rectangle 4061" o:spid="_x0000_s107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333641" w14:textId="77777777" w:rsidR="00227C3F" w:rsidRDefault="00000000">
      <w:pPr>
        <w:pStyle w:val="FirstParagraph"/>
      </w:pPr>
      <w:r>
        <w:t xml:space="preserve">Ghana’s 2025 national blue carbon baseline has produced </w:t>
      </w:r>
      <w:r w:rsidR="009802FE">
        <w:t xml:space="preserve">one of </w:t>
      </w:r>
      <w:r>
        <w:t xml:space="preserve">the most accurate </w:t>
      </w:r>
      <w:r w:rsidR="00227C3F">
        <w:t>accounts</w:t>
      </w:r>
      <w:r>
        <w:t xml:space="preserve"> of the country’s coastal mangrove resource ever assembled, and its central finding is both an opportunity and an obligation. </w:t>
      </w:r>
    </w:p>
    <w:p w14:paraId="12B42BAE" w14:textId="77777777" w:rsidR="00227C3F" w:rsidRDefault="00000000">
      <w:pPr>
        <w:pStyle w:val="FirstParagraph"/>
      </w:pPr>
      <w:r>
        <w:t>The assessment, conducted by Ecological Nest Ltd under the West Africa Coastal Areas Resilience Investment Project (WACA ResIP 2</w:t>
      </w:r>
      <w:r w:rsidR="00227C3F">
        <w:t>)</w:t>
      </w:r>
      <w:r>
        <w:t xml:space="preserve">, mapped a national coastal mangrove extent of 30,025 hectares using harmonised Sentinel-2 satellite imagery at 10–20 metre resolution, classified through a Random Forest algorithm on Google Earth Engine (GEE) and validated against 319 participatory ground-truth reference points. </w:t>
      </w:r>
    </w:p>
    <w:p w14:paraId="10550572" w14:textId="38619594" w:rsidR="00EB2F85" w:rsidRDefault="00000000">
      <w:pPr>
        <w:pStyle w:val="FirstParagraph"/>
      </w:pPr>
      <w:r>
        <w:t>This figure</w:t>
      </w:r>
      <w:r w:rsidR="009802FE">
        <w:t xml:space="preserve"> which is</w:t>
      </w:r>
      <w:r>
        <w:t xml:space="preserve"> 2.81% of the total 1,068,361.48-hectare coastal landscape across 35 districts and 550 kilometres of coastline is substantially larger than any previous national estimate, which ranged from 7,240 hectares in 2013 to 18,100 hectares in 1980. The discrepancy is methodological, not ecological: the fringing stands and small fragmented patches that earlier Landsat-based analyses missed at 30-metre resolution are real </w:t>
      </w:r>
      <w:r w:rsidR="00A910B0">
        <w:t>mangrove</w:t>
      </w:r>
      <w:r>
        <w:t>s, holding real carbon, and generating real climate obligations. Ghana now has a number it can defend.</w:t>
      </w:r>
    </w:p>
    <w:p w14:paraId="00CCEAC1" w14:textId="35F8E03D" w:rsidR="00A910B0" w:rsidRDefault="00000000">
      <w:pPr>
        <w:pStyle w:val="BodyText"/>
      </w:pPr>
      <w:r>
        <w:t>The strategic significance of that number is sharpened dramatically by its spatial distribution. The Keta Lagoon Complex Ramsar Site, in the Volta Region, holds 20,717.95 hectares</w:t>
      </w:r>
      <w:r w:rsidR="00A910B0">
        <w:t>,</w:t>
      </w:r>
      <w:r>
        <w:t xml:space="preserve"> approximately 69% of the national mangrove total. No equivalent landscape exists elsewhere on the Ghanaian coast. The Songor Ramsar Site and UNESCO Biosphere Reserve, in the Ada East District, retains only 465.76 hectares of mangrove, distributed as fragmented patches across a landscape where salt pan expansion has progressively replaced wetland vegetation over decades. The Muni-Pomadze Ramsar Site, in the Central Region, carries mangrove cover so ecologically insignificant that it is characterised not as a conservation site but as a restoration landscape. This distribution means that the fate of Ghana’s blue carbon strategy is, in functional terms, the fate of the Keta Lagoon Complex. </w:t>
      </w:r>
    </w:p>
    <w:p w14:paraId="10550573" w14:textId="251DBC48" w:rsidR="00EB2F85" w:rsidRDefault="00000000">
      <w:pPr>
        <w:pStyle w:val="BodyText"/>
      </w:pPr>
      <w:r>
        <w:t>Blue carbon ecosystems store up to ten times more carbon per hectare than terrestrial forests, owing to the accumulation of organic matter in permanently anaerobic soils that resist decomposition at rates terrestrial systems cannot approach. Applied to the Keta estate, this relationship concentrates an outsized share of Ghana’s national climate potential in a single landscape whose integrity must be protected as a matter of national strategic priority, not merely local conservation interest.</w:t>
      </w:r>
    </w:p>
    <w:p w14:paraId="66A6FDAE" w14:textId="713B920D" w:rsidR="00A910B0" w:rsidRDefault="00000000">
      <w:pPr>
        <w:pStyle w:val="BodyText"/>
      </w:pPr>
      <w:r>
        <w:t>That landscape is under serious, multi-front pressure. At Keta, the fish-smoking industry</w:t>
      </w:r>
      <w:r w:rsidR="00A910B0">
        <w:t>;</w:t>
      </w:r>
      <w:r>
        <w:t xml:space="preserve"> an industry dominated by women in communities including Agbatsivi, Galotse, Bomigo, Salo, and Dzita, and built on the processing and sale of fish harvested from the very lagoon the mangroves sustain drives intensive demand for </w:t>
      </w:r>
      <w:r>
        <w:rPr>
          <w:i/>
        </w:rPr>
        <w:t>Rhizophora racemosa</w:t>
      </w:r>
      <w:r>
        <w:t xml:space="preserve"> fuelwood, preferred by kilns across the lagoon fringe for its heat output and the distinctive flavour it imparts to smoked fish. This creates what the baseline characterises as a social-ecological trap: the livelihoods that the ecosystem makes possible depend on consuming the ecosystem that supports them, progressively degrading the nursery habitat that sustains fish stocks and the mangrove canopy that supplies the fuel to process them. </w:t>
      </w:r>
    </w:p>
    <w:p w14:paraId="10550574" w14:textId="155EF92E" w:rsidR="00EB2F85" w:rsidRDefault="00000000">
      <w:pPr>
        <w:pStyle w:val="BodyText"/>
      </w:pPr>
      <w:r>
        <w:t xml:space="preserve">Approximately 70% of the natural mangrove cover around the Keta Lagoon has already been degraded or fragmented, with the most severe losses near settlements like Bomigo, Galo, and Sota. Superimposed on this livelihood-driven pressure is a structural geophysical risk that no community governance mechanism can reverse: the Akosombo Dam, constructed in 1964 sixty kilometres upstream on the Volta River, traps more than 90% of the river’s natural sediment load, starving the narrow coastal sandspit that separates the Keta Lagoon from the Atlantic Ocean of the material it needs to hold its position. The delta has shifted from a </w:t>
      </w:r>
      <w:r>
        <w:lastRenderedPageBreak/>
        <w:t>prograding system to an eroding one, exposing the mangrove estate to increasing wave energy and saltwater stress as the barrier thins. The measured consequence is a historical deforestation rate of 2.15% per year at Keta</w:t>
      </w:r>
      <w:r w:rsidR="00A910B0">
        <w:t xml:space="preserve">, </w:t>
      </w:r>
      <w:r>
        <w:t>a trajectory that, if uninterrupted, represents the loss of approximately 445 hectares of mangrove annually from Ghana’s most important carbon store.</w:t>
      </w:r>
    </w:p>
    <w:p w14:paraId="10550575" w14:textId="4EA666F0" w:rsidR="00EB2F85" w:rsidRDefault="00000000">
      <w:pPr>
        <w:pStyle w:val="BodyText"/>
      </w:pPr>
      <w:r>
        <w:t xml:space="preserve">At Songor, the degradation profile is categorically different and, in important respects, further advanced. The 465.76 hectares of mangrove that survive at Songor are the remnant of a landscape largely converted to salt pan infrastructure by industrial and artisanal mining operations concentrated around Elavanyo and Obane. Communities at Totope and Azizanya have experienced direct coastal erosion as mangrove buffering has been removed; field teams documented residential displacement at Totope attributed to shoreline retreat that mangrove loss has accelerated. </w:t>
      </w:r>
    </w:p>
    <w:p w14:paraId="08997204" w14:textId="7A95DFF6" w:rsidR="003A7DE6" w:rsidRDefault="00000000">
      <w:pPr>
        <w:pStyle w:val="BodyText"/>
      </w:pPr>
      <w:r>
        <w:t>Ghana’s National Blue Carbon Monitoring, Reporting, and Verification (MRV) Framework was designed with full knowledge of these pressures, not in ignorance of them. The system operates across four institutional tiers</w:t>
      </w:r>
      <w:r w:rsidR="00A910B0">
        <w:t>;</w:t>
      </w:r>
      <w:r>
        <w:t xml:space="preserve"> Community (CREMAs and Community Change Agents, or CCAs), District (Metropolitan, Municipal, and District Assemblies and the Wildlife Division of the Forestry Commission), National Technical (the Ministry of Lands and Natural Resources and the Ministry of Environment, Science</w:t>
      </w:r>
      <w:r w:rsidR="002902C4">
        <w:t xml:space="preserve"> and Technology </w:t>
      </w:r>
      <w:r w:rsidR="00A910B0">
        <w:t>(</w:t>
      </w:r>
      <w:r>
        <w:t>MEST</w:t>
      </w:r>
      <w:r w:rsidR="00A910B0">
        <w:t>)</w:t>
      </w:r>
      <w:r>
        <w:t>, and Independent Review</w:t>
      </w:r>
      <w:r w:rsidR="00A910B0">
        <w:t>;</w:t>
      </w:r>
      <w:r>
        <w:t xml:space="preserve"> and three functional layers: Layer I, Ecological and Carbon Integrity, which tracks mangrove extent, carbon stocks at </w:t>
      </w:r>
      <w:r w:rsidR="00A910B0">
        <w:t xml:space="preserve">both Temporary and </w:t>
      </w:r>
      <w:r>
        <w:t>Permanent Sample Plots (</w:t>
      </w:r>
      <w:r w:rsidR="00A910B0">
        <w:t>T/</w:t>
      </w:r>
      <w:r>
        <w:t xml:space="preserve">PSPs), and restoration performance; Layer II, Environmental Pressure Surveillance, which detects degradation drivers </w:t>
      </w:r>
      <w:r w:rsidR="003A7DE6">
        <w:t>like</w:t>
      </w:r>
      <w:r>
        <w:t xml:space="preserve"> fuelwood harvesting pressure, salt pan expansion, charcoal production, land tenure conflict before they produce irreversible carbon loss; and Layer III, Governance and Safeguard Assurance, which monitors the institutional health of CREMAs, the implementation of Free, Prior, and Informed Consent (FPIC) requirements, the functioning of Grievance Redress Mechanisms (GRMs), and benefit-sharing transparency. </w:t>
      </w:r>
    </w:p>
    <w:p w14:paraId="10550576" w14:textId="07E97F62" w:rsidR="00EB2F85" w:rsidRDefault="00000000">
      <w:pPr>
        <w:pStyle w:val="BodyText"/>
      </w:pPr>
      <w:r>
        <w:t xml:space="preserve">These layers are integrated rather than parallel: governance instability as measured in Layer III is treated as a leading indicator of carbon permanence risk; pressure signals in Layer II are cross-referenced against </w:t>
      </w:r>
      <w:r w:rsidR="003A7DE6">
        <w:t>T/</w:t>
      </w:r>
      <w:r>
        <w:t>PSP locations to determine whether field re-measurement should be accelerated; and ecological deterioration detected in Layer I is traced back through the pressure and governance layers to identify its institutional cause. The framework was designed for institutional permanence beyond the WACA programme cycle, with MLNR and MEST as its national custodians and CREMAs as its community-level operational backbone, because Ghana’s obligation to monitor its coastal blue carbon resource does not expire with a project disbursement period.</w:t>
      </w:r>
    </w:p>
    <w:p w14:paraId="52FFAAAD" w14:textId="6924150E" w:rsidR="003A7DE6" w:rsidRDefault="00000000">
      <w:pPr>
        <w:pStyle w:val="BodyText"/>
      </w:pPr>
      <w:r>
        <w:t xml:space="preserve">The geospatial baseline is complete, covering 30,025 hectares with the methodological rigour that the Verified Carbon Standard (Verra/VCS), Gold Standard, and Plan Vivo standards require as a precondition for project registration. Carbon inventories have been conducted and the Salo </w:t>
      </w:r>
      <w:r w:rsidR="003A7DE6">
        <w:t>Temporary and</w:t>
      </w:r>
      <w:r>
        <w:t xml:space="preserve"> Sample Plot</w:t>
      </w:r>
      <w:r w:rsidR="003A7DE6">
        <w:t>s</w:t>
      </w:r>
      <w:r>
        <w:t xml:space="preserve"> in the Keta Lagoon Complex has been established, providing the biomass and soil organic carbon anchor against which all future stock changes will be measured on a three-to-</w:t>
      </w:r>
      <w:r w:rsidR="002902C4">
        <w:t>five-year</w:t>
      </w:r>
      <w:r>
        <w:t xml:space="preserve"> re-measurement cycle. </w:t>
      </w:r>
    </w:p>
    <w:p w14:paraId="1055057B" w14:textId="6D1F65BA" w:rsidR="00EB2F85" w:rsidRDefault="00000000" w:rsidP="00BF2310">
      <w:pPr>
        <w:pStyle w:val="BodyText"/>
      </w:pPr>
      <w:r>
        <w:t xml:space="preserve">What remains is the transition from a completed baseline to a routinely operating monitoring system. The most consequential enabling action is the finalisation </w:t>
      </w:r>
      <w:r w:rsidR="003A7DE6">
        <w:t xml:space="preserve">of the outputs and the provision of the necessary transitional requirement </w:t>
      </w:r>
      <w:r w:rsidR="002902C4">
        <w:t>as recommended in chapter 8</w:t>
      </w:r>
      <w:r w:rsidR="003A7DE6">
        <w:t xml:space="preserve">. </w:t>
      </w:r>
    </w:p>
    <w:p w14:paraId="400A110A" w14:textId="77777777" w:rsidR="002902C4" w:rsidRDefault="002902C4">
      <w:pPr>
        <w:rPr>
          <w:smallCaps/>
          <w:spacing w:val="5"/>
          <w:sz w:val="32"/>
          <w:szCs w:val="32"/>
        </w:rPr>
      </w:pPr>
      <w:bookmarkStart w:id="2" w:name="chapter-1-introduction"/>
      <w:bookmarkStart w:id="3" w:name="_Toc226177988"/>
      <w:r>
        <w:br w:type="page"/>
      </w:r>
    </w:p>
    <w:p w14:paraId="1055057C" w14:textId="688E8ED3" w:rsidR="00EB2F85" w:rsidRDefault="00000000">
      <w:pPr>
        <w:pStyle w:val="Heading1"/>
      </w:pPr>
      <w:r>
        <w:lastRenderedPageBreak/>
        <w:t>Chapter 1: Introduction</w:t>
      </w:r>
      <w:bookmarkEnd w:id="2"/>
      <w:bookmarkEnd w:id="3"/>
    </w:p>
    <w:p w14:paraId="1055057D" w14:textId="77777777" w:rsidR="00EB2F85" w:rsidRDefault="000D3473">
      <w:r>
        <w:pict w14:anchorId="77AB52E6">
          <v:rect id="Rectangle 4059" o:spid="_x0000_s107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7E" w14:textId="77777777" w:rsidR="00EB2F85" w:rsidRDefault="00000000">
      <w:pPr>
        <w:pStyle w:val="Heading2"/>
      </w:pPr>
      <w:bookmarkStart w:id="4" w:name="the-waca-blue-carbon-assignment"/>
      <w:bookmarkStart w:id="5" w:name="_Toc226177989"/>
      <w:r>
        <w:t>1.1 The WACA Blue Carbon Assignment</w:t>
      </w:r>
      <w:bookmarkEnd w:id="4"/>
      <w:bookmarkEnd w:id="5"/>
    </w:p>
    <w:p w14:paraId="1055057F" w14:textId="77777777" w:rsidR="00EB2F85" w:rsidRDefault="00000000">
      <w:pPr>
        <w:pStyle w:val="FirstParagraph"/>
      </w:pPr>
      <w:r>
        <w:t>Ghana’s engagement with blue carbon science and management is rooted in a formal international commitment. The West Africa Coastal Areas Resilience Investment Project (WACA ResIP 2), financed by the World Bank under project number P175625 and approved in December 2022, was designed in direct response to the accelerating loss of coastal ecological and economic assets across the sub-region. Coastal erosion, recurrent flooding, marine pollution, and the progressive degradation of ecosystems that sustain millions of livelihoods had reached a scale that no single country could address in isolation. WACA ResIP 2 was therefore constructed as a regional platform, with Ghana, the Gambia, and Guinea-Bissau as the three beneficiary countries, each advancing site-specific investments within a shared framework of coastal resilience.</w:t>
      </w:r>
    </w:p>
    <w:p w14:paraId="10550580" w14:textId="2033CB07" w:rsidR="00EB2F85" w:rsidRDefault="00000000">
      <w:pPr>
        <w:pStyle w:val="BodyText"/>
      </w:pPr>
      <w:r>
        <w:t xml:space="preserve">In Ghana, WACA ResIP 2 is led by the Ministry of Environment, Science, </w:t>
      </w:r>
      <w:r w:rsidR="0054309E">
        <w:t xml:space="preserve">and </w:t>
      </w:r>
      <w:r>
        <w:t>Technology (MEST), which holds the primary mandate for climate and environment policy at the national level. Implementation is supported by the Ministry of Lands and Natural Resources (MLNR) through its Focal Point Unit, which provides technical oversight of the assessment workstream; the Wildlife Division of the Forestry Commission, which carries statutory responsibility for wetland and wildlife management; the Ministry of Works and Housing together with the Ghana Hydrological Authority (GHA), responsible for coastal infrastructure; and the Environmental Protection A</w:t>
      </w:r>
      <w:r w:rsidR="0054309E">
        <w:t>uthority</w:t>
      </w:r>
      <w:r>
        <w:t xml:space="preserve"> (EPA), which anchors the regulatory and compliance dimensions of project activities. This multi-ministry structure was not incidental to the design</w:t>
      </w:r>
      <w:r w:rsidR="0054309E">
        <w:t xml:space="preserve"> </w:t>
      </w:r>
      <w:r w:rsidR="007C4BA6">
        <w:t>but reflects</w:t>
      </w:r>
      <w:r>
        <w:t xml:space="preserve"> the cross-sectoral character of blue carbon governance, in which land tenure, ecosystem management, water resources, and environmental regulation must operate in concert if monitoring and restoration outcomes are to be sustained beyond the project cycle.</w:t>
      </w:r>
    </w:p>
    <w:p w14:paraId="10550581" w14:textId="77777777" w:rsidR="00EB2F85" w:rsidRDefault="00000000">
      <w:pPr>
        <w:pStyle w:val="BodyText"/>
      </w:pPr>
      <w:r>
        <w:t>The technical assessment work at the heart of this report was awarded to Ecological Nest Ltd under the Consulting Service for the Assessment of Blue Carbon Ecosystem Potentials of Ghana (Mangrove and Tidal Salt Marsh). The consultancy was charged with a specific and consequential objective: to assess and prioritise Ghana’s blue carbon ecosystem potential and to produce the baseline data necessary to develop blue carbon projects that meet both compliance and voluntary carbon market standards. That objective is not simply a technical exercise. It places Ghana at the frontier of a global movement in which coastal ecosystem management generates measurable, verifiable carbon outcomes that can attract climate finance, discharge treaty obligations, and sustain the communities that depend on mangroves and salt marshes for their livelihoods. This report is the primary technical instrument through which those outcomes will be tracked, reported, and verified.</w:t>
      </w:r>
    </w:p>
    <w:p w14:paraId="10550582" w14:textId="77777777" w:rsidR="00EB2F85" w:rsidRDefault="000D3473">
      <w:r>
        <w:pict w14:anchorId="1F338CB8">
          <v:rect id="Rectangle 4057" o:spid="_x0000_s107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83" w14:textId="77777777" w:rsidR="00EB2F85" w:rsidRDefault="00000000">
      <w:pPr>
        <w:pStyle w:val="Heading2"/>
      </w:pPr>
      <w:bookmarkStart w:id="6" w:name="ghanas-policy-context"/>
      <w:bookmarkStart w:id="7" w:name="_Toc226177990"/>
      <w:r>
        <w:t>1.2 Ghana’s Policy Context</w:t>
      </w:r>
      <w:bookmarkEnd w:id="6"/>
      <w:bookmarkEnd w:id="7"/>
    </w:p>
    <w:p w14:paraId="10550584" w14:textId="2ADBE42A" w:rsidR="00EB2F85" w:rsidRDefault="00000000">
      <w:pPr>
        <w:pStyle w:val="FirstParagraph"/>
      </w:pPr>
      <w:r>
        <w:t>Ghana’s commitment to blue carbon management is not aspirational</w:t>
      </w:r>
      <w:r w:rsidR="0054309E">
        <w:t>,</w:t>
      </w:r>
      <w:r>
        <w:t xml:space="preserve"> it is formally obligated under three distinct international frameworks, each of which creates measurable reporting requirements that this Monitoring, Reporting, and Verification (MRV) system is designed to fulfil.</w:t>
      </w:r>
    </w:p>
    <w:p w14:paraId="10550585" w14:textId="60BF79CC" w:rsidR="00EB2F85" w:rsidRDefault="00000000">
      <w:pPr>
        <w:pStyle w:val="BodyText"/>
      </w:pPr>
      <w:r>
        <w:t xml:space="preserve">As a signatory to the Paris Agreement, Ghana submitted a Nationally Determined Contribution (NDC) that identifies the land sector as the country’s largest source of potential CO₂ removals. While energy-sector </w:t>
      </w:r>
      <w:r>
        <w:lastRenderedPageBreak/>
        <w:t xml:space="preserve">emissions dominate Ghana’s greenhouse gas profile, it is the land sector </w:t>
      </w:r>
      <w:r w:rsidR="0054309E">
        <w:t>especially</w:t>
      </w:r>
      <w:r>
        <w:t xml:space="preserve"> forests, wetlands, and coastal ecosystems that holds the greatest national capacity to draw carbon out of the atmosphere and retain it at scale. Blue carbon ecosystems occupy a disproportionately large role within this potential: mangroves and tidal salt marshes store up to ten times more carbon per hectare than terrestrial forests, owing to the exceptional accumulation rates of below-ground organic matter in permanently waterlogged soils and the sustained absence of decomposition that oxygen deprivation creates. The translation of this ecological fact into NDC-aligned policy reporting is a direct purpose of the MRV framework this report describes.</w:t>
      </w:r>
    </w:p>
    <w:p w14:paraId="10550586" w14:textId="754C2685" w:rsidR="00EB2F85" w:rsidRDefault="00000000">
      <w:pPr>
        <w:pStyle w:val="BodyText"/>
      </w:pPr>
      <w:r>
        <w:t xml:space="preserve">Ghana’s obligations under the Convention on Biological Diversity (CBD) and the Kunming-Montreal Global Biodiversity Framework (GBF), adopted in December 2022, add a second layer of formal accountability. The GBF’s 30×30 </w:t>
      </w:r>
      <w:r w:rsidR="007C4BA6">
        <w:t>target requiring</w:t>
      </w:r>
      <w:r>
        <w:t xml:space="preserve"> thirty percent of the world’s land and ocean to be effectively protected by 2030 places Ghana’s three Ramsar-listed coastal wetland complexes at the centre of its biodiversity reporting commitments. The Keta Lagoon Complex Ramsar Site, the Songor Ramsar Site and UNESCO Biosphere Reserve, and the Muni-Pomadze Ramsar Site are not peripheral policy objects; they are designated sites at which the Ghanaian government has made formal international commitments to sustain ecological integrity. Any carbon project or monitoring system operating within or adjacent to these landscapes must demonstrate, not merely assert, compliance with Ramsar Convention obligations.</w:t>
      </w:r>
    </w:p>
    <w:p w14:paraId="10550587" w14:textId="04206AA8" w:rsidR="00EB2F85" w:rsidRDefault="00000000">
      <w:pPr>
        <w:pStyle w:val="BodyText"/>
      </w:pPr>
      <w:r>
        <w:t xml:space="preserve">The third frame of obligation is the Ramsar Convention itself, which requires contracting parties to maintain the ecological character of listed wetlands and to report on threats and changes. All three of Ghana’s coastal Ramsar sites fall within the assessment landscape covered by this consultancy. That these sites are simultaneously subject to intense and growing anthropogenic pressure </w:t>
      </w:r>
      <w:r w:rsidR="0054309E">
        <w:t>coming</w:t>
      </w:r>
      <w:r>
        <w:t xml:space="preserve"> from fuelwood harvesting at Keta, salt pan expansion at Songor, and agricultural encroachment at Muni-Pomadze </w:t>
      </w:r>
      <w:r w:rsidR="0054309E">
        <w:t>which</w:t>
      </w:r>
      <w:r>
        <w:t xml:space="preserve"> makes the MRV system not an optional addition to conservation planning, but the primary instrument through which Ghana demonstrates that it is meeting its Ramsar commitments with evidence rather than assertion. The policy imperative, taken together across these three frameworks, creates an obligation structure that this MRV system was specifically built to serve.</w:t>
      </w:r>
    </w:p>
    <w:p w14:paraId="10550592" w14:textId="347B701D" w:rsidR="00EB2F85" w:rsidRDefault="000D3473">
      <w:r>
        <w:pict w14:anchorId="6A2CEE7B">
          <v:rect id="Rectangle 4053" o:spid="_x0000_s107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93" w14:textId="1A513734" w:rsidR="00EB2F85" w:rsidRDefault="00000000">
      <w:pPr>
        <w:pStyle w:val="Heading2"/>
      </w:pPr>
      <w:bookmarkStart w:id="8" w:name="purpose-of-this-standalone-mrv-report"/>
      <w:bookmarkStart w:id="9" w:name="_Toc226177992"/>
      <w:r>
        <w:t>1.</w:t>
      </w:r>
      <w:r w:rsidR="002902C4">
        <w:t>3</w:t>
      </w:r>
      <w:r>
        <w:t xml:space="preserve"> Purpose of This Standalone MRV Report</w:t>
      </w:r>
      <w:bookmarkEnd w:id="8"/>
      <w:bookmarkEnd w:id="9"/>
    </w:p>
    <w:p w14:paraId="10550594" w14:textId="60164E38" w:rsidR="00EB2F85" w:rsidRDefault="00000000">
      <w:pPr>
        <w:pStyle w:val="FirstParagraph"/>
      </w:pPr>
      <w:r>
        <w:t>This Standalone MRV Report serves t</w:t>
      </w:r>
      <w:r w:rsidR="006A1EC5">
        <w:t>wo</w:t>
      </w:r>
      <w:r>
        <w:t xml:space="preserve"> distinct and non-overlapping purposes, each of which shapes its design and content.</w:t>
      </w:r>
    </w:p>
    <w:p w14:paraId="10550595" w14:textId="00BC74AD" w:rsidR="00EB2F85" w:rsidRDefault="00000000">
      <w:pPr>
        <w:pStyle w:val="BodyText"/>
      </w:pPr>
      <w:r>
        <w:t xml:space="preserve">The first is government delivery. MEST and MLNR require a standalone operational reference that Ghana’s environmental institutions can use to implement, manage, and oversee the national MRV system independently of the consultancy that designed it. The report is written </w:t>
      </w:r>
      <w:r w:rsidR="007C4BA6">
        <w:t>accordingly in</w:t>
      </w:r>
      <w:r>
        <w:t xml:space="preserve"> full, authored prose, with complete institutional guidance, indicator specifications, and procedural detail so that it can function as a governing document for the national MRV system without reference to any external technical file. It is addressed to the government institutions that will own and operate the system, and it is written to be used, not merely consulted.</w:t>
      </w:r>
    </w:p>
    <w:p w14:paraId="10550597" w14:textId="633D5081" w:rsidR="00EB2F85" w:rsidRDefault="00000000">
      <w:pPr>
        <w:pStyle w:val="BodyText"/>
      </w:pPr>
      <w:r>
        <w:t xml:space="preserve">The </w:t>
      </w:r>
      <w:r w:rsidR="006A1EC5">
        <w:t>second</w:t>
      </w:r>
      <w:r>
        <w:t xml:space="preserve"> purpose is to function as a technical reference for carbon market engagement and third-party verification. Whether Ghana’s blue carbon assets are advanced through the voluntary carbon market under standards such as Verra’s Verified Carbon Standard (VCS) or Plan Vivo, or through compliance mechanisms aligned with Article 6 of the Paris Agreement, independent verifiers will need to assess whether the monitoring architecture is methodologically sound, institutionally grounded, and operationally realistic. This report is designed to satisfy that scrutiny. It provides the methodological justifications, institutional </w:t>
      </w:r>
      <w:r>
        <w:lastRenderedPageBreak/>
        <w:t>arrangements, data flow specifications, and quality assurance protocols that verification bodies require, in a format that carbon market reviewers can assess directly.</w:t>
      </w:r>
    </w:p>
    <w:p w14:paraId="10550598" w14:textId="42465BC6" w:rsidR="00EB2F85" w:rsidRDefault="00000000">
      <w:pPr>
        <w:pStyle w:val="BodyText"/>
      </w:pPr>
      <w:r>
        <w:t xml:space="preserve">These </w:t>
      </w:r>
      <w:r w:rsidR="006A1EC5">
        <w:t>two</w:t>
      </w:r>
      <w:r>
        <w:t xml:space="preserve"> purposes create a document that is simultaneously operational guidance, synthesis input, and technical evidence. The MRV Standalone Report is not a planning framework or a concept note. It describes a system that has been designed, partially deployed, and grounded in the specific ecological and institutional realities of Ghana’s coastal landscape.</w:t>
      </w:r>
    </w:p>
    <w:p w14:paraId="10550599" w14:textId="77777777" w:rsidR="00EB2F85" w:rsidRDefault="000D3473">
      <w:r>
        <w:pict w14:anchorId="7E68F564">
          <v:rect id="Rectangle 4051" o:spid="_x0000_s107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9A" w14:textId="2903CA41" w:rsidR="00EB2F85" w:rsidRDefault="00000000">
      <w:pPr>
        <w:pStyle w:val="Heading2"/>
      </w:pPr>
      <w:bookmarkStart w:id="10" w:name="geographic-scope"/>
      <w:bookmarkStart w:id="11" w:name="_Toc226177993"/>
      <w:r>
        <w:t>1.</w:t>
      </w:r>
      <w:r w:rsidR="002902C4">
        <w:t>4</w:t>
      </w:r>
      <w:r>
        <w:t xml:space="preserve"> Geographic Scope</w:t>
      </w:r>
      <w:bookmarkEnd w:id="10"/>
      <w:bookmarkEnd w:id="11"/>
    </w:p>
    <w:p w14:paraId="1055059B" w14:textId="13629801" w:rsidR="00EB2F85" w:rsidRDefault="00000000">
      <w:pPr>
        <w:pStyle w:val="FirstParagraph"/>
      </w:pPr>
      <w:r>
        <w:t xml:space="preserve">The assessment covers a national coastal landscape of 1,068,361.48 hectares, encompassing 35 coastal districts along Ghana’s 550-kilometre coastline from the </w:t>
      </w:r>
      <w:r w:rsidR="007C4BA6">
        <w:t>Ghanaian Ivorian</w:t>
      </w:r>
      <w:r>
        <w:t xml:space="preserve"> border in the west to the </w:t>
      </w:r>
      <w:r w:rsidR="003A6B74">
        <w:t>Ghanaian Togolese</w:t>
      </w:r>
      <w:r>
        <w:t xml:space="preserve"> border in the east. This is not a sample or a selected sub-region; it is the full extent of Ghana’s coastal zone, assessed at the national level for mangrove and tidal salt marsh distribution, and examined in site-specific depth at the three internationally designated Ramsar wetland complexes that contain the country’s ecologically significant blue carbon resources.</w:t>
      </w:r>
    </w:p>
    <w:p w14:paraId="1055059F" w14:textId="42A744A8" w:rsidR="00EB2F85" w:rsidRDefault="00000000">
      <w:pPr>
        <w:pStyle w:val="BodyText"/>
      </w:pPr>
      <w:r>
        <w:t>The geographic scope of this MRV report operates at two levels simultaneously. At the national framework level, it provides the monitoring architecture, institutional arrangements, reporting cycle, and carbon accounting protocol that apply to all blue carbon ecosystems along Ghana’s coastline. At the pilot implementation level, it describes in operational detail the specific monitoring infrastructure, station network, and field protocols deployed at Keta</w:t>
      </w:r>
      <w:r w:rsidR="006A1EC5">
        <w:t>,</w:t>
      </w:r>
      <w:r>
        <w:t xml:space="preserve"> the site where the deepest layered baseline, the most complete </w:t>
      </w:r>
      <w:r w:rsidR="006A1EC5">
        <w:t>T</w:t>
      </w:r>
      <w:r>
        <w:t>SP</w:t>
      </w:r>
      <w:r w:rsidR="006A1EC5">
        <w:t>s</w:t>
      </w:r>
      <w:r>
        <w:t xml:space="preserve"> network, and the most advanced governance structures make full MRV system deployment possible within the current project cycle.</w:t>
      </w:r>
    </w:p>
    <w:p w14:paraId="105505A0" w14:textId="77777777" w:rsidR="00EB2F85" w:rsidRDefault="000D3473">
      <w:r>
        <w:pict w14:anchorId="09C920A3">
          <v:rect id="Rectangle 4049" o:spid="_x0000_s106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A1" w14:textId="02C489B9" w:rsidR="00EB2F85" w:rsidRDefault="00000000">
      <w:pPr>
        <w:pStyle w:val="Heading2"/>
      </w:pPr>
      <w:bookmarkStart w:id="12" w:name="X080728a9f7c02e10eb2136f4ab687ec7eebfa90"/>
      <w:bookmarkStart w:id="13" w:name="_Toc226177994"/>
      <w:r>
        <w:t>1.</w:t>
      </w:r>
      <w:r w:rsidR="002902C4">
        <w:t>5</w:t>
      </w:r>
      <w:r>
        <w:t xml:space="preserve"> Relationship to the Wider Baseline Package</w:t>
      </w:r>
      <w:bookmarkEnd w:id="12"/>
      <w:bookmarkEnd w:id="13"/>
    </w:p>
    <w:p w14:paraId="105505A2" w14:textId="77777777" w:rsidR="00EB2F85" w:rsidRDefault="00000000">
      <w:pPr>
        <w:pStyle w:val="FirstParagraph"/>
      </w:pPr>
      <w:r>
        <w:t>The MRV Framework described in this report was designed to draw on, and give operational coherence to, six distinct baseline workstreams that were developed in parallel across the consultancy programme. Each workstream generated a standalone technical output; the MRV Framework is the instrument through which those outputs are operationalised as a functioning monitoring system.</w:t>
      </w:r>
    </w:p>
    <w:p w14:paraId="105505A3" w14:textId="28F26B23" w:rsidR="00EB2F85" w:rsidRDefault="00000000">
      <w:pPr>
        <w:pStyle w:val="BodyText"/>
      </w:pPr>
      <w:r>
        <w:t>The Geospatial Mangrove Extent Mapping workstream produced the spatial baseline a land cover map of Ghana’s mangrove ecosystems, validated with 319 ground-truth reference points, that establishes the area boundaries against which all future change in ecosystem extent will be detected. The MRV Framework uses this spatial baseline as the reference layer for annual mangrove extent monitoring via Sentinel-2 satellite imagery processed on GEE, triggering field verification when the automated change detection identifies area loss or degradation above defined thresholds.</w:t>
      </w:r>
    </w:p>
    <w:p w14:paraId="105505A4" w14:textId="126C2D5A" w:rsidR="00EB2F85" w:rsidRDefault="00000000">
      <w:pPr>
        <w:pStyle w:val="BodyText"/>
      </w:pPr>
      <w:r>
        <w:t>The Carbon Inventory workstream established the carbon stock baseline</w:t>
      </w:r>
      <w:r w:rsidR="00C9511C">
        <w:t>,</w:t>
      </w:r>
      <w:r>
        <w:t xml:space="preserve"> the measured quantities of above-ground biomass, below-ground biomass, deadwood, and soil organic carbon at each priority site from which emission reductions and carbon sequestration increments will be calculated. The MRV Framework specifies the </w:t>
      </w:r>
      <w:r w:rsidR="00C9511C">
        <w:t>T/</w:t>
      </w:r>
      <w:r>
        <w:t>PSP re-measurement cycle, the carbon accounting methodology, and the data quality protocols that maintain the scientific credibility of stock change estimates over time.</w:t>
      </w:r>
    </w:p>
    <w:p w14:paraId="105505A5" w14:textId="3CE23A0A" w:rsidR="00EB2F85" w:rsidRDefault="00000000">
      <w:pPr>
        <w:pStyle w:val="BodyText"/>
      </w:pPr>
      <w:r>
        <w:lastRenderedPageBreak/>
        <w:t>The Ecosystem Health Assessment workstream provided site-level diagnostic data on vegetation condition, species composition, water quality, and structural integrity at Keta and Ada. These findings inform the ecological indicators tracked within Layer I of the MRV system</w:t>
      </w:r>
      <w:r w:rsidR="00C9511C">
        <w:t>,</w:t>
      </w:r>
      <w:r>
        <w:t xml:space="preserve"> the Ecological and Carbon Integrity Layer and provide the ecological context that distinguishes between carbon changes attributable to project activities and those driven by background environmental change.</w:t>
      </w:r>
    </w:p>
    <w:p w14:paraId="105505A6" w14:textId="59A2BB2B" w:rsidR="00EB2F85" w:rsidRDefault="00000000">
      <w:pPr>
        <w:pStyle w:val="BodyText"/>
      </w:pPr>
      <w:r>
        <w:t>The Environmental Pressure and Community Dependency Assessment documented the human drivers of ecosystem degradation</w:t>
      </w:r>
      <w:r w:rsidR="00C9511C">
        <w:t>;</w:t>
      </w:r>
      <w:r>
        <w:t xml:space="preserve"> fuelwood harvesting, salt pan expansion, coastal erosion, agricultural encroachment, pollution and quantified the degree to which communities at each site depend on mangrove and salt marsh resources for their economic </w:t>
      </w:r>
      <w:r w:rsidR="007C4BA6">
        <w:t>survival.</w:t>
      </w:r>
    </w:p>
    <w:p w14:paraId="105505A7" w14:textId="45021FF3" w:rsidR="00EB2F85" w:rsidRDefault="00000000">
      <w:pPr>
        <w:pStyle w:val="BodyText"/>
      </w:pPr>
      <w:r>
        <w:t>The Governance Readiness Evaluation assessed the institutional capacity of existing community governance structures CREMAs, traditional authority systems, and district management institutions to participate meaningfully in monitoring, benefit-sharing, and grievance management. Its findings determine the calibration of Layer III, the Governance and Safeguard Assurance Layer, which tracks the health of governance institutions over time and flags risks of elite capture, exclusion, and benefit-sharing failure before they undermine the integrity of the carbon programme.</w:t>
      </w:r>
    </w:p>
    <w:p w14:paraId="105505A8" w14:textId="0D8D090A" w:rsidR="00EB2F85" w:rsidRDefault="00000000">
      <w:pPr>
        <w:pStyle w:val="BodyText"/>
      </w:pPr>
      <w:r>
        <w:t xml:space="preserve">The Socio-Economic Profiling workstream characterised the livelihood systems, demographic profiles, and economic dependencies of the 37 communities assessed across the three Ramsar landscapes, establishing the social baseline against which changes in community </w:t>
      </w:r>
      <w:r w:rsidR="007C4BA6">
        <w:t>welfare for</w:t>
      </w:r>
      <w:r>
        <w:t xml:space="preserve"> better or </w:t>
      </w:r>
      <w:r w:rsidR="007C4BA6">
        <w:t>worse attributable</w:t>
      </w:r>
      <w:r>
        <w:t xml:space="preserve"> to the blue carbon programme will be tracked. More than 70 percent of households in the assessed communities depend on mangrove-linked activities for their primary livelihoods, a dependency that makes the social integrity of the MRV system not a secondary governance concern but a condition of the programme’s operational sustainability.</w:t>
      </w:r>
    </w:p>
    <w:p w14:paraId="105505AA" w14:textId="77777777" w:rsidR="00EB2F85" w:rsidRDefault="000D3473">
      <w:r>
        <w:pict w14:anchorId="2E04030C">
          <v:rect id="Rectangle 4047" o:spid="_x0000_s106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AB" w14:textId="0A7659AF" w:rsidR="00EB2F85" w:rsidRDefault="00000000">
      <w:pPr>
        <w:pStyle w:val="Heading2"/>
      </w:pPr>
      <w:bookmarkStart w:id="14" w:name="structure-of-this-report"/>
      <w:bookmarkStart w:id="15" w:name="_Toc226177995"/>
      <w:r>
        <w:t>1.</w:t>
      </w:r>
      <w:r w:rsidR="009B4608">
        <w:t>6</w:t>
      </w:r>
      <w:r>
        <w:t xml:space="preserve"> Structure of This Report</w:t>
      </w:r>
      <w:bookmarkEnd w:id="14"/>
      <w:bookmarkEnd w:id="15"/>
    </w:p>
    <w:p w14:paraId="105505AC" w14:textId="51C2A0AE" w:rsidR="00EB2F85" w:rsidRDefault="00000000">
      <w:pPr>
        <w:pStyle w:val="FirstParagraph"/>
      </w:pPr>
      <w:r>
        <w:t xml:space="preserve">The twelve chapters that follow are organised to move the </w:t>
      </w:r>
      <w:r w:rsidR="00C9511C">
        <w:t>users of the report</w:t>
      </w:r>
      <w:r>
        <w:t xml:space="preserve"> from strategic context and system architecture through to operational implementation and maturity assessment, building sequentially on each layer of the MRV system before describing how those layers function in practice at the Keta pilot site.</w:t>
      </w:r>
    </w:p>
    <w:p w14:paraId="105505AD" w14:textId="77777777" w:rsidR="00EB2F85" w:rsidRDefault="00000000">
      <w:pPr>
        <w:pStyle w:val="BodyText"/>
      </w:pPr>
      <w:r>
        <w:t>Chapter 2, Strategic Context and National Purpose, grounds the MRV system in Ghana’s policy and treaty environment, explaining precisely how the monitoring architecture serves Ghana’s NDC commitments, Ramsar Convention obligations, CBD/GBF reporting requirements, and the national blue economy agenda. It establishes why MRV is not a technical add-on to restoration planning but the mechanism through which the policy commitments made at international level translate into verifiable domestic action.</w:t>
      </w:r>
    </w:p>
    <w:p w14:paraId="105505AE" w14:textId="03644579" w:rsidR="00EB2F85" w:rsidRDefault="00000000">
      <w:pPr>
        <w:pStyle w:val="BodyText"/>
      </w:pPr>
      <w:r>
        <w:t>Chapter 3, National MRV Architecture, describes the full structure of the MRV system</w:t>
      </w:r>
      <w:r w:rsidR="00C9511C">
        <w:t>,</w:t>
      </w:r>
      <w:r>
        <w:t xml:space="preserve"> its four institutional tiers (community, district, national technical, and independent review) and its three functional layers (Ecological and Carbon Integrity, Environmental Pressure Surveillance, and Governance and Safeguard Assurance) explaining the logic behind each design decision and how the tiers and layers interact to create a system that is simultaneously sensitive to ecosystem change and resilient to institutional disruption.</w:t>
      </w:r>
    </w:p>
    <w:p w14:paraId="105505AF" w14:textId="38C9EADB" w:rsidR="00EB2F85" w:rsidRDefault="00000000">
      <w:pPr>
        <w:pStyle w:val="BodyText"/>
      </w:pPr>
      <w:r>
        <w:t>Chapter 4, Ecological and Carbon Integrity Layer, provides the detailed specification of Layer I</w:t>
      </w:r>
      <w:r w:rsidR="00C9511C">
        <w:t>,</w:t>
      </w:r>
      <w:r>
        <w:t xml:space="preserve"> the monitoring of carbon stocks, ecosystem extent, and restoration performance that forms the scientific core of the MRV system. It describes the </w:t>
      </w:r>
      <w:r w:rsidR="00C9511C">
        <w:t>T/</w:t>
      </w:r>
      <w:r>
        <w:t xml:space="preserve">PSP network, carbon pool measurement protocols, remote sensing </w:t>
      </w:r>
      <w:r>
        <w:lastRenderedPageBreak/>
        <w:t>cadence, and the methodological alignment with the IPCC Wetlands Supplement that qualifies the system for both national reporting and carbon market verification.</w:t>
      </w:r>
    </w:p>
    <w:p w14:paraId="105505B0" w14:textId="35439A5E" w:rsidR="00EB2F85" w:rsidRDefault="00000000">
      <w:pPr>
        <w:pStyle w:val="BodyText"/>
      </w:pPr>
      <w:r>
        <w:t>Chapter 5, Environmental Pressure Surveillance, describes Layer II</w:t>
      </w:r>
      <w:r w:rsidR="00C9511C">
        <w:t>,</w:t>
      </w:r>
      <w:r>
        <w:t xml:space="preserve"> the monitoring of the human drivers of ecosystem degradation that the baseline documented in granular site-specific detail. It explains how surveillance of fuelwood harvesting pressure at Keta, salt pan dynamics at Songor, and agricultural encroachment at Muni-Pomadze is operationalised as a set of leading indicators that the system tracks ahead of carbon stock change, enabling management response before irreversible degradation occurs.</w:t>
      </w:r>
    </w:p>
    <w:p w14:paraId="105505B1" w14:textId="7D85D492" w:rsidR="00EB2F85" w:rsidRDefault="00000000">
      <w:pPr>
        <w:pStyle w:val="BodyText"/>
      </w:pPr>
      <w:r>
        <w:t>Chapter 6, Governance and Safeguard Assurance, describes Layer III</w:t>
      </w:r>
      <w:r w:rsidR="001A065C">
        <w:t xml:space="preserve">; </w:t>
      </w:r>
      <w:r>
        <w:t>the monitoring of the institutional health of CREMAs, the implementation of Free, Prior, and Informed Consent (FPIC) requirements, the functioning of Grievance Redress Mechanisms (GRMs), gender inclusion standards, and benefit-sharing transparency. It explains how the system tracks governance integrity as a precondition for the social and environmental legitimacy of carbon credits.</w:t>
      </w:r>
    </w:p>
    <w:p w14:paraId="105505B5" w14:textId="2AC285B2" w:rsidR="00EB2F85" w:rsidRDefault="00000000">
      <w:pPr>
        <w:pStyle w:val="BodyText"/>
      </w:pPr>
      <w:r>
        <w:t xml:space="preserve">Chapter </w:t>
      </w:r>
      <w:r w:rsidR="009B4608">
        <w:t>7</w:t>
      </w:r>
      <w:r>
        <w:t>, Reporting Framework, describes the full reporting cycle</w:t>
      </w:r>
      <w:r w:rsidR="001A065C">
        <w:t xml:space="preserve">, </w:t>
      </w:r>
      <w:r>
        <w:t>quarterly field data reporting, annual National Blue Carbon MRV Reports, five-year comprehensive reviews, and the linkage between internal national reporting and the external reporting obligations to the World Bank, carbon market verifiers, and international convention bodies.</w:t>
      </w:r>
    </w:p>
    <w:p w14:paraId="105505B7" w14:textId="39CA7AAD" w:rsidR="00EB2F85" w:rsidRDefault="00000000">
      <w:pPr>
        <w:pStyle w:val="BodyText"/>
      </w:pPr>
      <w:r>
        <w:t xml:space="preserve">Chapter </w:t>
      </w:r>
      <w:r w:rsidR="009B4608">
        <w:t>8</w:t>
      </w:r>
      <w:r>
        <w:t>, Implementation Maturity Assessment, provides an honest, evidence-grounded account of where the MRV system currently stands</w:t>
      </w:r>
      <w:r w:rsidR="001A065C">
        <w:t>,</w:t>
      </w:r>
      <w:r>
        <w:t xml:space="preserve"> what has been built, what is partially operational, what remains to be resourced and commissioned and what institutional and financial conditions must be met to move from a well-designed framework to a fully functioning national monitoring system. The chapter distinguishes between the completeness of the MRV framework design and the progress of MRV system operationalisation, giving MEST and MLNR a clear map of the investments required to cross that threshold.</w:t>
      </w:r>
    </w:p>
    <w:p w14:paraId="105505B8" w14:textId="77777777" w:rsidR="00EB2F85" w:rsidRDefault="00000000">
      <w:pPr>
        <w:pStyle w:val="BodyText"/>
      </w:pPr>
      <w:r>
        <w:t>The Annexes provide the technical reference material that supports but does not appear in the main chapters: detailed indicator tables, data dictionaries, field protocol summaries, and the spatial data that anchors the monitoring network to specific coordinates within the assessed landscape.</w:t>
      </w:r>
    </w:p>
    <w:p w14:paraId="105505BB" w14:textId="77777777" w:rsidR="00EB2F85" w:rsidRDefault="000D3473">
      <w:r>
        <w:pict w14:anchorId="3E5BF6A8">
          <v:rect id="Rectangle 4045" o:spid="_x0000_s106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BC" w14:textId="77777777" w:rsidR="00EB2F85" w:rsidRDefault="00000000">
      <w:pPr>
        <w:pStyle w:val="Heading1"/>
      </w:pPr>
      <w:bookmarkStart w:id="16" w:name="X03388363acea9b16ad216565a4ebc67be554795"/>
      <w:bookmarkStart w:id="17" w:name="_Toc226177996"/>
      <w:r>
        <w:t>Chapter 2: Strategic Context and National Purpose</w:t>
      </w:r>
      <w:bookmarkEnd w:id="16"/>
      <w:bookmarkEnd w:id="17"/>
    </w:p>
    <w:p w14:paraId="105505BD" w14:textId="77777777" w:rsidR="00EB2F85" w:rsidRDefault="000D3473">
      <w:r>
        <w:pict w14:anchorId="7AC56F4D">
          <v:rect id="Rectangle 4043" o:spid="_x0000_s106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BE" w14:textId="77777777" w:rsidR="00EB2F85" w:rsidRDefault="00000000">
      <w:pPr>
        <w:pStyle w:val="Heading2"/>
      </w:pPr>
      <w:bookmarkStart w:id="18" w:name="X653db0dd81bea20555485d3f9ebd04ba8e93f9a"/>
      <w:bookmarkStart w:id="19" w:name="_Toc226177997"/>
      <w:r>
        <w:t>2.1 West Africa’s Coastal Crisis and Ghana’s National Response</w:t>
      </w:r>
      <w:bookmarkEnd w:id="18"/>
      <w:bookmarkEnd w:id="19"/>
    </w:p>
    <w:p w14:paraId="105505BF" w14:textId="77777777" w:rsidR="00EB2F85" w:rsidRDefault="00000000">
      <w:pPr>
        <w:pStyle w:val="FirstParagraph"/>
      </w:pPr>
      <w:r>
        <w:t>Ghana’s 550-kilometre coastline is one of the most ecologically productive and economically vital stretches of the West African littoral, yet it is also one of the most threatened. Over recent decades, the combined pressures of coastal erosion, recurrent flooding, marine and lagoon pollution, and the progressive degradation of mangrove, salt marsh, and wetland ecosystems have reached a scale that measurably undermines the livelihoods, food security, and physical safety of the communities that depend on them. These are not isolated incidents of localised environmental stress. They are symptoms of a systemic failure to manage the interface between a growing population, intensifying resource extraction, and a coastal landscape whose capacity to absorb pressure has been diminishing without replacement.</w:t>
      </w:r>
    </w:p>
    <w:p w14:paraId="105505C0" w14:textId="41770E39" w:rsidR="00EB2F85" w:rsidRDefault="00000000">
      <w:pPr>
        <w:pStyle w:val="BodyText"/>
      </w:pPr>
      <w:r>
        <w:t>It was this recognition</w:t>
      </w:r>
      <w:r w:rsidR="001A065C">
        <w:t>;</w:t>
      </w:r>
      <w:r>
        <w:t xml:space="preserve"> shared across the sub-region that motivated the design of the West Africa Coastal Areas Resilience Investment Project (WACA ResIP 2). </w:t>
      </w:r>
    </w:p>
    <w:p w14:paraId="105505C1" w14:textId="18A4CC88" w:rsidR="00EB2F85" w:rsidRDefault="00000000">
      <w:pPr>
        <w:pStyle w:val="BodyText"/>
      </w:pPr>
      <w:r>
        <w:lastRenderedPageBreak/>
        <w:t xml:space="preserve">In Ghana, the project objective is specifically to strengthen the resilience of coastal communities by restoring and protecting the critical coastal ecosystems that provide essential services storm buffering, fisheries nursery habitat, carbon sequestration, and livelihood </w:t>
      </w:r>
      <w:r w:rsidR="009B4608">
        <w:t>support to</w:t>
      </w:r>
      <w:r>
        <w:t xml:space="preserve"> the millions of people who live within and adjacent to these landscapes. </w:t>
      </w:r>
    </w:p>
    <w:p w14:paraId="105505C2" w14:textId="1536DAAA" w:rsidR="00EB2F85" w:rsidRDefault="00000000">
      <w:pPr>
        <w:pStyle w:val="BodyText"/>
      </w:pPr>
      <w:r>
        <w:t xml:space="preserve">Blue carbon ecosystems mangroves, tidal salt marshes, and seagrasses occupy a distinctive position within this response framework precisely because they deliver simultaneously across three dimensions that coastal resilience programmes most often treat separately. They are climate mitigation assets, storing and sequestering carbon at rates that make them irreplaceable in national emissions accounting. They are biodiversity infrastructure, providing nursery habitat, foraging grounds, and ecological connectivity that sustain coastal fisheries and the livelihoods built around them. And they are community economic assets, supplying the fuelwood, fishing grounds, non-timber forest products, and storm protection that millions of households in Ghana’s coastal zone depend on for their daily subsistence. The capacity to deliver across these three dimensions from a single </w:t>
      </w:r>
      <w:r w:rsidR="00A827F8">
        <w:t>landscape rather</w:t>
      </w:r>
      <w:r>
        <w:t xml:space="preserve"> than trading off mitigation against livelihoods or biodiversity against economic </w:t>
      </w:r>
      <w:r w:rsidR="00A827F8">
        <w:t>use is</w:t>
      </w:r>
      <w:r>
        <w:t xml:space="preserve"> what makes the strategic management of Ghana’s blue carbon ecosystems a national priority, not merely an environmental one.</w:t>
      </w:r>
    </w:p>
    <w:p w14:paraId="105505C3" w14:textId="77777777" w:rsidR="00EB2F85" w:rsidRDefault="000D3473">
      <w:r>
        <w:pict w14:anchorId="18BA1A6F">
          <v:rect id="Rectangle 4041" o:spid="_x0000_s106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C4" w14:textId="77777777" w:rsidR="00EB2F85" w:rsidRDefault="00000000">
      <w:pPr>
        <w:pStyle w:val="Heading2"/>
      </w:pPr>
      <w:bookmarkStart w:id="20" w:name="the-scale-of-ghanas-blue-carbon-resource"/>
      <w:bookmarkStart w:id="21" w:name="_Toc226177998"/>
      <w:r>
        <w:t>2.2 The Scale of Ghana’s Blue Carbon Resource</w:t>
      </w:r>
      <w:bookmarkEnd w:id="20"/>
      <w:bookmarkEnd w:id="21"/>
    </w:p>
    <w:p w14:paraId="105505C5" w14:textId="2A3A73F1" w:rsidR="00EB2F85" w:rsidRDefault="00000000">
      <w:pPr>
        <w:pStyle w:val="FirstParagraph"/>
      </w:pPr>
      <w:r>
        <w:t>Understanding the strategic stakes of the WACA Blue Carbon Assessment requires a clear account of what the 2025 baseline revealed about the scale of Ghana’s coastal mangrove resource and why that account represents a fundamental revision of previous understanding.</w:t>
      </w:r>
    </w:p>
    <w:p w14:paraId="105505C7" w14:textId="63D67F34" w:rsidR="00EB2F85" w:rsidRDefault="00000000">
      <w:pPr>
        <w:pStyle w:val="BodyText"/>
      </w:pPr>
      <w:r>
        <w:t xml:space="preserve">The 2025 assessment </w:t>
      </w:r>
      <w:r w:rsidR="004700B3">
        <w:t>(</w:t>
      </w:r>
      <w:r w:rsidR="009B4608">
        <w:t>details</w:t>
      </w:r>
      <w:r w:rsidR="004700B3">
        <w:t xml:space="preserve"> in the geo-social mangrove extent report) </w:t>
      </w:r>
      <w:r>
        <w:t xml:space="preserve">resolved </w:t>
      </w:r>
      <w:r w:rsidR="004700B3">
        <w:t>ambiguity is varying mangrove extents</w:t>
      </w:r>
      <w:r>
        <w:t xml:space="preserve">. Using harmonised Sentinel-2 multispectral imagery at 10–20 metre spatial </w:t>
      </w:r>
      <w:r w:rsidR="009B4608">
        <w:t>resolution a</w:t>
      </w:r>
      <w:r>
        <w:t xml:space="preserve"> significant advance over the 30-metre Landsat data, the assessment produced a new national mangrove extent figure of 30,025 hectares, equivalent to 2.81 percent of Ghana’s total coastal landscape area of 1,068,361.48 hectares, spanning 35 coastal districts. The classification model was trained and validated against 319 reference data points collected through a participatory ground-truthing process involving field visits with local community members and technical officers, supplemented by interpretation of very high-resolution imagery for areas inaccessible on foot. This was not merely a statistical exercise: community participants in the ground-truthing process identified previously undocumented mangrove stands that had been missed entirely by earlier global and regional datasets. The new figure of 30,025 hectares should therefore be read as the first accurate national count, not as evidence of a recent expansion.</w:t>
      </w:r>
    </w:p>
    <w:p w14:paraId="105505C8" w14:textId="40B29EFC" w:rsidR="00EB2F85" w:rsidRDefault="00000000">
      <w:pPr>
        <w:pStyle w:val="BodyText"/>
      </w:pPr>
      <w:r>
        <w:t>The strategic importance of this revised figure lies not only in its size, but in the carbon implication of each hectare. Unlike a terrestrial forest, where much of the stored carbon turns over rapidly through decomposition, a healthy mangrove</w:t>
      </w:r>
      <w:r w:rsidR="004700B3">
        <w:t xml:space="preserve"> </w:t>
      </w:r>
      <w:r>
        <w:t>holds centuries of accumulated carbon in its sediment profile. The corollary is stark: each hectare of mangrove lost to clearance, conversion, or degradation does not simply stop sequestering it releases a disproportionately large pulse of previously sequestered carbon, drawing down a carbon stock that took generations to accumulate. This is why the 2025 national baseline is a matter of strategic national importance, not just ecological interest. Ghana’s carbon market credibility, its NDC reporting obligations, and its capacity to attract blue carbon finance are all grounded, ultimately, in the credibility of this number and the rigour of the methodology behind it.</w:t>
      </w:r>
    </w:p>
    <w:p w14:paraId="105505C9" w14:textId="77777777" w:rsidR="00EB2F85" w:rsidRDefault="000D3473">
      <w:r>
        <w:pict w14:anchorId="2A244B60">
          <v:rect id="Rectangle 4039" o:spid="_x0000_s106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CA" w14:textId="77777777" w:rsidR="00EB2F85" w:rsidRDefault="00000000">
      <w:pPr>
        <w:pStyle w:val="Heading2"/>
      </w:pPr>
      <w:bookmarkStart w:id="22" w:name="X3ee2b5dbd2a5bdb8d97a96c48ec326a01845cb3"/>
      <w:bookmarkStart w:id="23" w:name="_Toc226177999"/>
      <w:r>
        <w:lastRenderedPageBreak/>
        <w:t>2.3 The Landscape Concentration Risk: Keta, Songor, and Muni-Pomadze</w:t>
      </w:r>
      <w:bookmarkEnd w:id="22"/>
      <w:bookmarkEnd w:id="23"/>
    </w:p>
    <w:p w14:paraId="105505CB" w14:textId="77777777" w:rsidR="00EB2F85" w:rsidRDefault="00000000">
      <w:pPr>
        <w:pStyle w:val="FirstParagraph"/>
      </w:pPr>
      <w:r>
        <w:t>The national figure of 30,025 hectares distributes across Ghana’s coastline in a pattern that is analytically more important than the headline number itself: it is not spread evenly, and it is not spread across many sites of comparable significance. The distribution is concentrated to a degree that creates a specific kind of strategic risk that must be understood before any monitoring or management system can be designed with adequate ambition.</w:t>
      </w:r>
    </w:p>
    <w:p w14:paraId="105505CC" w14:textId="70E1843D" w:rsidR="00EB2F85" w:rsidRDefault="00A827F8">
      <w:pPr>
        <w:pStyle w:val="BodyText"/>
      </w:pPr>
      <w:r>
        <w:t>The Keta Lagoon Complex Ramsar Site</w:t>
      </w:r>
      <w:r w:rsidR="00000000">
        <w:t xml:space="preserve"> holds 20,717.95 hectares</w:t>
      </w:r>
      <w:r w:rsidR="004700B3">
        <w:t xml:space="preserve">. </w:t>
      </w:r>
      <w:r w:rsidR="00000000">
        <w:t>This is not a site of local importance that happens to be large. It is the central pillar of Ghana’s national blue carbon strategy. The spatial distribution within the site is characterised by large, continuous stretches of mangrove across the areas between the main lagoon body and the Volta River estuary, a configuration that supports both Red Mangrove (</w:t>
      </w:r>
      <w:r w:rsidR="00000000">
        <w:rPr>
          <w:i/>
        </w:rPr>
        <w:t>Rhizophora racemosa</w:t>
      </w:r>
      <w:r w:rsidR="00000000">
        <w:t>) and Black Mangrove (</w:t>
      </w:r>
      <w:r w:rsidR="00000000">
        <w:rPr>
          <w:i/>
        </w:rPr>
        <w:t>Avicennia germinans</w:t>
      </w:r>
      <w:r w:rsidR="00000000">
        <w:t xml:space="preserve">) across a landscape of exceptional ecological integrity relative to the rest of the national coastline. </w:t>
      </w:r>
    </w:p>
    <w:p w14:paraId="105505CD" w14:textId="264E616A" w:rsidR="00EB2F85" w:rsidRDefault="00000000">
      <w:pPr>
        <w:pStyle w:val="BodyText"/>
      </w:pPr>
      <w:r>
        <w:t xml:space="preserve">In stark contrast, the Songor Ramsar Site and UNESCO Biosphere Reserve, </w:t>
      </w:r>
      <w:r w:rsidR="00224D18">
        <w:t>has</w:t>
      </w:r>
      <w:r>
        <w:t xml:space="preserve"> 2 percent of the national total, distributed as small, fragmented patches across a landscape that the 2025 land cover map depicts as overwhelmingly dominated by salt pans and grassland. This is not the Songor of historical record; it is the Songor of decades of documented degradation, in which the systematic expansion of industrial and artisanal salt mining centred on Elavanyo, Obane, Totope, and Azizanya has progressively displaced mangrove and tidal flat habitat. </w:t>
      </w:r>
    </w:p>
    <w:p w14:paraId="105505CE" w14:textId="31CD5598" w:rsidR="00EB2F85" w:rsidRDefault="00000000">
      <w:pPr>
        <w:pStyle w:val="BodyText"/>
      </w:pPr>
      <w:r>
        <w:t>The Muni-Pomadze Ramsar Site, in the Central Region near Winneba, presents a third and distinct condition. The 2025 assessment found the mangrove extent at Muni-Pomadze to be ecologically insignificant</w:t>
      </w:r>
      <w:r w:rsidR="00224D18">
        <w:t xml:space="preserve"> with</w:t>
      </w:r>
      <w:r>
        <w:t xml:space="preserve"> small, degraded fringes that do not form a mappable, functional ecosystem at the scale of the national assessment. This finding does not diminish the site’s cultural, biodiversity, or tidal wetland value, which remains substantial and is reflected in its Ramsar designation. </w:t>
      </w:r>
    </w:p>
    <w:p w14:paraId="105505CF" w14:textId="57FF6E26" w:rsidR="00EB2F85" w:rsidRDefault="00000000">
      <w:pPr>
        <w:pStyle w:val="BodyText"/>
      </w:pPr>
      <w:r>
        <w:t xml:space="preserve">The concentration of 69 percent of the national resource in a single site at Keta creates a vulnerability that any credible MRV system must be designed around, not simply noted. A monitoring architecture that treats the three Ramsar sites as equivalent in strategic </w:t>
      </w:r>
      <w:r w:rsidR="00A827F8">
        <w:t>weight allocating</w:t>
      </w:r>
      <w:r>
        <w:t xml:space="preserve"> equivalent attention and resources to Keta, Songor, and Muni-Pomadze would misallocate the surveillance capacity the country has. The design of the national MRV system described in this report reflects the asymmetry explicitly: Keta receives the deepest monitoring infrastructure, the most complete field station network, and the first full MRV pilot deployment. Songor and Muni-Pomadze receive monitoring proportionate to their respective roles as a restoration governance site and a restoration re-establishment site, with the explicit intention of progressively deepening the monitoring architecture at each as CREMA structures and restoration programmes mature.</w:t>
      </w:r>
    </w:p>
    <w:p w14:paraId="105505D0" w14:textId="77777777" w:rsidR="00EB2F85" w:rsidRDefault="000D3473">
      <w:r>
        <w:pict w14:anchorId="2A5B9292">
          <v:rect id="Rectangle 4037" o:spid="_x0000_s106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D1" w14:textId="77777777" w:rsidR="00EB2F85" w:rsidRDefault="00000000">
      <w:pPr>
        <w:pStyle w:val="Heading2"/>
      </w:pPr>
      <w:bookmarkStart w:id="24" w:name="the-drivers-of-degradation"/>
      <w:bookmarkStart w:id="25" w:name="_Toc226178000"/>
      <w:r>
        <w:t>2.4 The Drivers of Degradation</w:t>
      </w:r>
      <w:bookmarkEnd w:id="24"/>
      <w:bookmarkEnd w:id="25"/>
    </w:p>
    <w:p w14:paraId="105505D2" w14:textId="3AC81A27" w:rsidR="00EB2F85" w:rsidRDefault="00000000">
      <w:pPr>
        <w:pStyle w:val="FirstParagraph"/>
      </w:pPr>
      <w:r>
        <w:t>The condition of Ghana’s blue carbon ecosystems</w:t>
      </w:r>
      <w:r w:rsidR="00224D18">
        <w:t>,</w:t>
      </w:r>
      <w:r>
        <w:t xml:space="preserve"> degraded at Songor, ecologically absent at Muni-Pomadze, and under sustained pressure even at the nationally dominant Keta is not the outcome of natural processes operating in the absence of human activity. It is the outcome of specific, documented human decisions made under specific economic and social pressures, compounded in the case of Keta by a large-scale hydrological disruption that long precedes the current project and continues to operate at a landscape scale far beyond the reach of community-level management.</w:t>
      </w:r>
    </w:p>
    <w:p w14:paraId="105505D3" w14:textId="07B35EC0" w:rsidR="00EB2F85" w:rsidRDefault="00000000">
      <w:pPr>
        <w:pStyle w:val="BodyText"/>
      </w:pPr>
      <w:r>
        <w:lastRenderedPageBreak/>
        <w:t xml:space="preserve">Across the 37 communities profiled in the 2025 socio-economic assessment, more than 70 percent of households reported livelihood dependency on mangrove-linked activities principally fish smoking and fuelwood harvesting, salt production, and artisanal fishing. This is not a uniform national figure; it is driven by the immediate proximity of </w:t>
      </w:r>
      <w:r w:rsidR="007C4BA6">
        <w:t>most</w:t>
      </w:r>
      <w:r>
        <w:t xml:space="preserve"> profiled communities to the extensive mangrove stands of the Keta Lagoon Complex, where the resource has historically supported a tightly integrated social-ecological economy. Men fish the lagoon’s waters; women smoke the catch for sale in local and regional markets; and the fuel that powers thousands of smoking kilns operating in communities including Agbatsivi, Galotse, Bomigo, Salo, and Dzita is overwhelmingly mangrove wood, with </w:t>
      </w:r>
      <w:r>
        <w:rPr>
          <w:i/>
        </w:rPr>
        <w:t>Rhizophora racemosa</w:t>
      </w:r>
      <w:r>
        <w:t xml:space="preserve"> preferred for its burning characteristics.</w:t>
      </w:r>
    </w:p>
    <w:p w14:paraId="105505D6" w14:textId="3A4ED1A4" w:rsidR="00EB2F85" w:rsidRDefault="00000000">
      <w:pPr>
        <w:pStyle w:val="BodyText"/>
      </w:pPr>
      <w:r>
        <w:t xml:space="preserve">At the Songor Ramsar Site, the dominant degradation driver is categorically different: land conversion for salt pan expansion, a process driven by industrial and artisanal salt mining operations concentrated around Elavanyo and Obane. Unlike the Keta situation where degradation accumulates through the cumulative impact of thousands of individual fuelwood </w:t>
      </w:r>
      <w:r w:rsidR="007C4BA6">
        <w:t>decisions Songor’s</w:t>
      </w:r>
      <w:r>
        <w:t xml:space="preserve"> mangrove loss is the direct and geographically legible outcome of systematic land-use conversion. The 2025 land cover map provides quantitative confirmation of what communities at Totope, Pute, and Azizanya have described in qualitative terms for decades: the near-complete replacement of mangrove and tidal flat habitat by salt production infrastructure. </w:t>
      </w:r>
    </w:p>
    <w:p w14:paraId="105505D7" w14:textId="05371029" w:rsidR="00EB2F85" w:rsidRDefault="00000000">
      <w:pPr>
        <w:pStyle w:val="BodyText"/>
      </w:pPr>
      <w:r>
        <w:t>At Muni-Pomadze, where mangrove cover has effectively ceased to function as an intact ecosystem, the degradation drivers are agricultural encroachment and charcoal production, concentrated heavily in the transition forests and wetland edges near communities including Bewadze and Mankoadze. A distinctive feature of Muni-Pomadze is that long-standing spiritual taboos and traditional governance structures have preserved the integrity of sacred groves</w:t>
      </w:r>
      <w:r w:rsidR="008F7306">
        <w:t>.</w:t>
      </w:r>
      <w:r>
        <w:t xml:space="preserve"> ultural resilience acting as a fragile shield whose edges are eroding under modern economic pressures.</w:t>
      </w:r>
    </w:p>
    <w:p w14:paraId="105505D8" w14:textId="77777777" w:rsidR="00EB2F85" w:rsidRDefault="000D3473">
      <w:r>
        <w:pict w14:anchorId="316DDA73">
          <v:rect id="Rectangle 4035" o:spid="_x0000_s106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D9" w14:textId="77777777" w:rsidR="00EB2F85" w:rsidRDefault="00000000">
      <w:pPr>
        <w:pStyle w:val="Heading2"/>
      </w:pPr>
      <w:bookmarkStart w:id="26" w:name="Xedcd597382502abc84e28ba7a44267384b88efa"/>
      <w:bookmarkStart w:id="27" w:name="_Toc226178001"/>
      <w:r>
        <w:t>2.5 Ghana’s Climate, Biodiversity, and Carbon Market Obligations</w:t>
      </w:r>
      <w:bookmarkEnd w:id="26"/>
      <w:bookmarkEnd w:id="27"/>
    </w:p>
    <w:p w14:paraId="105505DD" w14:textId="146564FA" w:rsidR="00EB2F85" w:rsidRDefault="00EB2F85" w:rsidP="008F7306">
      <w:pPr>
        <w:pStyle w:val="BodyText"/>
      </w:pPr>
    </w:p>
    <w:p w14:paraId="105505DE" w14:textId="2C58CE46" w:rsidR="00EB2F85" w:rsidRDefault="00000000">
      <w:pPr>
        <w:pStyle w:val="BodyText"/>
      </w:pPr>
      <w:r>
        <w:t xml:space="preserve">Beyond treaty obligations, the 2025 baseline was explicitly designed to meet the foundational data requirements of the principal voluntary carbon market standards. Verra’s Verified Carbon Standard (VCS), the Gold Standard, and Plan Vivo each require, as a precondition for project registration, a robust, independently verifiable baseline that establishes current ecosystem extent, carbon stocks, degradation rates, and socio-economic conditions at the project start. </w:t>
      </w:r>
    </w:p>
    <w:p w14:paraId="105505DF" w14:textId="77777777" w:rsidR="00EB2F85" w:rsidRDefault="000D3473">
      <w:r>
        <w:pict w14:anchorId="030A179E">
          <v:rect id="Rectangle 4033" o:spid="_x0000_s106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E0" w14:textId="77777777" w:rsidR="00EB2F85" w:rsidRDefault="00000000">
      <w:pPr>
        <w:pStyle w:val="Heading2"/>
      </w:pPr>
      <w:bookmarkStart w:id="28" w:name="X3b4e62895b4479c8be4075d1293db125419863f"/>
      <w:bookmarkStart w:id="29" w:name="_Toc226178002"/>
      <w:r>
        <w:t>2.6 The 2025 National Baseline as the Year 0 Foundation</w:t>
      </w:r>
      <w:bookmarkEnd w:id="28"/>
      <w:bookmarkEnd w:id="29"/>
    </w:p>
    <w:p w14:paraId="105505E1" w14:textId="65EE3057" w:rsidR="00EB2F85" w:rsidRDefault="00000000">
      <w:pPr>
        <w:pStyle w:val="FirstParagraph"/>
      </w:pPr>
      <w:r>
        <w:t>The six baseline workstreams completed between June and August 2025 by Ecological Nest Ltd, under the WACA Blue Carbon Assessment commissioned by MEST and MLNR, collectively constitute the Year 0 reference for Ghana’s national blue carbon monitoring, reporting, and verification (MRV) system. Every future measurement of carbon stock change, every assessment of restoration progress, and every report submitted against Ghana’s climate and biodiversity obligations will be benchmarked against what was found and documented during this programme. The integrity of that benchmarking depends entirely on the integrity of the baseline from which it begins.</w:t>
      </w:r>
    </w:p>
    <w:p w14:paraId="105505E2" w14:textId="7E03FE90" w:rsidR="00EB2F85" w:rsidRDefault="00000000">
      <w:pPr>
        <w:pStyle w:val="BodyText"/>
      </w:pPr>
      <w:r>
        <w:lastRenderedPageBreak/>
        <w:t xml:space="preserve">The six workstreams were: geospatial mangrove extent mapping, which produced the national land cover baseline validated with 319 participatory ground-truth reference points; the carbon inventory, which established above-ground biomass (AGB), below-ground biomass (BGB), deadwood, and soil organic carbon (SOC) stocks at Permanent Sample Plots across the priority landscapes; ecosystem health assessment, which characterised the physical and biological condition of the wetland systems at Keta and Ada across 57 monitoring stations at Keta and 23 at Ada; environmental pressure profiling, which documented the degradation drivers, community dependency patterns, and livelihood-pressure feedback loops across 37 profiled communities; governance readiness analysis, which assessed the institutional landscape  formal, customary, and emerging </w:t>
      </w:r>
      <w:r w:rsidR="008F7306">
        <w:t xml:space="preserve"> </w:t>
      </w:r>
      <w:r>
        <w:t>within which a co-management system could be built; and socio-economic profiling, which established the demographic, livelihood, and social vulnerability context for benefit-sharing design and safeguard planning.</w:t>
      </w:r>
    </w:p>
    <w:p w14:paraId="105505E3" w14:textId="6C54D513" w:rsidR="00EB2F85" w:rsidRDefault="00000000">
      <w:pPr>
        <w:pStyle w:val="BodyText"/>
      </w:pPr>
      <w:r>
        <w:t xml:space="preserve">These workstreams were not parallel projects that arrived at separate conclusions. They were designed as an integrated baseline package in which each workstream’s outputs cross-validate and contextualise the others. The geospatial mapping that found only 465.76 hectares of mangrove at Songor is validated by the environmental pressure assessment’s documentation of salt pan expansion at Elavanyo and Obane. The carbon inventory’s </w:t>
      </w:r>
      <w:r w:rsidR="008F7306">
        <w:t>T/</w:t>
      </w:r>
      <w:r>
        <w:t xml:space="preserve">PSP network at Keta is calibrated against the ecosystem health monitoring station data at those 57 stations. The community dependency rate of more than 70 percent reported in the socio-economic profiling is geospatially validated by the spatial correlation between the highest-dependency communities Dzita, Salo, Agbatsivi, Bomigo, </w:t>
      </w:r>
      <w:r w:rsidR="007C4BA6">
        <w:t>Galotse and</w:t>
      </w:r>
      <w:r>
        <w:t xml:space="preserve"> the densest mangrove stands in the Keta land cover map. The whole is designed to be more than the sum of its parts, and its design logic is the logic of a credible MRV system: any claim about carbon stocks, ecosystem change, or community impact can be traced to multiple independent lines of evidence.</w:t>
      </w:r>
    </w:p>
    <w:p w14:paraId="105505E4" w14:textId="6557EA61" w:rsidR="00EB2F85" w:rsidRDefault="00000000">
      <w:pPr>
        <w:pStyle w:val="BodyText"/>
      </w:pPr>
      <w:r>
        <w:t xml:space="preserve">This baseline is the Year 0 reference in a precise technical sense. It establishes the area boundaries, carbon stock values, ecosystem condition metrics, pressure indicators, governance arrangements, and community profiles against which all subsequent MRV cycles will measure change. The date of the baseline completed August </w:t>
      </w:r>
      <w:r w:rsidR="007C4BA6">
        <w:t>2025 is</w:t>
      </w:r>
      <w:r>
        <w:t xml:space="preserve"> the start date from which additionality will be demonstrated for any carbon project operating within the assessment landscape. Any restoration activity, any conservation intervention, and any change in mangrove extent, biomass, or soil carbon will be reported as a departure from what was documented in these six workstreams. The rigour with which the baseline was assembled</w:t>
      </w:r>
      <w:r w:rsidR="008F7306">
        <w:t>,</w:t>
      </w:r>
      <w:r>
        <w:t xml:space="preserve"> its methodological transparency, its participatory validation, its multi-workstream cross-referencing is therefore not merely a quality standard for the 2025 programme. It is the precondition for the credibility of every carbon and biodiversity report that Ghana will produce from this landscape for years to come.</w:t>
      </w:r>
    </w:p>
    <w:p w14:paraId="105505E6" w14:textId="7AC8BF7F" w:rsidR="00EB2F85" w:rsidRDefault="000D3473">
      <w:r>
        <w:pict w14:anchorId="535497E7">
          <v:rect id="Rectangle 4029" o:spid="_x0000_s106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E7" w14:textId="77777777" w:rsidR="00EB2F85" w:rsidRDefault="00000000">
      <w:pPr>
        <w:pStyle w:val="Heading1"/>
      </w:pPr>
      <w:bookmarkStart w:id="30" w:name="chapter-3-national-mrv-architecture"/>
      <w:bookmarkStart w:id="31" w:name="_Toc226178003"/>
      <w:r>
        <w:t>Chapter 3: National MRV Architecture</w:t>
      </w:r>
      <w:bookmarkEnd w:id="30"/>
      <w:bookmarkEnd w:id="31"/>
    </w:p>
    <w:p w14:paraId="105505E8" w14:textId="77777777" w:rsidR="00EB2F85" w:rsidRDefault="000D3473">
      <w:r>
        <w:pict w14:anchorId="55E3BAF5">
          <v:rect id="Rectangle 4027" o:spid="_x0000_s105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E9" w14:textId="77777777" w:rsidR="00EB2F85" w:rsidRDefault="00000000">
      <w:pPr>
        <w:pStyle w:val="Heading2"/>
      </w:pPr>
      <w:bookmarkStart w:id="32" w:name="design-philosophy"/>
      <w:bookmarkStart w:id="33" w:name="_Toc226178004"/>
      <w:r>
        <w:t>3.1 Design Philosophy</w:t>
      </w:r>
      <w:bookmarkEnd w:id="32"/>
      <w:bookmarkEnd w:id="33"/>
    </w:p>
    <w:p w14:paraId="105505EA" w14:textId="77777777" w:rsidR="00EB2F85" w:rsidRDefault="00000000">
      <w:pPr>
        <w:pStyle w:val="FirstParagraph"/>
      </w:pPr>
      <w:r>
        <w:t>Ghana’s National Blue Carbon Monitoring, Reporting, and Verification (MRV) Framework was not designed to serve the life of a project. It was designed to serve the life of a coastline.</w:t>
      </w:r>
    </w:p>
    <w:p w14:paraId="105505EC" w14:textId="3CB6FE49" w:rsidR="00EB2F85" w:rsidRDefault="00000000">
      <w:pPr>
        <w:pStyle w:val="BodyText"/>
      </w:pPr>
      <w:r>
        <w:t>This is why institutional permanence is the first design principle of the system. Every element of the Framework</w:t>
      </w:r>
      <w:r w:rsidR="008F7306">
        <w:t>,</w:t>
      </w:r>
      <w:r>
        <w:t xml:space="preserve"> the tiered institutional structure, the field monitoring protocols, the digital platform, the reporting </w:t>
      </w:r>
      <w:r w:rsidR="007C4BA6">
        <w:t>cadence has</w:t>
      </w:r>
      <w:r>
        <w:t xml:space="preserve"> been designed to be operated by government institutions and communities using </w:t>
      </w:r>
      <w:r>
        <w:lastRenderedPageBreak/>
        <w:t xml:space="preserve">institutional authority and capacity, not by the consultancy team that established it. The Ministry of Lands and Natural Resources (MLNR) and the Ministry of Environment, Science, </w:t>
      </w:r>
      <w:r w:rsidR="00117331">
        <w:t xml:space="preserve">and </w:t>
      </w:r>
      <w:r>
        <w:t xml:space="preserve">Technology (MEST) are not participants in the MRV system. They are its custodians. The Forestry Commission’s Wildlife Division is not an external validator. It is a structural component of the system’s quality assurance architecture. Community Resource Management Areas (CREMAs) and Community Change Agents (CCAs) are not programme beneficiaries who contribute data to an external framework. They are the primary data-generating tier of the national system. This distinction between a project mechanism and a national institutional </w:t>
      </w:r>
      <w:r w:rsidR="007C4BA6">
        <w:t>architecture is</w:t>
      </w:r>
      <w:r>
        <w:t xml:space="preserve"> the foundational logic of every design decision documented in this chapter.</w:t>
      </w:r>
    </w:p>
    <w:p w14:paraId="105505EE" w14:textId="77777777" w:rsidR="00EB2F85" w:rsidRDefault="000D3473">
      <w:r>
        <w:pict w14:anchorId="0CEEAA12">
          <v:rect id="Rectangle 4025" o:spid="_x0000_s105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EF" w14:textId="77777777" w:rsidR="00EB2F85" w:rsidRDefault="00000000">
      <w:pPr>
        <w:pStyle w:val="Heading2"/>
      </w:pPr>
      <w:bookmarkStart w:id="34" w:name="the-four-institutional-tiers"/>
      <w:bookmarkStart w:id="35" w:name="_Toc226178005"/>
      <w:r>
        <w:t>3.2 The Four Institutional Tiers</w:t>
      </w:r>
      <w:bookmarkEnd w:id="34"/>
      <w:bookmarkEnd w:id="35"/>
    </w:p>
    <w:p w14:paraId="105505F0" w14:textId="77777777" w:rsidR="00EB2F85" w:rsidRDefault="00000000">
      <w:pPr>
        <w:pStyle w:val="FirstParagraph"/>
      </w:pPr>
      <w:r>
        <w:t>The MRV system operates across four coordinated institutional tiers. These are not parallel programmes running simultaneously; they are a vertically integrated chain of monitoring, validation, analysis, and oversight in which each tier performs functions that the others cannot, and in which the system fails if any tier is absent or non-functional.</w:t>
      </w:r>
    </w:p>
    <w:p w14:paraId="105505F1" w14:textId="19FD0DEB" w:rsidR="00EB2F85" w:rsidRDefault="00000000">
      <w:pPr>
        <w:pStyle w:val="BodyText"/>
      </w:pPr>
      <w:r>
        <w:rPr>
          <w:b/>
        </w:rPr>
        <w:t xml:space="preserve">Community Tier </w:t>
      </w:r>
      <w:r w:rsidR="00117331">
        <w:rPr>
          <w:b/>
        </w:rPr>
        <w:t>-</w:t>
      </w:r>
      <w:r>
        <w:rPr>
          <w:b/>
        </w:rPr>
        <w:t xml:space="preserve"> CREMAs and CCAs</w:t>
      </w:r>
    </w:p>
    <w:p w14:paraId="105505F2" w14:textId="6AF58231" w:rsidR="00EB2F85" w:rsidRDefault="00000000">
      <w:pPr>
        <w:pStyle w:val="BodyText"/>
      </w:pPr>
      <w:r>
        <w:t xml:space="preserve">Field-based monitoring of mangrove ecosystems begins at the community level, delivered through CREMAs and the CCAs who serve as their operational frontline. A CREMA is a formally constituted community governance body with legal standing under the Wildlife Resources Management Act, 2023 (Act 1115), capable of entering into agreements, enforcing locally developed by-laws, and  critically participating in carbon finance arrangements on behalf of its member communities. </w:t>
      </w:r>
    </w:p>
    <w:p w14:paraId="105505F3" w14:textId="566040F5" w:rsidR="00EB2F85" w:rsidRDefault="00000000">
      <w:pPr>
        <w:pStyle w:val="BodyText"/>
      </w:pPr>
      <w:r>
        <w:t xml:space="preserve">Within the MRV architecture, CREMA monitoring responsibilities are specific and structured. CREMA members supported by their designated CCAs are responsible for maintaining access to </w:t>
      </w:r>
      <w:r w:rsidR="00117331">
        <w:t>Temporary/</w:t>
      </w:r>
      <w:r>
        <w:t>Permanent Sample Plot (</w:t>
      </w:r>
      <w:r w:rsidR="00117331">
        <w:t>T/</w:t>
      </w:r>
      <w:r>
        <w:t xml:space="preserve">PSP) locations for periodic re-measurement; recording diameter at breast height (DBH) measurements as directed by national technical teams; documenting visible disturbance events such as cutting incidence, charcoal kiln presence, and evidence of land conversion; conducting quarterly transect walks within GIS-mapped monitoring zones to record pressure signals; monitoring restoration site survival rates at the intervals required by the restoration monitoring protocol; and recording governance indicators including meeting attendance, grievance submissions, and participation composition. CCAs operate within defined community monitoring zones that have been spatially delineated and uploaded to the national web platform, ensuring that field observations are georeferenced and directly linked to the sites they describe. </w:t>
      </w:r>
    </w:p>
    <w:p w14:paraId="105505F4" w14:textId="45A8D2CB" w:rsidR="00EB2F85" w:rsidRDefault="00000000">
      <w:pPr>
        <w:pStyle w:val="BodyText"/>
      </w:pPr>
      <w:r>
        <w:rPr>
          <w:b/>
        </w:rPr>
        <w:t xml:space="preserve">District Tier </w:t>
      </w:r>
      <w:r w:rsidR="00117331">
        <w:rPr>
          <w:b/>
        </w:rPr>
        <w:t>-</w:t>
      </w:r>
      <w:r>
        <w:rPr>
          <w:b/>
        </w:rPr>
        <w:t xml:space="preserve"> MMDAs and the Wildlife Division</w:t>
      </w:r>
    </w:p>
    <w:p w14:paraId="105505F5" w14:textId="2CA8CFC7" w:rsidR="00EB2F85" w:rsidRDefault="00000000">
      <w:pPr>
        <w:pStyle w:val="BodyText"/>
      </w:pPr>
      <w:r>
        <w:t xml:space="preserve">Metropolitan, Municipal, and District Assemblies (MMDAs) and the Wildlife Division (WD) of the Forestry Commission form the district tier, which performs the consolidation and validation functions that transform community field data into verified district-level inputs to the national system. District authorities receive quarterly field data submissions from CREMAs, cross-check them for internal consistency, and identify observations that require technical follow-up or escalation. Where pressure thresholds are </w:t>
      </w:r>
      <w:r w:rsidR="007C4BA6">
        <w:t>breached for</w:t>
      </w:r>
      <w:r>
        <w:t xml:space="preserve"> instance, where two or more mangrove cutting signals are recorded in the same monitoring period within a given CREMA </w:t>
      </w:r>
      <w:r w:rsidR="00227C3F">
        <w:t>zone the</w:t>
      </w:r>
      <w:r>
        <w:t xml:space="preserve"> district tier is responsible for triggering the response protocol: convening community review meetings, engaging with responsible actors, and escalating to enforcement authorities where cutting or conversion activity persists.</w:t>
      </w:r>
    </w:p>
    <w:p w14:paraId="105505F6" w14:textId="677D226E" w:rsidR="00EB2F85" w:rsidRDefault="00000000">
      <w:pPr>
        <w:pStyle w:val="BodyText"/>
      </w:pPr>
      <w:r>
        <w:lastRenderedPageBreak/>
        <w:t>The Wildlife Division carries a specific and non-delegable role within the district tier: it is the primary statutory body responsible for Ramsar site management and CREMA establishment under Act 1115, and its field officers conduct the ground-truth validation that gives satellite-based extent monitoring its credibility. The 2025 geo-spatial baseline incorporated 319 participatory ground-truth reference points, validated through Wildlife Division field teams and community members. Ongoing satellite classification outputs annual mangrove extent layers produced from Sentinel-2 imagery at 10–20 metre resolution will be ground-truthed through the same institutional pathway, providing the continuity of methodology that is required for valid change detection over time. District authorities also submit consolidated annual monitoring reports to MLNR and MEST, serving as the primary reporting link between field observation and national technical analysis.</w:t>
      </w:r>
    </w:p>
    <w:p w14:paraId="105505F7" w14:textId="53745E7E" w:rsidR="00EB2F85" w:rsidRDefault="00000000">
      <w:pPr>
        <w:pStyle w:val="BodyText"/>
      </w:pPr>
      <w:r>
        <w:rPr>
          <w:b/>
        </w:rPr>
        <w:t xml:space="preserve">National Technical Tier </w:t>
      </w:r>
      <w:r w:rsidR="00117331">
        <w:rPr>
          <w:b/>
        </w:rPr>
        <w:t>-</w:t>
      </w:r>
      <w:r>
        <w:rPr>
          <w:b/>
        </w:rPr>
        <w:t xml:space="preserve"> MLNR, MEST, and the Forestry Commission</w:t>
      </w:r>
    </w:p>
    <w:p w14:paraId="105505F8" w14:textId="403C12A9" w:rsidR="00EB2F85" w:rsidRDefault="00000000">
      <w:pPr>
        <w:pStyle w:val="BodyText"/>
      </w:pPr>
      <w:r>
        <w:t>The national technical tier, led jointly by MLNR and MESTI with technical support from the Forestry Commission, is responsible for the analytical, quality assurance, and archiving functions that national reporting requires. MLNR and MEST</w:t>
      </w:r>
      <w:r w:rsidR="00117331">
        <w:t xml:space="preserve"> </w:t>
      </w:r>
      <w:r>
        <w:t xml:space="preserve">receive consolidated district reports and integrate them with satellite analysis outputs and </w:t>
      </w:r>
      <w:r w:rsidR="00117331">
        <w:t>T/</w:t>
      </w:r>
      <w:r>
        <w:t xml:space="preserve">PSP re-measurement data to produce the national carbon stock picture. This involves GIS and satellite analysis of annual mangrove extent changes across the coastal landscape, carbon stock calculations from </w:t>
      </w:r>
      <w:r w:rsidR="00471A32">
        <w:t>T/</w:t>
      </w:r>
      <w:r>
        <w:t>PSP re-measurement data on the 3–5 year cycle specified by the IPCC Wetlands Supplement methodology, quality assurance and quality control (QA/QC) procedures applied to field data, and the production and archiving of the Annual National Blue Carbon MRV Report the primary national reporting product that documents Ghana’s progress against its NDC targets and provides investment-grade transparency for development partners and prospective carbon market participants.</w:t>
      </w:r>
    </w:p>
    <w:p w14:paraId="105505F9" w14:textId="5861329D" w:rsidR="00EB2F85" w:rsidRDefault="00000000">
      <w:pPr>
        <w:pStyle w:val="BodyText"/>
      </w:pPr>
      <w:r>
        <w:t xml:space="preserve">MLNR serves as the MRV custodian: the institution with primary legal and administrative responsibility for the national data archive, the platform access governance structure, and the long-term integrity of the carbon accounting record. MEST holds the lead ministry role for the WACA programme and serves as the primary </w:t>
      </w:r>
      <w:r w:rsidR="00471A32">
        <w:t xml:space="preserve">liaison </w:t>
      </w:r>
      <w:r>
        <w:t>with the World Bank and with other development partners. The Forestry Commission’s Wildlife Division connects the national technical tier to the district tier through its field officer network. This is not a communications link; it is an institutional quality assurance chain. Data moving upward through the system from community to national carries the Wildlife Division’s validation at the district level, and the QA/QC procedures applied at national level are designed to detect anomalies that field-level validation may have missed.</w:t>
      </w:r>
    </w:p>
    <w:p w14:paraId="105505FA" w14:textId="73665926" w:rsidR="00EB2F85" w:rsidRDefault="00000000">
      <w:pPr>
        <w:pStyle w:val="BodyText"/>
      </w:pPr>
      <w:r>
        <w:rPr>
          <w:b/>
        </w:rPr>
        <w:t xml:space="preserve">Independent Review </w:t>
      </w:r>
      <w:r w:rsidR="00A827F8">
        <w:rPr>
          <w:b/>
        </w:rPr>
        <w:t>Tier When</w:t>
      </w:r>
      <w:r>
        <w:rPr>
          <w:b/>
        </w:rPr>
        <w:t xml:space="preserve"> Applicable</w:t>
      </w:r>
    </w:p>
    <w:p w14:paraId="105505FB" w14:textId="6D3E33E7" w:rsidR="00EB2F85" w:rsidRDefault="00000000">
      <w:pPr>
        <w:pStyle w:val="BodyText"/>
      </w:pPr>
      <w:r>
        <w:t xml:space="preserve">The fourth tier  independent review is activated only under specific conditions: when the MRV system is being used to support carbon market participation under a verified standard such as Verra/VCS, Gold Standard, or Plan Vivo; when external donor audits require third-party assurance of the data record; or when other investment vehicles demand independent verification of reported carbon stock changes. Independent review at these moments provides the assurance that external counterparties require and that national institutions whatever their credibility and </w:t>
      </w:r>
      <w:r w:rsidR="007C4BA6">
        <w:t>rigour cannot</w:t>
      </w:r>
      <w:r>
        <w:t xml:space="preserve"> provide about themselves.</w:t>
      </w:r>
    </w:p>
    <w:p w14:paraId="105505FC" w14:textId="74232B2B" w:rsidR="00EB2F85" w:rsidRDefault="00000000">
      <w:pPr>
        <w:pStyle w:val="BodyText"/>
      </w:pPr>
      <w:r>
        <w:t xml:space="preserve">What independent review does not mean is the displacement of national institutional ownership of the data. Ghana’s MRV system is a national system. The carbon stock data are Ghana’s data. The Annual MRV Report is produced by MLNR and MEST, not by a third-party auditor. Independent review examines the outputs and procedures of the national system; it does not operate the national system. This distinction is deliberate and important. MRV architectures that position external verifiers as the primary source of analytical authority create systems that cannot function when external funding for verification lapses. Ghana’s architecture </w:t>
      </w:r>
      <w:r>
        <w:lastRenderedPageBreak/>
        <w:t>retains national primacy over data stewardship, with independent review as an external quality assurance layer that the system can engage when market or donor requirements demand it.</w:t>
      </w:r>
    </w:p>
    <w:p w14:paraId="105505FD" w14:textId="77777777" w:rsidR="00EB2F85" w:rsidRDefault="000D3473">
      <w:r>
        <w:pict w14:anchorId="6CACD64F">
          <v:rect id="Rectangle 4023" o:spid="_x0000_s105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5FE" w14:textId="77777777" w:rsidR="00EB2F85" w:rsidRDefault="00000000">
      <w:pPr>
        <w:pStyle w:val="Heading2"/>
      </w:pPr>
      <w:bookmarkStart w:id="36" w:name="the-three-functional-layers"/>
      <w:bookmarkStart w:id="37" w:name="_Toc226178006"/>
      <w:r>
        <w:t>3.3 The Three Functional Layers</w:t>
      </w:r>
      <w:bookmarkEnd w:id="36"/>
      <w:bookmarkEnd w:id="37"/>
    </w:p>
    <w:p w14:paraId="105505FF" w14:textId="77777777" w:rsidR="00EB2F85" w:rsidRDefault="00000000">
      <w:pPr>
        <w:pStyle w:val="FirstParagraph"/>
      </w:pPr>
      <w:r>
        <w:t>Alongside the vertical structure of institutional tiers, the MRV system operates through three horizontal functional layers. These layers define what is being monitored, not who is doing the monitoring. Each layer has a distinct analytical purpose, its own set of indicators, its own data sources and measurement cadence, and its own connection to the tier system through which monitoring responsibilities are assigned and escalation is triggered.</w:t>
      </w:r>
    </w:p>
    <w:p w14:paraId="10550600" w14:textId="043C13E6" w:rsidR="00EB2F85" w:rsidRDefault="00000000">
      <w:pPr>
        <w:pStyle w:val="BodyText"/>
      </w:pPr>
      <w:r>
        <w:rPr>
          <w:b/>
        </w:rPr>
        <w:t xml:space="preserve">Layer I </w:t>
      </w:r>
      <w:r w:rsidR="00471A32">
        <w:rPr>
          <w:b/>
        </w:rPr>
        <w:t>-</w:t>
      </w:r>
      <w:r>
        <w:rPr>
          <w:b/>
        </w:rPr>
        <w:t xml:space="preserve"> Ecological and Carbon Integrity</w:t>
      </w:r>
    </w:p>
    <w:p w14:paraId="10550601" w14:textId="571D7F0F" w:rsidR="00EB2F85" w:rsidRDefault="00000000">
      <w:pPr>
        <w:pStyle w:val="BodyText"/>
      </w:pPr>
      <w:r>
        <w:t>Layer I is the foundational measurement layer of the system: it tracks the ecological condition of Ghana’s coastal mangroves and the carbon stocks they contain. The primary unit of measurement is mangrove extent. Each year, satellite imagery from the Sentinel-2 constellation processed at 10–20 metre resolution using the Random Forest classification algorithm on Google Earth Engine (GEE), consistent with the methodology used in the 2025 baseline produces an updated national mangrove extent layer. Annual comparison against the Year 0 baseline reveals net mangrove area changes, fragmentation trends, encroachment hotspots, and restoration expansion across the coastal landscape. For the Keta Lagoon Complex, where the 2025 baseline documented 20,717.95 hectares and a historical deforestation rate of 2.15% per year, the annual extent update is the primary early-warning instrument for detecting whether conservation pressure is holding or intensifying.</w:t>
      </w:r>
    </w:p>
    <w:p w14:paraId="10550602" w14:textId="065A0FC5" w:rsidR="00EB2F85" w:rsidRDefault="00000000">
      <w:pPr>
        <w:pStyle w:val="BodyText"/>
      </w:pPr>
      <w:r>
        <w:t>Carbon stock monitoring operates on a longer cycle than extent monitoring, reflecting both the pace of biomass accumulation and the practical requirements of field-based measurement. The four carbon pools covered by the system</w:t>
      </w:r>
      <w:r w:rsidR="00471A32">
        <w:t>,</w:t>
      </w:r>
      <w:r>
        <w:t xml:space="preserve"> above-ground biomass (AGB), below-ground biomass (BGB), deadwood where relevant, and soil organic carbon (SOC) measured to </w:t>
      </w:r>
      <w:r w:rsidR="00471A32">
        <w:t>45</w:t>
      </w:r>
      <w:r>
        <w:t xml:space="preserve"> centimetres depth are quantified through the </w:t>
      </w:r>
      <w:r w:rsidR="00471A32">
        <w:t>T/</w:t>
      </w:r>
      <w:r>
        <w:t xml:space="preserve">PSP network established during the 2025 carbon inventory, in alignment with IPCC Wetlands Supplement </w:t>
      </w:r>
      <w:r w:rsidRPr="00BF2310">
        <w:rPr>
          <w:highlight w:val="yellow"/>
        </w:rPr>
        <w:t xml:space="preserve">guidance. </w:t>
      </w:r>
      <w:r>
        <w:t xml:space="preserve">Biomass re-measurement is conducted every 3–5 years, with the cycle potentially accelerated where significant disturbance is detected or where restoration at scale requires more frequent verification. Community Change Agents maintain plot access and record DBH measurements in the intervals between full re-measurement exercises, providing a continuous presence at </w:t>
      </w:r>
      <w:r w:rsidR="00471A32">
        <w:t>T/</w:t>
      </w:r>
      <w:r>
        <w:t>PSP locations that reduces the risk of undetected disturbance and supports data continuity between national measurement events.</w:t>
      </w:r>
    </w:p>
    <w:p w14:paraId="10550603" w14:textId="68C0B25F" w:rsidR="00EB2F85" w:rsidRDefault="00000000">
      <w:pPr>
        <w:pStyle w:val="BodyText"/>
      </w:pPr>
      <w:r>
        <w:t>Restoration performance monitoring is the third component of Layer I. All restoration sites including the early action hubs at Dzita in the Keta Lagoon Complex, Pute in the Songor Ramsar Site, and Sankor in Muni-</w:t>
      </w:r>
      <w:r w:rsidR="007C4BA6">
        <w:t>Pomadze are</w:t>
      </w:r>
      <w:r>
        <w:t xml:space="preserve"> georeferenced and registered within the national web platform with unique site identifiers and linked to the responsible CREMA and district authority. Survival rate monitoring begins three months after planting, with follow-up at six months, twelve months, and annually thereafter until establishment is confirmed. A minimum survival threshold of 70% after Year 1 must be met; sites falling below this threshold trigger corrective restoration action through the district tier. Canopy development progression, evidence of grazing or re-cutting disturbance, and hydrological suitability are also assessed at each monitoring visit, providing the ecological depth that carbon restoration accounting requires.</w:t>
      </w:r>
    </w:p>
    <w:p w14:paraId="10550604" w14:textId="7C199A91" w:rsidR="00EB2F85" w:rsidRDefault="00000000">
      <w:pPr>
        <w:pStyle w:val="BodyText"/>
      </w:pPr>
      <w:r>
        <w:rPr>
          <w:b/>
        </w:rPr>
        <w:t xml:space="preserve">Layer II </w:t>
      </w:r>
      <w:r w:rsidR="00123C0D">
        <w:rPr>
          <w:b/>
        </w:rPr>
        <w:t>-</w:t>
      </w:r>
      <w:r>
        <w:rPr>
          <w:b/>
        </w:rPr>
        <w:t xml:space="preserve"> Environmental Pressure Surveillance</w:t>
      </w:r>
    </w:p>
    <w:p w14:paraId="10550605" w14:textId="724C9A5E" w:rsidR="00EB2F85" w:rsidRDefault="00000000">
      <w:pPr>
        <w:pStyle w:val="BodyText"/>
      </w:pPr>
      <w:r>
        <w:lastRenderedPageBreak/>
        <w:t xml:space="preserve">Layer II is the early-warning layer of the MRV system. Where Layer I measures the condition of ecosystems, Layer II monitors the forces acting on them. The distinction matters operationally: by the time ecological degradation is visible in a carbon stock re-measurement or an annual extent update, the drivers that caused it </w:t>
      </w:r>
      <w:r w:rsidR="007C4BA6">
        <w:t>to have</w:t>
      </w:r>
      <w:r>
        <w:t xml:space="preserve"> often been active for months or years. A surveillance layer designed to detect pressure signals before they produce measurable ecological harm gives the institutional tier system the lead time it needs to respond effectively.</w:t>
      </w:r>
    </w:p>
    <w:p w14:paraId="26D646DE" w14:textId="77777777" w:rsidR="007C4BA6" w:rsidRDefault="00000000">
      <w:pPr>
        <w:pStyle w:val="BodyText"/>
      </w:pPr>
      <w:r>
        <w:t xml:space="preserve">The five core indicators that compose Layer II were selected to be operationally sustainable within the capacity constraints of Ghana’s coastal communities and district institutions, while remaining analytically sufficient to detect the primary degradation threats documented in the 2025 environmental pressure assessment. </w:t>
      </w:r>
    </w:p>
    <w:p w14:paraId="52B9D5E1" w14:textId="77777777" w:rsidR="002B1FC1" w:rsidRDefault="00000000">
      <w:pPr>
        <w:pStyle w:val="BodyText"/>
      </w:pPr>
      <w:r>
        <w:t>The first indicator</w:t>
      </w:r>
      <w:r w:rsidR="00123C0D">
        <w:t>;</w:t>
      </w:r>
      <w:r>
        <w:t xml:space="preserve"> land conversion </w:t>
      </w:r>
      <w:r w:rsidR="007C4BA6">
        <w:t>monitoring uses</w:t>
      </w:r>
      <w:r>
        <w:t xml:space="preserve"> annual satellite imagery analysis to track salt pan expansion in hectares per year, urban encroachment into wetland zones, and wetland filling or drainage. At Songor, where industrial salt mining at Elavanyo and Obane has driven severe mangrove degradation, this indicator directly monitors the primary threat driver. </w:t>
      </w:r>
    </w:p>
    <w:p w14:paraId="10550606" w14:textId="5E4313C6" w:rsidR="00EB2F85" w:rsidRDefault="00000000">
      <w:pPr>
        <w:pStyle w:val="BodyText"/>
      </w:pPr>
      <w:r>
        <w:t>The second indicator</w:t>
      </w:r>
      <w:r w:rsidR="00123C0D">
        <w:t>;</w:t>
      </w:r>
      <w:r>
        <w:t xml:space="preserve"> mangrove cutting signal detection is </w:t>
      </w:r>
      <w:r w:rsidR="002B1FC1">
        <w:t>field based</w:t>
      </w:r>
      <w:r>
        <w:t>: quarterly transect walks by CREMA monitoring teams record the presence of fresh stumps, active cutting evidence, and charcoal kiln activity within designated monitoring zones. Detection is binary</w:t>
      </w:r>
      <w:r w:rsidR="00123C0D">
        <w:t>;</w:t>
      </w:r>
      <w:r>
        <w:t xml:space="preserve"> present or absent per </w:t>
      </w:r>
      <w:r w:rsidR="002B1FC1">
        <w:t>transect rather</w:t>
      </w:r>
      <w:r>
        <w:t xml:space="preserve"> than volumetric, prioritising the detection of incidence over the quantification of volume, in recognition of the fact that volume estimation at the required spatial scale would exceed community monitoring capacity. A Pressure Alert is triggered when two or more signals are present in the same monitoring period, initiating district-level review.</w:t>
      </w:r>
    </w:p>
    <w:p w14:paraId="75C7D475" w14:textId="77777777" w:rsidR="002B1FC1" w:rsidRDefault="00000000">
      <w:pPr>
        <w:pStyle w:val="BodyText"/>
      </w:pPr>
      <w:r>
        <w:t>The third indicator</w:t>
      </w:r>
      <w:r w:rsidR="00123C0D">
        <w:t xml:space="preserve">; </w:t>
      </w:r>
      <w:r>
        <w:t xml:space="preserve">fuel source shift </w:t>
      </w:r>
      <w:r w:rsidR="002B1FC1">
        <w:t>monitoring tracks</w:t>
      </w:r>
      <w:r>
        <w:t xml:space="preserve"> annual household-level changes in primary cooking fuel dependence across a sample of 20–30 households per CREMA. At Keta, where fish-smoking operations drive intense and species-specific harvesting pressure on </w:t>
      </w:r>
      <w:r>
        <w:rPr>
          <w:i/>
        </w:rPr>
        <w:t>Rhizophora racemosa</w:t>
      </w:r>
      <w:r>
        <w:t xml:space="preserve"> the red mangrove preferred for its heat output a persistent finding of high mangrove wood dependence in annual fuel surveys signals elevated carbon risk and supports the case for alternative fuel and cookstove interventions. A declining trend indicates that pressure-reduction strategies are working. </w:t>
      </w:r>
    </w:p>
    <w:p w14:paraId="2BD8A1EB" w14:textId="77777777" w:rsidR="002B1FC1" w:rsidRDefault="00000000">
      <w:pPr>
        <w:pStyle w:val="BodyText"/>
      </w:pPr>
      <w:r>
        <w:t>The fourth indicator</w:t>
      </w:r>
      <w:r w:rsidR="00123C0D">
        <w:t>;</w:t>
      </w:r>
      <w:r>
        <w:t xml:space="preserve"> charcoal and extraction hotspot tracking</w:t>
      </w:r>
      <w:r w:rsidR="00123C0D">
        <w:t>,</w:t>
      </w:r>
      <w:r>
        <w:t xml:space="preserve"> records the number and GPS location of active charcoal production sites on a quarterly basis, enabling spatial trend analysis and the identification of sites where commercial extraction activity is expanding. </w:t>
      </w:r>
    </w:p>
    <w:p w14:paraId="10550607" w14:textId="0E2E9361" w:rsidR="00EB2F85" w:rsidRDefault="00000000">
      <w:pPr>
        <w:pStyle w:val="BodyText"/>
      </w:pPr>
      <w:r>
        <w:t>The fifth indicator</w:t>
      </w:r>
      <w:r w:rsidR="00123C0D">
        <w:t>;</w:t>
      </w:r>
      <w:r>
        <w:t xml:space="preserve"> the conflict and access pressure index records the number of land access disputes affecting wetland zones, unresolved cases, and conflicts between artisanal and industrial actors. This indicator captures the governance-ecology interface that is particularly acute at Songor, where the 2025 CREMA readiness assessment found that long-standing land tenure disputes between local communities and commercial salt mining operations had paralysed local leadership structures in communities including Pute and Elavanyo, creating the conditions for passive ecosystem degradation in the absence of any active enforcement presence.</w:t>
      </w:r>
    </w:p>
    <w:p w14:paraId="10550608" w14:textId="02AFF85E" w:rsidR="00EB2F85" w:rsidRDefault="00000000">
      <w:pPr>
        <w:pStyle w:val="BodyText"/>
      </w:pPr>
      <w:r>
        <w:t>Each of these five indicators is connected to the escalation protocol that runs through the institutional tier system: detection at community level, notification to the CREMA Executive Committee, district review, technical assessment if required, and intervention</w:t>
      </w:r>
      <w:r w:rsidR="00123C0D">
        <w:t>;</w:t>
      </w:r>
      <w:r>
        <w:t xml:space="preserve"> whether through community dialogue, enforcement action, restoration, or zoning review — with all actions documented in the national MRV database.</w:t>
      </w:r>
    </w:p>
    <w:p w14:paraId="10550609" w14:textId="77777777" w:rsidR="00EB2F85" w:rsidRDefault="00000000">
      <w:pPr>
        <w:pStyle w:val="BodyText"/>
      </w:pPr>
      <w:r>
        <w:rPr>
          <w:b/>
        </w:rPr>
        <w:t>Layer III — Governance and Safeguard Assurance</w:t>
      </w:r>
    </w:p>
    <w:p w14:paraId="1055060A" w14:textId="77777777" w:rsidR="00EB2F85" w:rsidRDefault="00000000">
      <w:pPr>
        <w:pStyle w:val="BodyText"/>
      </w:pPr>
      <w:r>
        <w:lastRenderedPageBreak/>
        <w:t>Layer III recognises a claim that the governance and CREMA readiness assessment makes explicitly and with evidence: long-term carbon integrity depends on stable, legitimate, and participatory governance at the landscape level. A monitoring system that measures carbon stocks and detects ecological pressures but cannot verify that the governance structures responsible for ecosystem stewardship are functioning inclusively and accountably is a system that will fail to protect what it is measuring.</w:t>
      </w:r>
    </w:p>
    <w:p w14:paraId="1055060B" w14:textId="15BA452F" w:rsidR="00EB2F85" w:rsidRDefault="00000000">
      <w:pPr>
        <w:pStyle w:val="BodyText"/>
      </w:pPr>
      <w:r>
        <w:t xml:space="preserve">The first component of Layer III is institutional representation monitoring. Each CREMA must maintain a minimum of 40% female representation in its executive leadership a threshold grounded in the baseline finding that women are the primary users of mangrove resources, particularly in fuelwood-linked fish-smoking value </w:t>
      </w:r>
      <w:r w:rsidR="002B1FC1">
        <w:t>chains yet</w:t>
      </w:r>
      <w:r>
        <w:t xml:space="preserve"> are systematically excluded from the formal decision-making structures that govern those resources. The governance readiness assessment documented this exclusion across all three Ramsar landscapes.</w:t>
      </w:r>
    </w:p>
    <w:p w14:paraId="1055060C" w14:textId="715C673E" w:rsidR="00EB2F85" w:rsidRDefault="00000000">
      <w:pPr>
        <w:pStyle w:val="BodyText"/>
      </w:pPr>
      <w:r>
        <w:t xml:space="preserve">The second component is transparency and benefit-sharing oversight. Where carbon finance mechanisms are activated, benefit-sharing frameworks must be formally documented and archived within the national MRV system. Monitoring includes documentation of benefit allocation mechanisms, public disclosure of financial flows, records of livelihood support distribution disaggregated by gender and youth participation where feasible, and evidence of community consultations regarding allocation decisions. This is not administratively optional: elite capture the concentration of carbon revenues within existing power </w:t>
      </w:r>
      <w:r w:rsidR="002B1FC1">
        <w:t>hierarchies is</w:t>
      </w:r>
      <w:r>
        <w:t xml:space="preserve"> identified in the governance assessment as a significant risk in all three landscapes if CREMA formation is allowed to reproduce the exclusionary structures of traditional governance rather than correct them.</w:t>
      </w:r>
    </w:p>
    <w:p w14:paraId="1055060D" w14:textId="5120B169" w:rsidR="00EB2F85" w:rsidRDefault="00000000">
      <w:pPr>
        <w:pStyle w:val="BodyText"/>
      </w:pPr>
      <w:r>
        <w:t xml:space="preserve">The third component is the Grievance Redress Mechanism (GRM). Each blue carbon landscape is required to maintain a documented grievance submission pathway, designated focal persons for grievance handling, escalation procedures to district and national levels, and records of grievance resolution outcomes. The baseline finding that more than 80% of communities across the three landscapes rely on informal, unstructured grievance systems oral complaint to the chief or elder, with no documentation, no defined process, and no escalation pathway defines the gap this component is designed to address. The GRM monitoring </w:t>
      </w:r>
      <w:r w:rsidR="002B1FC1">
        <w:t>indicators number</w:t>
      </w:r>
      <w:r>
        <w:t xml:space="preserve"> of grievances received, their nature, resolution rates, and time to resolution  provide the evidence base for assessing whether the governance layer is functioning as a legitimate safeguard or whether communities are experiencing unresolved conflicts that will, if left unaddressed, translate into disengagement from restoration and monitoring activities.</w:t>
      </w:r>
    </w:p>
    <w:p w14:paraId="1055060E" w14:textId="77777777" w:rsidR="00EB2F85" w:rsidRDefault="00000000">
      <w:pPr>
        <w:pStyle w:val="BodyText"/>
      </w:pPr>
      <w:r>
        <w:rPr>
          <w:b/>
        </w:rPr>
        <w:t>Summary Table: Three Functional Layers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305"/>
        <w:gridCol w:w="3329"/>
        <w:gridCol w:w="3942"/>
      </w:tblGrid>
      <w:tr w:rsidR="00EB2F85" w14:paraId="10550612" w14:textId="77777777" w:rsidTr="00BF2310">
        <w:tc>
          <w:tcPr>
            <w:tcW w:w="0" w:type="auto"/>
            <w:vAlign w:val="bottom"/>
          </w:tcPr>
          <w:p w14:paraId="1055060F" w14:textId="77777777" w:rsidR="00EB2F85" w:rsidRDefault="00000000">
            <w:pPr>
              <w:pStyle w:val="Compact"/>
            </w:pPr>
            <w:r>
              <w:t>Layer</w:t>
            </w:r>
          </w:p>
        </w:tc>
        <w:tc>
          <w:tcPr>
            <w:tcW w:w="0" w:type="auto"/>
            <w:vAlign w:val="bottom"/>
          </w:tcPr>
          <w:p w14:paraId="10550610" w14:textId="77777777" w:rsidR="00EB2F85" w:rsidRDefault="00000000">
            <w:pPr>
              <w:pStyle w:val="Compact"/>
            </w:pPr>
            <w:r>
              <w:t>Focus</w:t>
            </w:r>
          </w:p>
        </w:tc>
        <w:tc>
          <w:tcPr>
            <w:tcW w:w="0" w:type="auto"/>
            <w:vAlign w:val="bottom"/>
          </w:tcPr>
          <w:p w14:paraId="10550611" w14:textId="77777777" w:rsidR="00EB2F85" w:rsidRDefault="00000000">
            <w:pPr>
              <w:pStyle w:val="Compact"/>
            </w:pPr>
            <w:r>
              <w:t>Key Outputs</w:t>
            </w:r>
          </w:p>
        </w:tc>
      </w:tr>
      <w:tr w:rsidR="00EB2F85" w14:paraId="10550616" w14:textId="77777777" w:rsidTr="00BF2310">
        <w:tc>
          <w:tcPr>
            <w:tcW w:w="0" w:type="auto"/>
          </w:tcPr>
          <w:p w14:paraId="10550613" w14:textId="6AECFA33" w:rsidR="00EB2F85" w:rsidRDefault="00000000">
            <w:pPr>
              <w:pStyle w:val="Compact"/>
            </w:pPr>
            <w:r>
              <w:t xml:space="preserve">Layer I </w:t>
            </w:r>
            <w:r w:rsidR="00DE7850">
              <w:t>-</w:t>
            </w:r>
            <w:r>
              <w:t xml:space="preserve"> Ecological and Carbon Integrity</w:t>
            </w:r>
          </w:p>
        </w:tc>
        <w:tc>
          <w:tcPr>
            <w:tcW w:w="0" w:type="auto"/>
          </w:tcPr>
          <w:p w14:paraId="10550614" w14:textId="77777777" w:rsidR="00EB2F85" w:rsidRDefault="00000000">
            <w:pPr>
              <w:pStyle w:val="Compact"/>
            </w:pPr>
            <w:r>
              <w:t>Mangrove extent, restoration performance, carbon stock measurement and re-measurement</w:t>
            </w:r>
          </w:p>
        </w:tc>
        <w:tc>
          <w:tcPr>
            <w:tcW w:w="0" w:type="auto"/>
          </w:tcPr>
          <w:p w14:paraId="10550615" w14:textId="77777777" w:rsidR="00EB2F85" w:rsidRDefault="00000000">
            <w:pPr>
              <w:pStyle w:val="Compact"/>
            </w:pPr>
            <w:r>
              <w:t>Annual extent change maps; restoration site survival reports; PSP carbon stock updates every 3–5 years</w:t>
            </w:r>
          </w:p>
        </w:tc>
      </w:tr>
      <w:tr w:rsidR="00EB2F85" w14:paraId="1055061A" w14:textId="77777777" w:rsidTr="00BF2310">
        <w:tc>
          <w:tcPr>
            <w:tcW w:w="0" w:type="auto"/>
          </w:tcPr>
          <w:p w14:paraId="10550617" w14:textId="2047662C" w:rsidR="00EB2F85" w:rsidRDefault="00000000">
            <w:pPr>
              <w:pStyle w:val="Compact"/>
            </w:pPr>
            <w:r>
              <w:t xml:space="preserve">Layer II </w:t>
            </w:r>
            <w:r w:rsidR="00DE7850">
              <w:t xml:space="preserve">- </w:t>
            </w:r>
            <w:r>
              <w:t>Environmental Pressure Surveillance</w:t>
            </w:r>
          </w:p>
        </w:tc>
        <w:tc>
          <w:tcPr>
            <w:tcW w:w="0" w:type="auto"/>
          </w:tcPr>
          <w:p w14:paraId="10550618" w14:textId="77777777" w:rsidR="00EB2F85" w:rsidRDefault="00000000">
            <w:pPr>
              <w:pStyle w:val="Compact"/>
            </w:pPr>
            <w:r>
              <w:t>Drivers of degradation, early-warning pressure signals, leakage risk management</w:t>
            </w:r>
          </w:p>
        </w:tc>
        <w:tc>
          <w:tcPr>
            <w:tcW w:w="0" w:type="auto"/>
          </w:tcPr>
          <w:p w14:paraId="10550619" w14:textId="77777777" w:rsidR="00EB2F85" w:rsidRDefault="00000000">
            <w:pPr>
              <w:pStyle w:val="Compact"/>
            </w:pPr>
            <w:r>
              <w:t>Quarterly pressure indicator reports; Pressure Alerts and escalation triggers; annual fuel source shift assessments</w:t>
            </w:r>
          </w:p>
        </w:tc>
      </w:tr>
      <w:tr w:rsidR="00EB2F85" w14:paraId="1055061E" w14:textId="77777777" w:rsidTr="00BF2310">
        <w:tc>
          <w:tcPr>
            <w:tcW w:w="0" w:type="auto"/>
          </w:tcPr>
          <w:p w14:paraId="1055061B" w14:textId="6E27722F" w:rsidR="00EB2F85" w:rsidRDefault="00000000">
            <w:pPr>
              <w:pStyle w:val="Compact"/>
            </w:pPr>
            <w:r>
              <w:t xml:space="preserve">Layer III </w:t>
            </w:r>
            <w:r w:rsidR="00DE7850">
              <w:t>-</w:t>
            </w:r>
            <w:r>
              <w:t xml:space="preserve"> Governance and Safeguard Assurance</w:t>
            </w:r>
          </w:p>
        </w:tc>
        <w:tc>
          <w:tcPr>
            <w:tcW w:w="0" w:type="auto"/>
          </w:tcPr>
          <w:p w14:paraId="1055061C" w14:textId="77777777" w:rsidR="00EB2F85" w:rsidRDefault="00000000">
            <w:pPr>
              <w:pStyle w:val="Compact"/>
            </w:pPr>
            <w:r>
              <w:t>Inclusive participation, benefit transparency, conflict monitoring, grievance redress</w:t>
            </w:r>
          </w:p>
        </w:tc>
        <w:tc>
          <w:tcPr>
            <w:tcW w:w="0" w:type="auto"/>
          </w:tcPr>
          <w:p w14:paraId="1055061D" w14:textId="77777777" w:rsidR="00EB2F85" w:rsidRDefault="00000000">
            <w:pPr>
              <w:pStyle w:val="Compact"/>
            </w:pPr>
            <w:r>
              <w:t>Annual governance composition reports; GRM records and resolution rates; benefit-sharing documentation</w:t>
            </w:r>
          </w:p>
        </w:tc>
      </w:tr>
    </w:tbl>
    <w:p w14:paraId="1055061F" w14:textId="77777777" w:rsidR="00EB2F85" w:rsidRDefault="000D3473">
      <w:r>
        <w:pict w14:anchorId="1B09862D">
          <v:rect id="Rectangle 4021" o:spid="_x0000_s105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20" w14:textId="1655A2D5" w:rsidR="00EB2F85" w:rsidRDefault="00000000">
      <w:pPr>
        <w:pStyle w:val="Heading2"/>
      </w:pPr>
      <w:bookmarkStart w:id="38" w:name="integration-how-the-layers-work-together"/>
      <w:bookmarkStart w:id="39" w:name="_Toc226178007"/>
      <w:r>
        <w:t xml:space="preserve">3.4 Integration </w:t>
      </w:r>
      <w:r w:rsidR="002B1FC1">
        <w:t>-</w:t>
      </w:r>
      <w:r>
        <w:t xml:space="preserve"> How the Layers Work Together</w:t>
      </w:r>
      <w:bookmarkEnd w:id="38"/>
      <w:bookmarkEnd w:id="39"/>
    </w:p>
    <w:p w14:paraId="10550621" w14:textId="77777777" w:rsidR="00EB2F85" w:rsidRDefault="00000000">
      <w:pPr>
        <w:pStyle w:val="FirstParagraph"/>
      </w:pPr>
      <w:r>
        <w:lastRenderedPageBreak/>
        <w:t>The three layers are not parallel silos that generate independent streams of data. They are an integrated system in which information produced by each layer informs the interpretation and response within the others. This integration is what makes the MRV architecture coherent rather than merely comprehensive.</w:t>
      </w:r>
    </w:p>
    <w:p w14:paraId="10550622" w14:textId="3CD21705" w:rsidR="00EB2F85" w:rsidRDefault="00000000">
      <w:pPr>
        <w:pStyle w:val="BodyText"/>
      </w:pPr>
      <w:r>
        <w:t>The most operationally significant integration is between Layer III and Layers I and II. Governance instability is treated in this system not as a social outcome to be managed separately from ecological outcomes, but as a risk signal for carbon permanence. The fifth indicator of Layer II</w:t>
      </w:r>
      <w:r w:rsidR="00DE7850">
        <w:t>;</w:t>
      </w:r>
      <w:r>
        <w:t xml:space="preserve"> the conflict and access pressure index captures land tenure disputes and resource access conflicts that, when escalating, signal the breakdown of the social conditions under which ecosystem stewardship is possible. A community where land tenure disputes are unresolved is a community where restoration plantings may be cleared, where </w:t>
      </w:r>
      <w:r w:rsidR="00DE7850">
        <w:t>T/</w:t>
      </w:r>
      <w:r>
        <w:t xml:space="preserve">PSP sites may be disturbed or denied access, where the reporting relationships of the monitoring tier system may be disrupted by factional tensions. The governance assessment documented precisely this dynamic at Songor, where deep social fractures around salt mining rights had created conditions in which conventional CREMA </w:t>
      </w:r>
      <w:r w:rsidR="002B1FC1">
        <w:t>formation let</w:t>
      </w:r>
      <w:r>
        <w:t xml:space="preserve"> alone functioning community-based monitoring could not proceed without prior conflict mediation. In the MRV architecture, a rising conflict and access pressure index at Songor communities such as Pute is cross-referenced against the land conversion monitoring outputs of Layer I, with the expectation that land tenure instability and salt pan expansion will co-locate spatially and temporally.</w:t>
      </w:r>
    </w:p>
    <w:p w14:paraId="10550623" w14:textId="719BAE13" w:rsidR="00EB2F85" w:rsidRDefault="00000000">
      <w:pPr>
        <w:pStyle w:val="BodyText"/>
      </w:pPr>
      <w:r>
        <w:t xml:space="preserve">The integration between Layer II and Layer I operates in both analytical and responsive directions. Environmental pressure data rising cutting incidence, charcoal hotspot expansion, increasing fuel dependence is cross-referenced against </w:t>
      </w:r>
      <w:r w:rsidR="00DE7850">
        <w:t>T/</w:t>
      </w:r>
      <w:r>
        <w:t>PSP locations and carbon stock projections, enabling the system to assess whether pressure signals are operating within the spatial proximity of carbon monitoring sites and whether they are likely to produce detectable carbon stock change before the next re-measurement event. This cross-referencing capability means that the re-measurement cycle can be accelerated in sites where pressure signals have reached threshold levels, rather than proceeding mechanically on a fixed 3–</w:t>
      </w:r>
      <w:r w:rsidR="00DE7850">
        <w:t>5-year</w:t>
      </w:r>
      <w:r>
        <w:t xml:space="preserve"> schedule regardless of conditions on the ground. Conversely, Layer I ecological outputs feed back into Layer II prioritisation: where satellite analysis detects net mangrove loss or significant fragmentation in a given area, the pressure surveillance system is directed to intensify monitoring in that location to identify the causal driver.</w:t>
      </w:r>
    </w:p>
    <w:p w14:paraId="10550624" w14:textId="77777777" w:rsidR="00EB2F85" w:rsidRDefault="00000000">
      <w:pPr>
        <w:pStyle w:val="BodyText"/>
      </w:pPr>
      <w:r>
        <w:t>Layer III governance indicators, similarly, inform Layer II pressure interpretation. A deteriorating grievance resolution rate in a community may precede an increase in reported cutting incidence, because communities that perceive governance as unresponsive or inequitable are less likely to enforce the collective norms that discourage extraction. A decline in female representation in CREMA leadership may reduce the effectiveness of fuel source shift monitoring, since women, as the primary fuelwood users, hold observational knowledge of extraction trends that male-dominated governance structures may not capture. These linkages are not abstract; they reflect causal pathways documented in the social-ecological analysis of the three Ramsar landscapes, and they are what distinguishes a genuinely integrated monitoring system from a collection of independently managed indicator sets.</w:t>
      </w:r>
    </w:p>
    <w:p w14:paraId="10550625" w14:textId="77777777" w:rsidR="00EB2F85" w:rsidRDefault="000D3473">
      <w:r>
        <w:pict w14:anchorId="73E5CBE1">
          <v:rect id="Rectangle 4019" o:spid="_x0000_s105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26" w14:textId="77777777" w:rsidR="00EB2F85" w:rsidRDefault="00000000">
      <w:pPr>
        <w:pStyle w:val="Heading2"/>
      </w:pPr>
      <w:bookmarkStart w:id="40" w:name="Xc0f64645d7147eb403b3dce261a4985f88e1ef6"/>
      <w:bookmarkStart w:id="41" w:name="_Toc226178008"/>
      <w:r>
        <w:t>3.5 The Digital Platform as the Connective Architecture</w:t>
      </w:r>
      <w:bookmarkEnd w:id="40"/>
      <w:bookmarkEnd w:id="41"/>
    </w:p>
    <w:p w14:paraId="10550627" w14:textId="3E49CEAA" w:rsidR="00EB2F85" w:rsidRDefault="00000000">
      <w:pPr>
        <w:pStyle w:val="FirstParagraph"/>
      </w:pPr>
      <w:r>
        <w:t xml:space="preserve">The institutional tiers and functional layers described in this chapter generate monitoring data that spans three Ramsar landscapes, four tiers of institutional actors, three distinct analytical domains, and monitoring cycles ranging from quarterly field observation to five-yearly </w:t>
      </w:r>
      <w:r w:rsidR="00DE7850">
        <w:t>T/</w:t>
      </w:r>
      <w:r>
        <w:t xml:space="preserve">PSP re-measurement. </w:t>
      </w:r>
      <w:r w:rsidR="002B1FC1">
        <w:t>A d</w:t>
      </w:r>
      <w:r>
        <w:t>igital platform is the connective architecture that makes this integrated system operable at national scale</w:t>
      </w:r>
      <w:r w:rsidR="002B1FC1">
        <w:t xml:space="preserve"> (recommended web based app)</w:t>
      </w:r>
      <w:r>
        <w:t>.</w:t>
      </w:r>
    </w:p>
    <w:p w14:paraId="10550629" w14:textId="1302DAD1" w:rsidR="00EB2F85" w:rsidRDefault="00000000" w:rsidP="002B1FC1">
      <w:pPr>
        <w:pStyle w:val="BodyText"/>
      </w:pPr>
      <w:r>
        <w:lastRenderedPageBreak/>
        <w:t xml:space="preserve">The web-based spatial monitoring platform, aggregates data submissions from all four institutional tiers and makes them available through role-differentiated interfaces: national agencies manage data integrity and produce analytical outputs; district authorities review area-specific pressure trends and access CREMA submission records; CREMA members upload field observations and access their monitoring zone maps through smartphone-compatible interfaces. The platform hosts </w:t>
      </w:r>
      <w:r w:rsidR="00DE7850">
        <w:t>T/</w:t>
      </w:r>
      <w:r>
        <w:t xml:space="preserve">PSP locations, restoration site registrations, annual mangrove extent layers, pressure alert overlays, charcoal hotspot mappings, conflict-linked zone records, and governance composition summaries. It is the single point of integration that allows the Annual National Blue Carbon MRV Report to be produced from a coherent, quality-controlled, nationally archived data record rather than from fragmented submissions reconciled manually at reporting time. </w:t>
      </w:r>
    </w:p>
    <w:p w14:paraId="1055062B" w14:textId="77777777" w:rsidR="00EB2F85" w:rsidRDefault="000D3473">
      <w:r>
        <w:pict w14:anchorId="397F32E2">
          <v:rect id="Rectangle 4015" o:spid="_x0000_s105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2C" w14:textId="77777777" w:rsidR="00EB2F85" w:rsidRDefault="00000000">
      <w:pPr>
        <w:pStyle w:val="Heading1"/>
      </w:pPr>
      <w:bookmarkStart w:id="42" w:name="X12c1cee99947e1d84637037888618589f4693ca"/>
      <w:bookmarkStart w:id="43" w:name="_Toc226178009"/>
      <w:r>
        <w:t>Chapter 4: Ecological and Carbon Integrity Layer</w:t>
      </w:r>
      <w:bookmarkEnd w:id="42"/>
      <w:bookmarkEnd w:id="43"/>
    </w:p>
    <w:p w14:paraId="1055062D" w14:textId="77777777" w:rsidR="00EB2F85" w:rsidRDefault="000D3473">
      <w:r>
        <w:pict w14:anchorId="633B452C">
          <v:rect id="Rectangle 4013" o:spid="_x0000_s105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2E" w14:textId="77777777" w:rsidR="00EB2F85" w:rsidRDefault="00000000">
      <w:pPr>
        <w:pStyle w:val="Heading2"/>
      </w:pPr>
      <w:bookmarkStart w:id="44" w:name="X5edd6db579bce851cf201e3f4b31f66baa96f7e"/>
      <w:bookmarkStart w:id="45" w:name="_Toc226178010"/>
      <w:r>
        <w:t>4.1 Purpose of the Ecological and Carbon Integrity Layer</w:t>
      </w:r>
      <w:bookmarkEnd w:id="44"/>
      <w:bookmarkEnd w:id="45"/>
    </w:p>
    <w:p w14:paraId="1055062F" w14:textId="30DE0CFA" w:rsidR="00EB2F85" w:rsidRDefault="00000000">
      <w:pPr>
        <w:pStyle w:val="FirstParagraph"/>
      </w:pPr>
      <w:r>
        <w:t>Layer I of Ghana’s National Blue Carbon Monitoring, Reporting, and Verification (MRV) framework is the measurement foundation on which all subsequent carbon accounting, reporting, and market participation depends. Its purpose is precise: to ensure that the spatial extent of Ghana’s coastal mangroves, the ecological health of restored and conserved areas, and the carbon stocks held in mangrove biomass and soils are continuously monitored</w:t>
      </w:r>
      <w:r w:rsidR="002B1FC1">
        <w:t>,</w:t>
      </w:r>
      <w:r>
        <w:t xml:space="preserve"> periodically re-measured, correctly attributed, and recorded in a form that meets the requirements of both national climate reporting and international carbon standard compliance.</w:t>
      </w:r>
    </w:p>
    <w:p w14:paraId="10550631" w14:textId="4560C133" w:rsidR="00EB2F85" w:rsidRDefault="00000000">
      <w:pPr>
        <w:pStyle w:val="BodyText"/>
      </w:pPr>
      <w:r>
        <w:t xml:space="preserve">The Ecological and Carbon Integrity Layer operates within the institutional architecture described in Chapter 3. Community Change Agents (CCAs) and Community Resource Management Area (CREMA) members supply the field presence that sustains </w:t>
      </w:r>
      <w:r w:rsidR="00751F28">
        <w:t>T/</w:t>
      </w:r>
      <w:r>
        <w:t>PSP</w:t>
      </w:r>
      <w:r w:rsidR="006661DF">
        <w:t>s</w:t>
      </w:r>
      <w:r>
        <w:t xml:space="preserve"> access and validates spatial monitoring outputs between national measurement events. The Wildlife Division of the Forestry Commission provides district-level validation. The Ministry of Lands and Natural Resources (MLNR) and the Ministry of Environment, Science, </w:t>
      </w:r>
      <w:r w:rsidR="006661DF">
        <w:t xml:space="preserve">and </w:t>
      </w:r>
      <w:r>
        <w:t>Technology</w:t>
      </w:r>
      <w:r w:rsidR="006661DF">
        <w:t xml:space="preserve"> </w:t>
      </w:r>
      <w:r>
        <w:t>(MEST) hold national oversight and analytical responsibility. This vertical integration is not administrative convention; it reflects the practical reality that no single institution possesses both the field density and the analytical capacity that continuous carbon integrity monitoring requires. The system functions because responsibilities are clearly stratified, not because any one tier attempts to perform all of them.</w:t>
      </w:r>
    </w:p>
    <w:p w14:paraId="10550632" w14:textId="77777777" w:rsidR="00EB2F85" w:rsidRDefault="000D3473">
      <w:r>
        <w:pict w14:anchorId="517A147B">
          <v:rect id="Rectangle 4011" o:spid="_x0000_s105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33" w14:textId="77777777" w:rsidR="00EB2F85" w:rsidRDefault="00000000">
      <w:pPr>
        <w:pStyle w:val="Heading2"/>
      </w:pPr>
      <w:bookmarkStart w:id="46" w:name="carbon-pools-assessed"/>
      <w:bookmarkStart w:id="47" w:name="_Toc226178011"/>
      <w:r>
        <w:t>4.2 Carbon Pools Assessed</w:t>
      </w:r>
      <w:bookmarkEnd w:id="46"/>
      <w:bookmarkEnd w:id="47"/>
    </w:p>
    <w:p w14:paraId="10550634" w14:textId="4657BBBC" w:rsidR="00EB2F85" w:rsidRDefault="00000000">
      <w:pPr>
        <w:pStyle w:val="FirstParagraph"/>
      </w:pPr>
      <w:r>
        <w:t xml:space="preserve">Ghana’s national carbon monitoring system tracks four carbon pools, aligned with the methodology of the Intergovernmental Panel on Climate Change (IPCC) Wetlands Supplement the authoritative international reference for blue carbon accounting in tidal wetland ecosystems. The four pools are above-ground biomass (AGB), below-ground biomass (BGB), deadwood where ecologically relevant, and soil organic carbon (SOC) measured from the surface to </w:t>
      </w:r>
      <w:r w:rsidR="00751F28">
        <w:t>45</w:t>
      </w:r>
      <w:r>
        <w:t xml:space="preserve"> centimetres depth.</w:t>
      </w:r>
    </w:p>
    <w:p w14:paraId="10550638" w14:textId="59EB5C20" w:rsidR="00EB2F85" w:rsidRDefault="00000000">
      <w:pPr>
        <w:pStyle w:val="BodyText"/>
      </w:pPr>
      <w:r>
        <w:t>The combination of these four pools, measured and accounted for within a single nationally managed system, gives Ghana a carbon accounting framework that is both methodologically defensible under international standards such as Verra/VCS, Gold Standard, and Plan Vivo, and institutionally rooted in the government structures described in Chapter 3.</w:t>
      </w:r>
      <w:r w:rsidR="00751F28">
        <w:t xml:space="preserve"> (details found in Carbon Inventory and Stock Assessment Report)</w:t>
      </w:r>
    </w:p>
    <w:p w14:paraId="10550639" w14:textId="77777777" w:rsidR="00EB2F85" w:rsidRDefault="000D3473">
      <w:r>
        <w:pict w14:anchorId="4E88AAD7">
          <v:rect id="Rectangle 4009" o:spid="_x0000_s105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3A" w14:textId="32027ED6" w:rsidR="00EB2F85" w:rsidRDefault="00000000">
      <w:pPr>
        <w:pStyle w:val="Heading2"/>
      </w:pPr>
      <w:bookmarkStart w:id="48" w:name="permanent-sample-plots"/>
      <w:bookmarkStart w:id="49" w:name="_Toc226178012"/>
      <w:r>
        <w:t xml:space="preserve">4.3 </w:t>
      </w:r>
      <w:r w:rsidR="00751F28">
        <w:t>Temporary/</w:t>
      </w:r>
      <w:r>
        <w:t>Permanent Sample Plots</w:t>
      </w:r>
      <w:bookmarkEnd w:id="48"/>
      <w:bookmarkEnd w:id="49"/>
    </w:p>
    <w:p w14:paraId="1055063B" w14:textId="2D2E0FD9" w:rsidR="00EB2F85" w:rsidRDefault="00000000">
      <w:pPr>
        <w:pStyle w:val="FirstParagraph"/>
      </w:pPr>
      <w:r>
        <w:t xml:space="preserve">The </w:t>
      </w:r>
      <w:r w:rsidR="00751F28">
        <w:t>T/</w:t>
      </w:r>
      <w:r>
        <w:t xml:space="preserve">PSP network is the physical backbone of Ghana’s carbon stock monitoring system. </w:t>
      </w:r>
      <w:r w:rsidR="00751F28">
        <w:t>T/</w:t>
      </w:r>
      <w:r>
        <w:t>PSPs establish fixed, georeferenced measurement points within mangrove ecosystems where repeated biomass and soil measurements can be conducted over time, providing the long-term data record that carbon stock change detection requires. A single measurement however rigorously conducted can describe what carbon is present at one moment. Only a network of fixed plots, re-measured at consistent intervals using consistent methodology, can determine whether carbon stocks are increasing, decreasing, or stable, and attribute those changes to the drivers that produced them.</w:t>
      </w:r>
    </w:p>
    <w:p w14:paraId="10550640" w14:textId="5C98E874" w:rsidR="00EB2F85" w:rsidRDefault="00000000">
      <w:pPr>
        <w:pStyle w:val="BodyText"/>
      </w:pPr>
      <w:r>
        <w:t xml:space="preserve">The biomass re-measurement cycle for the </w:t>
      </w:r>
      <w:r w:rsidR="00751F28">
        <w:t>T/</w:t>
      </w:r>
      <w:r>
        <w:t>PSP network is every three to five years, consistent with the IPCC Wetlands Supplement guidance on re-measurement intervals for tidal wetland carbon inventories. accounting period in which they occur.</w:t>
      </w:r>
      <w:r w:rsidR="00751F28" w:rsidRPr="00751F28">
        <w:t xml:space="preserve"> </w:t>
      </w:r>
      <w:r w:rsidR="00751F28">
        <w:t>details found in Carbon Inventory and Stock Assessment Report)</w:t>
      </w:r>
    </w:p>
    <w:p w14:paraId="10550641" w14:textId="77777777" w:rsidR="00EB2F85" w:rsidRDefault="000D3473">
      <w:r>
        <w:pict w14:anchorId="49F55E55">
          <v:rect id="Rectangle 4007" o:spid="_x0000_s105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42" w14:textId="77777777" w:rsidR="00EB2F85" w:rsidRDefault="00000000">
      <w:pPr>
        <w:pStyle w:val="Heading2"/>
      </w:pPr>
      <w:bookmarkStart w:id="50" w:name="mangrove-extent-monitoring"/>
      <w:bookmarkStart w:id="51" w:name="_Toc226178013"/>
      <w:r>
        <w:t>4.4 Mangrove Extent Monitoring</w:t>
      </w:r>
      <w:bookmarkEnd w:id="50"/>
      <w:bookmarkEnd w:id="51"/>
    </w:p>
    <w:p w14:paraId="10550643" w14:textId="46D6862F" w:rsidR="00EB2F85" w:rsidRDefault="00000000">
      <w:pPr>
        <w:pStyle w:val="FirstParagraph"/>
      </w:pPr>
      <w:r>
        <w:t xml:space="preserve">Annual satellite-based monitoring of mangrove extent is the continuous surveillance instrument of Layer I. Where </w:t>
      </w:r>
      <w:r w:rsidR="00751F28">
        <w:t>T/</w:t>
      </w:r>
      <w:r>
        <w:t xml:space="preserve">PSP re-measurement operates on a </w:t>
      </w:r>
      <w:r w:rsidR="00A827F8">
        <w:t>three-to-five-year</w:t>
      </w:r>
      <w:r>
        <w:t xml:space="preserve"> cycle and captures fine-grained carbon stock data at fixed locations, extent monitoring operates annually across Ghana’s entire 550 km coastline, providing the spatial intelligence needed to detect conversion events, track fragmentation trends, and verify that restoration activities are expanding the total mangrove canopy as intended.</w:t>
      </w:r>
    </w:p>
    <w:p w14:paraId="10550644" w14:textId="5D60F191" w:rsidR="00EB2F85" w:rsidRDefault="00000000">
      <w:pPr>
        <w:pStyle w:val="BodyText"/>
      </w:pPr>
      <w:r>
        <w:t xml:space="preserve">The methodology mirrors that of the 2025 national baseline, ensuring that annual updates are directly comparable to the Year 0 reference point. </w:t>
      </w:r>
      <w:r w:rsidR="00EA1B7E">
        <w:t>(details in the geo-social mangrove extent report)</w:t>
      </w:r>
    </w:p>
    <w:p w14:paraId="10550646" w14:textId="6441E4F9" w:rsidR="00EB2F85" w:rsidRDefault="00000000">
      <w:pPr>
        <w:pStyle w:val="BodyText"/>
      </w:pPr>
      <w:r>
        <w:t xml:space="preserve">Annual outputs from the satellite monitoring programme include three core spatial products: an extent change map showing areas of detected mangrove loss (deforestation and conversion), detected mangrove gain (restoration expansion and natural regeneration), and stable mangrove area that has neither been lost nor gained in the monitored period. These three categories are expressed in hectares and compared directly to the Year 0 baseline, yielding a net annual area change figure for each landscape and for the national system. Detected loss events are cross-referenced with the environmental pressure indicators of Layer </w:t>
      </w:r>
      <w:r w:rsidR="006661DF">
        <w:t>II particularly</w:t>
      </w:r>
      <w:r>
        <w:t xml:space="preserve"> the land conversion and mangrove cutting signal indicators to test whether field-level pressure signals predicted the observed spatial outcome. Detected gains are compared to georeferenced restoration site records to attribute canopy expansion to specific intervention activities. Areas that remain stable despite documented pressure signals are examined to assess whether conservation measures are holding.</w:t>
      </w:r>
    </w:p>
    <w:p w14:paraId="10550647" w14:textId="23ADAD97" w:rsidR="00EB2F85" w:rsidRDefault="00000000">
      <w:pPr>
        <w:pStyle w:val="BodyText"/>
      </w:pPr>
      <w:r>
        <w:t>Ground-truth validation of annual classification outputs follows the same participatory pathway used in the 2025 baseline: Wildlife Division field officers and CREMA monitoring teams cross-check satellite-detected change events against their direct field knowledge of the landscapes in their zones. This continuity is methodologically essential. Random Forest classifiers trained on one year’s reference data may perform differently when applied to the following year’s imagery, and field validation ensures that classification performance is assessed and documented annually. Any systematic degradation in classification accuracy is detected before it propagates into the carbon accounting record.</w:t>
      </w:r>
    </w:p>
    <w:p w14:paraId="10550648" w14:textId="77777777" w:rsidR="00EB2F85" w:rsidRDefault="000D3473">
      <w:r>
        <w:pict w14:anchorId="7091C337">
          <v:rect id="Rectangle 4005" o:spid="_x0000_s104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49" w14:textId="77777777" w:rsidR="00EB2F85" w:rsidRDefault="00000000">
      <w:pPr>
        <w:pStyle w:val="Heading2"/>
      </w:pPr>
      <w:bookmarkStart w:id="52" w:name="restoration-performance-monitoring"/>
      <w:bookmarkStart w:id="53" w:name="_Toc226178014"/>
      <w:r>
        <w:lastRenderedPageBreak/>
        <w:t>4.5 Restoration Performance Monitoring</w:t>
      </w:r>
      <w:bookmarkEnd w:id="52"/>
      <w:bookmarkEnd w:id="53"/>
    </w:p>
    <w:p w14:paraId="1055064C" w14:textId="3F957CD5" w:rsidR="00EB2F85" w:rsidRDefault="00000000">
      <w:pPr>
        <w:pStyle w:val="BodyText"/>
      </w:pPr>
      <w:r>
        <w:t xml:space="preserve">All restoration sites are georeferenced and registered in the national web platform </w:t>
      </w:r>
      <w:r w:rsidR="006661DF">
        <w:t xml:space="preserve">(recommended for functions including database management and data audit trail) </w:t>
      </w:r>
      <w:r>
        <w:t xml:space="preserve">with unique site identifiers, linked to the responsible CREMA and district authority. This registration is the entry point for a structured monitoring protocol that begins three months after planting and continues at six months, twelve months, and annually thereafter until ecological establishment is confirmed. The indicators tracked at each monitoring visit provide a complete picture of restoration trajectory. Seedling survival rate expressed as the proportion of planted stems surviving at each monitoring interval is the primary performance indicator. The minimum acceptable survival threshold is 70% at Year 1: </w:t>
      </w:r>
    </w:p>
    <w:p w14:paraId="1055064D" w14:textId="06AEED03" w:rsidR="00EB2F85" w:rsidRDefault="00000000">
      <w:pPr>
        <w:pStyle w:val="BodyText"/>
      </w:pPr>
      <w:r>
        <w:t>Canopy cover development is assessed at each visit to track structural progression from an open, recently planted site to a functionally closed canopy. Canopy closure is ecologically significant not only as a carbon accumulation signal but as the point at which the mangrove stand begins to provide its broader ecosystem services</w:t>
      </w:r>
      <w:r w:rsidR="00EA1B7E">
        <w:t>,</w:t>
      </w:r>
      <w:r>
        <w:t xml:space="preserve"> shade, root structure for sediment stabilisation, nursery habitat for fish. Natural recruitment the establishment of seedlings from propagules produced by the restored stand itself or carried in by tidal flow is the most reliable indicator that ecological function is recovering, since it demonstrates that the restored area is now acting as a source of new plants rather than depending entirely on human intervention for its regeneration. Evidence of disturbance fresh cutting, grazing damage, evidence of charcoal production activity is recorded at each visit alongside the restoration performance indicators, because the permanence of restoration is only as secure as the governance and enforcement conditions that surround it.</w:t>
      </w:r>
    </w:p>
    <w:p w14:paraId="1055064E" w14:textId="6B870E44" w:rsidR="00EB2F85" w:rsidRDefault="00000000">
      <w:pPr>
        <w:pStyle w:val="BodyText"/>
      </w:pPr>
      <w:r>
        <w:t xml:space="preserve">A restored plot formally enters the carbon stock accounting system when three conditions are met: canopy closure is confirmed as progressing; natural recruitment is documented; and the site has met the Year 1 survival threshold without triggering corrective restoration. At this point, the site is incorporated into the </w:t>
      </w:r>
      <w:r w:rsidR="00EA1B7E">
        <w:t>T/</w:t>
      </w:r>
      <w:r>
        <w:t>PSP re-measurement cycle, with a PSP established within the restored area to provide the long-term carbon stock record that market compliance requires. This transition from restoration monitoring to carbon stock monitoring is the point at which Layer I’s ecological and market functions converge, and it is the threshold that determines when restoration investments begin generating a verifiable carbon return.</w:t>
      </w:r>
    </w:p>
    <w:p w14:paraId="1055064F" w14:textId="77777777" w:rsidR="00EB2F85" w:rsidRDefault="000D3473">
      <w:r>
        <w:pict w14:anchorId="56353CCE">
          <v:rect id="Rectangle 4003" o:spid="_x0000_s104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50" w14:textId="77777777" w:rsidR="00EB2F85" w:rsidRDefault="00000000">
      <w:pPr>
        <w:pStyle w:val="Heading2"/>
      </w:pPr>
      <w:bookmarkStart w:id="54" w:name="X6f8186c831d8b4c5ccd991b280d0ba8f25b0ac0"/>
      <w:bookmarkStart w:id="55" w:name="_Toc226178015"/>
      <w:r>
        <w:t>4.6 The Degradation Baseline and Additionality</w:t>
      </w:r>
      <w:bookmarkEnd w:id="54"/>
      <w:bookmarkEnd w:id="55"/>
    </w:p>
    <w:p w14:paraId="10550651" w14:textId="5EB8CB84" w:rsidR="00EB2F85" w:rsidRDefault="00000000">
      <w:pPr>
        <w:pStyle w:val="FirstParagraph"/>
      </w:pPr>
      <w:r>
        <w:t xml:space="preserve">Carbon credits generated through conservation and restoration of Ghana’s coastal mangroves are only internationally credible if they can be demonstrated to be </w:t>
      </w:r>
      <w:r w:rsidR="00A827F8">
        <w:t>additional that</w:t>
      </w:r>
      <w:r>
        <w:t xml:space="preserve"> is, if the emission reductions or carbon sequestration they represent would not have occurred in the absence of the project. Additionality is established by comparing the carbon stock trajectory under the project against the baseline scenario: what would have happened to mangrove extent and carbon stocks if no intervention had taken place.</w:t>
      </w:r>
    </w:p>
    <w:p w14:paraId="10550652" w14:textId="264C08FD" w:rsidR="00EB2F85" w:rsidRDefault="00000000">
      <w:pPr>
        <w:pStyle w:val="BodyText"/>
      </w:pPr>
      <w:r>
        <w:t xml:space="preserve">The reference degradation trajectory for the Keta Lagoon Complex is the historical deforestation rate of 2.15% per year, derived from the multi-decadal land cover analysis conducted as part of the 2025 national baseline. This rate reflects the cumulative effect of fuelwood harvesting concentrated particularly on </w:t>
      </w:r>
      <w:r>
        <w:rPr>
          <w:i/>
        </w:rPr>
        <w:t>Rhizophora racemosa</w:t>
      </w:r>
      <w:r>
        <w:t xml:space="preserve">, which is preferred by fish-smoking operators in communities including Agbatsivi, Galotse, Bomigo, and Salo for its heat output and the characteristic flavour it imparts to smoked </w:t>
      </w:r>
      <w:r w:rsidR="006661DF">
        <w:t>fish as</w:t>
      </w:r>
      <w:r>
        <w:t xml:space="preserve"> well </w:t>
      </w:r>
    </w:p>
    <w:p w14:paraId="10550654" w14:textId="3A0022F0" w:rsidR="00EB2F85" w:rsidRDefault="00000000">
      <w:pPr>
        <w:pStyle w:val="BodyText"/>
      </w:pPr>
      <w:r>
        <w:t xml:space="preserve">The additionality framework requires ongoing demonstration, not merely initial establishment. Each annual monitoring cycle satellite extent analysis, CCA field reports, district-level validation contributes to the rolling evidence record of project performance against the reference scenario. Where pressure monitoring under </w:t>
      </w:r>
      <w:r>
        <w:lastRenderedPageBreak/>
        <w:t>Layer II detects elevated fuelwood harvesting or land conversion activity, Layer I’s extent monitoring provides the spatial corroboration. Where extent monitoring detects net mangrove loss at a landscape, the data are compared to the pressure indicators to determine causation and to assess whether the loss represents a temporary setback within an otherwise stable conservation trajectory or a systematic erosion of the carbon base that requires urgent intervention. This integration of additionality tracking with real-time ecological surveillance is what distinguishes Ghana’s MRV framework from a periodic audit mechanism and makes it an operationally useful management tool.</w:t>
      </w:r>
    </w:p>
    <w:p w14:paraId="10550656" w14:textId="77777777" w:rsidR="00EB2F85" w:rsidRDefault="000D3473">
      <w:r>
        <w:pict w14:anchorId="1E96504A">
          <v:rect id="Rectangle 4001" o:spid="_x0000_s104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57" w14:textId="77777777" w:rsidR="00EB2F85" w:rsidRDefault="00000000">
      <w:pPr>
        <w:pStyle w:val="Heading2"/>
      </w:pPr>
      <w:bookmarkStart w:id="56" w:name="data-flow-from-field-to-national-record"/>
      <w:bookmarkStart w:id="57" w:name="_Toc226178016"/>
      <w:r>
        <w:t>4.7 Data Flow from Field to National Record</w:t>
      </w:r>
      <w:bookmarkEnd w:id="56"/>
      <w:bookmarkEnd w:id="57"/>
    </w:p>
    <w:p w14:paraId="10550659" w14:textId="67459850" w:rsidR="00EB2F85" w:rsidRDefault="00000000">
      <w:pPr>
        <w:pStyle w:val="BodyText"/>
      </w:pPr>
      <w:r>
        <w:t xml:space="preserve">At the community level, CCAs and CREMA members constitute the primary data-generating tier. Their responsibilities under Layer I include quarterly visits to </w:t>
      </w:r>
      <w:r w:rsidR="005A52C3">
        <w:t>T/</w:t>
      </w:r>
      <w:r>
        <w:t>PSP locations to confirm access and document any visible disturbance events; completion of standardised field data sheets recording DBH measurements where directed by national technical teams; quarterly monitoring of restoration sites against the survival, canopy cover, and recruitment indicators described in Section 4.5; and the recording of any anomalous ecological observations significant tree mortality, evidence of flood events or saltwater intrusion, unusual wildlife die-offs that fall outside the structured indicator set but are relevant to the ecological condition of the monitoring area. This community-level data collection is not informal or discretionary. CCAs operate within spatially delineated monitoring zones uploaded to the national web platform, and their data submissions are tagged to the specific sites those zones contain. The 2025 baseline fieldwork which involved training CCAs across communities including Dzita, Salo, Pute, and Sankor in the use of monitoring equipment and data recording protocols established the institutional foundation for this data collection capacity. Ongoing training, as recommended by the monitoring plan developed for the Keta and Ada wetlands, will be required as monitoring equipment is periodically updated and as new CCAs are brought into the system.</w:t>
      </w:r>
    </w:p>
    <w:p w14:paraId="1055065A" w14:textId="110EE480" w:rsidR="00EB2F85" w:rsidRDefault="00000000">
      <w:pPr>
        <w:pStyle w:val="BodyText"/>
      </w:pPr>
      <w:r>
        <w:t xml:space="preserve">Field data collected quarterly are submitted to the Wildlife Division for district-level validation. The Wildlife Division’s role here is not passive receipt but active checking: consolidating data from multiple CREMA zones within the district, cross-checking for internal consistency and for alignment with known site conditions, and flagging observations that require technical follow-up. Where a CCA’s field record shows </w:t>
      </w:r>
      <w:r w:rsidR="005A52C3">
        <w:t>T/</w:t>
      </w:r>
      <w:r>
        <w:t>PSP disturbance, the district review determines whether corrective action is warranted at the community level or whether escalation to the national technical tier is required. The Wildlife Division also conducts the ground-truth validation of annual satellite classification outputs, field-checking detected change events against direct observation and cross-referencing them with community monitoring records. This district-level integration is what gives Layer I’s spatial data its credibility: satellite-detected mangrove loss that is confirmed by a Wildlife Division field officer who has walked the same terrain in the same quarter is a verified observation, not a classification artefact.</w:t>
      </w:r>
    </w:p>
    <w:p w14:paraId="1055065B" w14:textId="4E8CFF03" w:rsidR="00EB2F85" w:rsidRDefault="00000000">
      <w:pPr>
        <w:pStyle w:val="BodyText"/>
      </w:pPr>
      <w:r>
        <w:t xml:space="preserve">At the national level, MLNR and MESTI receive district consolidated reports and integrate them with the outputs of GEE satellite analysis to produce the national annual mangrove extent update the definitive statement of Ghana’s coastal mangrove area at the close of each monitoring year. On the </w:t>
      </w:r>
      <w:r w:rsidR="00BB72AA">
        <w:t>three-to-five-year</w:t>
      </w:r>
      <w:r>
        <w:t xml:space="preserve"> </w:t>
      </w:r>
      <w:r w:rsidR="003608DE">
        <w:t>T/</w:t>
      </w:r>
      <w:r>
        <w:t xml:space="preserve">PSP re-measurement cycle, national technical teams conduct full carbon stock recalculations from </w:t>
      </w:r>
      <w:r w:rsidR="003608DE">
        <w:t>T/</w:t>
      </w:r>
      <w:r>
        <w:t xml:space="preserve">PSP field data, soil re-measurement at designated depths, and the full QA/QC procedures that the IPCC Wetlands Supplement methodology requires before carbon stock figures can be used in national or market reporting. All carbon data are archived in the nationally managed database with controlled access rights and full audit trail documentation, ensuring that the data record supporting Ghana’s NDC commitments and any future carbon market participation is complete, version-controlled, and institutionally owned. The Annual National Blue Carbon MRV Report, produced by MLNR and MESTI, draws on the full cycle of community field data, </w:t>
      </w:r>
      <w:r>
        <w:lastRenderedPageBreak/>
        <w:t>district validation, and national analysis to report Ghana’s carbon stock position, landscape-level changes, restoration progress, and additionality against the 2025 Year 0 baseline  a document that constitutes both a government record and a transparency instrument for development partners and carbon market reviewers. All monitoring data underpinning Layer I feeds into the digital platform described in Chapter 8, which provides the spatial and analytical interface through which national, district, and community stakeholders access the evidence base that Layer I continuously builds.</w:t>
      </w:r>
    </w:p>
    <w:p w14:paraId="1055065D" w14:textId="73A69188" w:rsidR="00EB2F85" w:rsidRDefault="000D3473">
      <w:r>
        <w:pict w14:anchorId="1A2C5A59">
          <v:rect id="Rectangle 3997" o:spid="_x0000_s104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5E" w14:textId="77777777" w:rsidR="00EB2F85" w:rsidRDefault="00000000">
      <w:pPr>
        <w:pStyle w:val="Heading1"/>
      </w:pPr>
      <w:bookmarkStart w:id="58" w:name="Xa8d1291f4b855b27f8d70b4d199a07f6170b5a3"/>
      <w:bookmarkStart w:id="59" w:name="_Toc226178017"/>
      <w:r>
        <w:t>Chapter 5: Environmental Pressure Surveillance</w:t>
      </w:r>
      <w:bookmarkEnd w:id="58"/>
      <w:bookmarkEnd w:id="59"/>
    </w:p>
    <w:p w14:paraId="1055065F" w14:textId="77777777" w:rsidR="00EB2F85" w:rsidRDefault="000D3473">
      <w:r>
        <w:pict w14:anchorId="3D2FA517">
          <v:rect id="Rectangle 3995" o:spid="_x0000_s104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60" w14:textId="77777777" w:rsidR="00EB2F85" w:rsidRDefault="00000000">
      <w:pPr>
        <w:pStyle w:val="Heading2"/>
      </w:pPr>
      <w:bookmarkStart w:id="60" w:name="Xd349b57dc68a81407a2f89770efd56560c7ecd1"/>
      <w:bookmarkStart w:id="61" w:name="_Toc226178018"/>
      <w:r>
        <w:t>5.1 Purpose of Environmental Pressure Surveillance</w:t>
      </w:r>
      <w:bookmarkEnd w:id="60"/>
      <w:bookmarkEnd w:id="61"/>
    </w:p>
    <w:p w14:paraId="10550663" w14:textId="42E2191E" w:rsidR="00EB2F85" w:rsidRDefault="00000000">
      <w:pPr>
        <w:pStyle w:val="BodyText"/>
      </w:pPr>
      <w:r>
        <w:t xml:space="preserve">The Environmental Pressure Surveillance </w:t>
      </w:r>
      <w:r w:rsidR="00BB72AA">
        <w:t>Framework:</w:t>
      </w:r>
      <w:r>
        <w:t xml:space="preserve"> Layer II of the National Blue Carbon </w:t>
      </w:r>
      <w:r w:rsidR="00BB72AA">
        <w:t>MRV is</w:t>
      </w:r>
      <w:r>
        <w:t xml:space="preserve"> built on the explicit premise that institutional response must precede irreversible loss, not follow it. The system detects risk signals: early-stage behavioral indicators, spatial changes, and conflict patterns that research across all three Ramsar sites has identified as the reliable precursors of ecosystem degradation. When those signals reach defined threshold levels, the surveillance framework activates the institutional escalation pathway described in Chapter 3, directing a response from Community Resource Management Areas (CREMAs) and Community Change Agents (CCAs) up through district Wildlife Division authorities to the Ministry of Lands and Natural Resources and the Ministry of Environment, Science, </w:t>
      </w:r>
      <w:r w:rsidR="000D2D8E">
        <w:t xml:space="preserve">and </w:t>
      </w:r>
      <w:r>
        <w:t>Technology at national level.</w:t>
      </w:r>
    </w:p>
    <w:p w14:paraId="10550664" w14:textId="6700761B" w:rsidR="00EB2F85" w:rsidRDefault="00000000">
      <w:pPr>
        <w:pStyle w:val="BodyText"/>
      </w:pPr>
      <w:r>
        <w:t xml:space="preserve">The framework is also designed to monitor pressures that extend beyond the project’s immediate geographic boundaries. Where conservation measures reduce harvesting pressure within a CREMA zone, displaced demand may shift to adjacent, unprotected mangrove </w:t>
      </w:r>
      <w:r w:rsidR="000D2D8E">
        <w:t>areas a</w:t>
      </w:r>
      <w:r>
        <w:t xml:space="preserve"> phenomenon known as leakage. Detecting and managing this displacement is a core function of Layer II, addressed specifically in Section 5.4.</w:t>
      </w:r>
    </w:p>
    <w:p w14:paraId="10550665" w14:textId="77777777" w:rsidR="00EB2F85" w:rsidRDefault="000D3473">
      <w:r>
        <w:pict w14:anchorId="7CFA62D9">
          <v:rect id="Rectangle 3993" o:spid="_x0000_s104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66" w14:textId="77777777" w:rsidR="00EB2F85" w:rsidRDefault="00000000">
      <w:pPr>
        <w:pStyle w:val="Heading2"/>
      </w:pPr>
      <w:bookmarkStart w:id="62" w:name="X4bff9c5cfffd4769aab0c9ccab94790e159228e"/>
      <w:bookmarkStart w:id="63" w:name="_Toc226178019"/>
      <w:r>
        <w:t>5.2 The Degradation Profiles of the Three Ramsar Sites</w:t>
      </w:r>
      <w:bookmarkEnd w:id="62"/>
      <w:bookmarkEnd w:id="63"/>
    </w:p>
    <w:p w14:paraId="10550667" w14:textId="2F9DA45F" w:rsidR="00EB2F85" w:rsidRDefault="00000000">
      <w:pPr>
        <w:pStyle w:val="FirstParagraph"/>
      </w:pPr>
      <w:r>
        <w:t>The three focal Ramsar sites of Ghana’s WACA Blue Carbon Assessment the Keta Lagoon Complex, the Songor Ramsar Site, and the Muni-Pomadze Ramsar Site do not share a common degradation profile. Each has been shaped by a distinct combination of ecological history, economic activity, and governance dynamics. Effective environmental pressure surveillance requires treating each site on its own analytical terms rather than applying generic monitoring protocols across ecologically and socially dissimilar landscapes.</w:t>
      </w:r>
      <w:r w:rsidR="003608DE">
        <w:t xml:space="preserve"> (details of this is found in the Environmental Pressures Report)</w:t>
      </w:r>
    </w:p>
    <w:p w14:paraId="10550679" w14:textId="77777777" w:rsidR="00EB2F85" w:rsidRDefault="000D3473">
      <w:r>
        <w:pict w14:anchorId="6F213C49">
          <v:rect id="Rectangle 3991" o:spid="_x0000_s104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7A" w14:textId="77777777" w:rsidR="00EB2F85" w:rsidRDefault="00000000">
      <w:pPr>
        <w:pStyle w:val="Heading2"/>
      </w:pPr>
      <w:bookmarkStart w:id="64" w:name="the-five-core-pressure-indicators"/>
      <w:bookmarkStart w:id="65" w:name="_Toc226178020"/>
      <w:r>
        <w:t>5.3 The Five Core Pressure Indicators</w:t>
      </w:r>
      <w:bookmarkEnd w:id="64"/>
      <w:bookmarkEnd w:id="65"/>
    </w:p>
    <w:p w14:paraId="1055067B" w14:textId="4717B0C8" w:rsidR="00EB2F85" w:rsidRDefault="00000000">
      <w:pPr>
        <w:pStyle w:val="FirstParagraph"/>
      </w:pPr>
      <w:r>
        <w:t xml:space="preserve">The National Blue Carbon MRV Framework adopts five standardized pressure indicators for environmental surveillance across all three Ramsar sites. The design of these indicators reflects a deliberate institutional choice: the system prioritizes signal detection and trend monitoring over complex quantification. A surveillance architecture that requires sophisticated volume measurement, intricate field instrumentation, or </w:t>
      </w:r>
      <w:r>
        <w:lastRenderedPageBreak/>
        <w:t>highly trained technical personnel at every community-level monitoring point will not sustain beyond the WACA project cycle. The five core indicators are designed to be operationally feasible by CREMA monitoring teams with standard field equipment, validated quarterly by Wildlife Division officers at district level, and integrated into the national digital platform for MLNR and MEST oversight.</w:t>
      </w:r>
    </w:p>
    <w:p w14:paraId="1055067C" w14:textId="72E5BB26" w:rsidR="00EB2F85" w:rsidRDefault="00000000">
      <w:pPr>
        <w:pStyle w:val="BodyText"/>
      </w:pPr>
      <w:r>
        <w:rPr>
          <w:b/>
        </w:rPr>
        <w:t xml:space="preserve">Indicator 1 </w:t>
      </w:r>
      <w:r w:rsidR="003608DE">
        <w:rPr>
          <w:b/>
        </w:rPr>
        <w:t>-</w:t>
      </w:r>
      <w:r>
        <w:rPr>
          <w:b/>
        </w:rPr>
        <w:t xml:space="preserve"> Land Conversion Monitoring (GIS-Based)</w:t>
      </w:r>
    </w:p>
    <w:p w14:paraId="1055067D" w14:textId="77777777" w:rsidR="00EB2F85" w:rsidRDefault="00000000">
      <w:pPr>
        <w:pStyle w:val="BodyText"/>
      </w:pPr>
      <w:r>
        <w:t>The first indicator detects the spatial conversion of mangrove and wetland areas through annual satellite imagery analysis. MLNR and the Wildlife Division conduct change detection against the 2025 Year 0 baseline using Sentinel-2 imagery and standardized classification algorithms, monitoring for salt pan expansion in hectares per year, urban encroachment into wetland zones, and wetland filling or drainage activity. Outputs are visualized within the national web-based monitoring platform as land conversion polygons overlaid on the baseline mangrove extent map. The threshold for escalation is clear and deliberately unambiguous: any detected net loss within mapped sensitive areas or restoration zones, or any significant expansion of industrial salt pans into previously mapped mangrove areas, triggers an immediate review by district and national authorities. This indicator is most operationally significant at the Songor Ramsar Site, where salt pan expansion has been the primary mechanism of historical mangrove loss and where the GIS data already documents the near-complete displacement of the ecosystem across large sections of the Elavanyo and Obane areas. It also provides the primary signal for the Akosombo Dam-related coastal retreat at Keta, where annual net mangrove area change along the sandspit margins is the most direct measure of landscape-scale degradation risk.</w:t>
      </w:r>
    </w:p>
    <w:p w14:paraId="1055067E" w14:textId="7249A07B" w:rsidR="00EB2F85" w:rsidRDefault="00000000">
      <w:pPr>
        <w:pStyle w:val="BodyText"/>
      </w:pPr>
      <w:r>
        <w:rPr>
          <w:b/>
        </w:rPr>
        <w:t xml:space="preserve">Indicator 2 </w:t>
      </w:r>
      <w:r w:rsidR="00AE66EF">
        <w:rPr>
          <w:b/>
        </w:rPr>
        <w:t>-</w:t>
      </w:r>
      <w:r>
        <w:rPr>
          <w:b/>
        </w:rPr>
        <w:t xml:space="preserve"> Mangrove Cutting Signal (Field-Based)</w:t>
      </w:r>
    </w:p>
    <w:p w14:paraId="1055067F" w14:textId="14138C4A" w:rsidR="00EB2F85" w:rsidRDefault="00000000">
      <w:pPr>
        <w:pStyle w:val="BodyText"/>
      </w:pPr>
      <w:r>
        <w:t xml:space="preserve">The second indicator detects active biomass extraction pressure through quarterly CREMA transect walks within designated monitoring zones. Field teams record the presence of fresh stumps, evidence of active cutting, and the presence of charcoal kilns along fixed monitoring transects. The data entry protocol is deliberately simple a yes/no recording per transect and a Pressure Alert is triggered when two or more cutting signals are present in the same monitoring period. This incidence-based approach avoids the need for volume estimation, which would require technical skills and equipment beyond the capacity of community monitoring teams, while still providing a reliable early-warning signal that cutting is occurring at a level likely to affect carbon stocks. CREMA monitoring teams bear primary responsibility for this indicator, with validation by MMDAs and the Wildlife Division. The response to a Pressure Alert begins with a community review meeting and engagement with responsible actors, escalating to enforcement authorities if the signal persists across successive monitoring periods. This indicator is most directly relevant to the Keta Lagoon, where fuelwood extraction from </w:t>
      </w:r>
      <w:r>
        <w:rPr>
          <w:i/>
        </w:rPr>
        <w:t>Rhizophora racemosa</w:t>
      </w:r>
      <w:r>
        <w:t xml:space="preserve"> stands in communities like Agbatsivi and Bomigo represents the primary ongoing threat to the nation’s largest carbon stock.</w:t>
      </w:r>
    </w:p>
    <w:p w14:paraId="10550680" w14:textId="4CF99F17" w:rsidR="00EB2F85" w:rsidRDefault="00000000">
      <w:pPr>
        <w:pStyle w:val="BodyText"/>
      </w:pPr>
      <w:r>
        <w:rPr>
          <w:b/>
        </w:rPr>
        <w:t xml:space="preserve">Indicator 3 </w:t>
      </w:r>
      <w:r w:rsidR="00AE66EF">
        <w:rPr>
          <w:b/>
        </w:rPr>
        <w:t>-</w:t>
      </w:r>
      <w:r>
        <w:rPr>
          <w:b/>
        </w:rPr>
        <w:t xml:space="preserve"> Fuel Source Shift Monitoring</w:t>
      </w:r>
    </w:p>
    <w:p w14:paraId="10550681" w14:textId="1F5915A4" w:rsidR="00EB2F85" w:rsidRDefault="00000000">
      <w:pPr>
        <w:pStyle w:val="BodyText"/>
      </w:pPr>
      <w:r>
        <w:t xml:space="preserve">The third indicator tracks behavioral changes in household fuel dependence through annual sample surveys of 20 to 30 households per CREMA. Surveys record primary cooking fuel source across a defined typology: mangrove wood, woodlot wood, LPG (liquefied petroleum gas), improved cookstove usage, or other alternatives. The trend interpretation is straightforward: a declining share of mangrove wood in household fuel mix indicates reduced extraction pressure, while persistent high dependence indicates elevated carbon risk. This indicator is particularly important for the Keta Lagoon Complex, where the fish-smoking industry creates a structural and economically embedded demand for </w:t>
      </w:r>
      <w:r>
        <w:rPr>
          <w:i/>
        </w:rPr>
        <w:t>Rhizophora racemosa</w:t>
      </w:r>
      <w:r>
        <w:t xml:space="preserve"> fuelwood that will not shift in response to awareness campaigns alone. Monitoring fuel source trends allows the MRV system to measure whether the livelihood diversification and improved cookstove components of the WACA intervention are actually reducing pressure on the mangrove resource converting program inputs into </w:t>
      </w:r>
      <w:r>
        <w:lastRenderedPageBreak/>
        <w:t>measurable carbon protection outcomes. The indicator also supports leakage monitoring: if household fuel surveys show declining mangrove dependence within a CREMA zone but field transects in adjacent unprotected areas show rising cutting incidence, that divergence is the primary leakage signal.</w:t>
      </w:r>
    </w:p>
    <w:p w14:paraId="10550682" w14:textId="379FF7B7" w:rsidR="00EB2F85" w:rsidRDefault="00000000">
      <w:pPr>
        <w:pStyle w:val="BodyText"/>
      </w:pPr>
      <w:r>
        <w:rPr>
          <w:b/>
        </w:rPr>
        <w:t xml:space="preserve">Indicator 4 </w:t>
      </w:r>
      <w:r w:rsidR="00AE66EF">
        <w:rPr>
          <w:b/>
        </w:rPr>
        <w:t xml:space="preserve">- </w:t>
      </w:r>
      <w:r>
        <w:rPr>
          <w:b/>
        </w:rPr>
        <w:t>Charcoal and Extraction Hotspot Tracking</w:t>
      </w:r>
    </w:p>
    <w:p w14:paraId="10550683" w14:textId="1B66B2FD" w:rsidR="00EB2F85" w:rsidRDefault="00000000">
      <w:pPr>
        <w:pStyle w:val="BodyText"/>
      </w:pPr>
      <w:r>
        <w:t xml:space="preserve">The fourth indicator detects localized commercial extraction activity through quarterly recording of the number of active charcoal production sites, their GPS-mapped location, and evidence of expansion. This indicator is particularly relevant in peri-urban zones and in the transition forest margins around Muni-Pomadze, where charcoal production from upland forest edges has historically been the dominant pressure on woody biomass. CREMA teams and district MMDAs share responsibility for this indicator. Response to detected hotspots moves through a defined sequence: initial dialogue with producers to identify livelihood alternatives, promotion of alternative fuel sources including community woodlots, and enforcement where continued extraction is documented. GPS mapping of hotspot locations over successive quarterly periods enables the system to distinguish between stationary artisanal activity — which may be manageable through negotiated access </w:t>
      </w:r>
      <w:r w:rsidR="00BB72AA">
        <w:t>agreements and</w:t>
      </w:r>
      <w:r>
        <w:t xml:space="preserve"> the expansion of commercial extraction into previously unaffected areas, which triggers a higher tier of institutional response.</w:t>
      </w:r>
    </w:p>
    <w:p w14:paraId="10550684" w14:textId="00A28905" w:rsidR="00EB2F85" w:rsidRDefault="00000000">
      <w:pPr>
        <w:pStyle w:val="BodyText"/>
      </w:pPr>
      <w:r>
        <w:rPr>
          <w:b/>
        </w:rPr>
        <w:t xml:space="preserve">Indicator 5 </w:t>
      </w:r>
      <w:r w:rsidR="00AE66EF">
        <w:rPr>
          <w:b/>
        </w:rPr>
        <w:t>-</w:t>
      </w:r>
      <w:r>
        <w:rPr>
          <w:b/>
        </w:rPr>
        <w:t xml:space="preserve"> Conflict and Access Pressure Index</w:t>
      </w:r>
    </w:p>
    <w:p w14:paraId="251D1884" w14:textId="77777777" w:rsidR="00BB72AA" w:rsidRDefault="00000000">
      <w:pPr>
        <w:pStyle w:val="BodyText"/>
      </w:pPr>
      <w:r>
        <w:t xml:space="preserve">The fifth indicator identifies structural drivers of degradation risk that operate at the governance level rather than the ecological level. Quarterly reports compiled by district authorities with CREMA support record the number of land access disputes affecting wetland zones, the number of unresolved cases, and reported conflicts between artisanal and industrial actors. </w:t>
      </w:r>
    </w:p>
    <w:p w14:paraId="5065417E" w14:textId="77777777" w:rsidR="00BB72AA" w:rsidRDefault="00000000">
      <w:pPr>
        <w:pStyle w:val="BodyText"/>
      </w:pPr>
      <w:r>
        <w:t xml:space="preserve">Rising conflict levels are treated as a carbon permanence risk signal, because land tenure insecurity and access disputes create conditions in which the social contracts underlying CREMA conservation agreements become unreliable. This relationship is most acutely evidenced at the Songor Ramsar Site, where land tenure disputes between private salt companies and traditional fishing communities have directly contributed to the erosion of both mangrove cover and community governance capacity. </w:t>
      </w:r>
    </w:p>
    <w:p w14:paraId="10550685" w14:textId="68423E84" w:rsidR="00EB2F85" w:rsidRDefault="00000000">
      <w:pPr>
        <w:pStyle w:val="BodyText"/>
      </w:pPr>
      <w:r>
        <w:t>When the Conflict and Access Pressure Index at Songor shows unresolved disputes expanding into previously stable land-use zones, the surveillance framework treats that as an elevated ecological risk signal, cross-referencing it with satellite-based land conversion monitoring to assess whether governance instability is translating into physical encroachment.</w:t>
      </w:r>
    </w:p>
    <w:p w14:paraId="10550686" w14:textId="77777777" w:rsidR="00EB2F85" w:rsidRDefault="000D3473">
      <w:r>
        <w:pict w14:anchorId="6EB910D8">
          <v:rect id="Rectangle 3989" o:spid="_x0000_s104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87" w14:textId="77777777" w:rsidR="00EB2F85" w:rsidRDefault="00000000">
      <w:pPr>
        <w:pStyle w:val="Heading2"/>
      </w:pPr>
      <w:bookmarkStart w:id="66" w:name="leakage-risk-management"/>
      <w:bookmarkStart w:id="67" w:name="_Toc226178021"/>
      <w:r>
        <w:t>5.4 Leakage Risk Management</w:t>
      </w:r>
      <w:bookmarkEnd w:id="66"/>
      <w:bookmarkEnd w:id="67"/>
    </w:p>
    <w:p w14:paraId="10550689" w14:textId="6EECEC1B" w:rsidR="00EB2F85" w:rsidRDefault="00000000" w:rsidP="00BB72AA">
      <w:pPr>
        <w:pStyle w:val="FirstParagraph"/>
      </w:pPr>
      <w:r>
        <w:t>In carbon project accounting, leakage refers to the displacement of degradation pressure from a protected or managed area to adjacent, unprotected areas</w:t>
      </w:r>
      <w:r w:rsidR="00AE66EF">
        <w:t>,</w:t>
      </w:r>
      <w:r>
        <w:t xml:space="preserve"> the carbon benefit of reducing extraction in one zone is partially or fully offset by increased extraction elsewhere. Leakage is not a theoretical risk in the Ghanaian landscape: it is a structurally predictable consequence of any intervention that reduces access to mangrove resources in one location without simultaneously addressing the underlying demand.</w:t>
      </w:r>
    </w:p>
    <w:p w14:paraId="1055068A" w14:textId="39B53364" w:rsidR="00EB2F85" w:rsidRDefault="00000000">
      <w:pPr>
        <w:pStyle w:val="BodyText"/>
      </w:pPr>
      <w:r>
        <w:t xml:space="preserve">The surveillance system detects leakage signals through the integration of two existing indicators. The Fuel Source Shift Monitoring indicator (Indicator 3) </w:t>
      </w:r>
      <w:r w:rsidR="00BB72AA">
        <w:t xml:space="preserve">which </w:t>
      </w:r>
      <w:r>
        <w:t>provides the demand-side signal</w:t>
      </w:r>
      <w:r w:rsidR="00BB72AA">
        <w:t xml:space="preserve">: </w:t>
      </w:r>
      <w:r>
        <w:t xml:space="preserve">if household fuel surveys within the Dzita CREMA show declining mangrove dependence while cutting pressure within the CREMA also falls, the conservation intervention appears to be working. However, if Indicator 2 (Mangrove </w:t>
      </w:r>
      <w:r>
        <w:lastRenderedPageBreak/>
        <w:t>Cutting Signal) data from quarterly transect walks in zones adjacent to but outside the CREMA boundary shows simultaneous increases in fresh stumps and active cutting, the divergence between falling within-CREMA pressure and rising boundary-area pressure is the leakage signal.</w:t>
      </w:r>
    </w:p>
    <w:p w14:paraId="1055068B" w14:textId="6761FBA8" w:rsidR="00EB2F85" w:rsidRDefault="00000000">
      <w:pPr>
        <w:pStyle w:val="BodyText"/>
      </w:pPr>
      <w:r>
        <w:t xml:space="preserve">The surveillance system operationalizes this by designating leakage monitoring </w:t>
      </w:r>
      <w:r w:rsidR="00FB4AF3">
        <w:t>zones buffer</w:t>
      </w:r>
      <w:r>
        <w:t xml:space="preserve"> areas adjacent to CREMA boundaries where CCA teams conduct the same quarterly transect walks that are conducted within the formal monitoring zone. Pressure data from leakage zones is entered into the same national platform as CREMA-internal data, enabling national-level analysts at MLNR to compare trends across both zones simultaneously. Where leakage is </w:t>
      </w:r>
      <w:r w:rsidR="00FB4AF3">
        <w:t>confirmed defined</w:t>
      </w:r>
      <w:r>
        <w:t xml:space="preserve"> as a sustained increase in cutting signal incidence in the leakage zone coinciding with a decrease within the CREMA the carbon accounting protocol at national level assesses the displacement effect, and the institutional response moves through the escalation pathway described in Section 5.5.</w:t>
      </w:r>
    </w:p>
    <w:p w14:paraId="1055068D" w14:textId="77777777" w:rsidR="00EB2F85" w:rsidRDefault="000D3473">
      <w:r>
        <w:pict w14:anchorId="7308D285">
          <v:rect id="Rectangle 3987" o:spid="_x0000_s104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8E" w14:textId="77777777" w:rsidR="00EB2F85" w:rsidRDefault="00000000">
      <w:pPr>
        <w:pStyle w:val="Heading2"/>
      </w:pPr>
      <w:bookmarkStart w:id="68" w:name="escalation-and-response-protocols"/>
      <w:bookmarkStart w:id="69" w:name="_Toc226178022"/>
      <w:r>
        <w:t>5.5 Escalation and Response Protocols</w:t>
      </w:r>
      <w:bookmarkEnd w:id="68"/>
      <w:bookmarkEnd w:id="69"/>
    </w:p>
    <w:p w14:paraId="1055068F" w14:textId="6695015C" w:rsidR="00EB2F85" w:rsidRDefault="00000000">
      <w:pPr>
        <w:pStyle w:val="FirstParagraph"/>
      </w:pPr>
      <w:r>
        <w:t xml:space="preserve">Environmental pressure surveillance is operationally effective only when detection is linked to institutional response through a defined and time-bound escalation pathway. The National Blue Carbon MRV Framework establishes a four-tier escalation structure. Understanding how each tier is activated and what actions it is empowered to </w:t>
      </w:r>
      <w:r w:rsidR="00FB4AF3">
        <w:t>take is</w:t>
      </w:r>
      <w:r>
        <w:t xml:space="preserve"> essential to the operational credibility of the surveillance system.</w:t>
      </w:r>
    </w:p>
    <w:p w14:paraId="10550690" w14:textId="679BC7E3" w:rsidR="00EB2F85" w:rsidRDefault="00000000">
      <w:pPr>
        <w:pStyle w:val="BodyText"/>
      </w:pPr>
      <w:r>
        <w:t xml:space="preserve">The escalation sequence begins at the community level. CCAs and CREMA monitoring teams conducting quarterly field surveys are the primary detection point. When a pressure indicator reaches its defined threshold two or more Mangrove Cutting Signals in the same monitoring period, a confirmed new salt pan polygon within a mapped protection zone, rising Conflict and Access Pressure Index scores the CCA records the signal in the national MRV platform and notifies the CREMA Executive Committee. The CREMA’s first response is convening a community review meeting, with the objective of identifying responsible actors and initiating dialogue before escalation becomes necessary. Many pressure signals are addressable at this level: a new fuelwood harvesting site near a </w:t>
      </w:r>
      <w:r w:rsidR="00AE66EF">
        <w:t>T/</w:t>
      </w:r>
      <w:r>
        <w:t>PSP monitoring plot may be attributable to a specific household that, once engaged, is amenable to redirecting its fuel sourcing to designated community woodlots.</w:t>
      </w:r>
    </w:p>
    <w:p w14:paraId="10550691" w14:textId="48CB3347" w:rsidR="00EB2F85" w:rsidRDefault="00000000">
      <w:pPr>
        <w:pStyle w:val="BodyText"/>
      </w:pPr>
      <w:r>
        <w:t>Where a pressure signal is not resolved at community level within a defined period or where its scale exceeds the CREMA’s authority or enforcement capacity the signal is escalated to the district Wildlife Division and MMDA. District authorities are empowered to issue formal enforcement notices, conduct technical assessments of degradation extent, and mediate land access disputes between competing actors. In the Songor context, where tenure conflicts involve private salt companies operating under commercial concessions, district-level mediation may require engagement with the Ada Traditional Council and referral to formal land-use arbitration processes. The district tier is designed to be the primary resolution point for the majority of pressure events that exceed community-level capacity.</w:t>
      </w:r>
    </w:p>
    <w:p w14:paraId="10550692" w14:textId="365A1D5D" w:rsidR="00EB2F85" w:rsidRDefault="00000000">
      <w:pPr>
        <w:pStyle w:val="BodyText"/>
      </w:pPr>
      <w:r>
        <w:t xml:space="preserve">Where a pressure event is not resolved at district </w:t>
      </w:r>
      <w:r w:rsidR="00FB4AF3">
        <w:t>level or</w:t>
      </w:r>
      <w:r>
        <w:t xml:space="preserve"> where its ecological or governance implications are of national significance MLNR and MEST</w:t>
      </w:r>
      <w:r w:rsidR="00AE66EF">
        <w:t xml:space="preserve"> </w:t>
      </w:r>
      <w:r>
        <w:t xml:space="preserve">are notified through the national MRV reporting system and assume oversight responsibility. This third-tier activation is reserved for events that represent a direct threat to nationally significant carbon stocks or to the structural integrity of the MRV system itself. Specific escalation triggers that would activate national-level response include: confirmed mangrove clearance within a formally designated CREMA conservation zone at the Keta Lagoon Complex; salt pan encroachment documented by satellite analysis within the Songor Ramsar boundary in areas where CREMA protection agreements are in force; evidence from multiple consecutive quarterly transect surveys of new fuelwood harvesting activity </w:t>
      </w:r>
      <w:r>
        <w:lastRenderedPageBreak/>
        <w:t xml:space="preserve">within 500 metres of active </w:t>
      </w:r>
      <w:r w:rsidR="00544C24">
        <w:t>T/</w:t>
      </w:r>
      <w:r>
        <w:t>PSP monitoring locations; or a sustained and unresolved Conflict and Access Pressure Index elevation at Songor indicating that land tenure disputes are generating conditions for imminent land conversion.</w:t>
      </w:r>
    </w:p>
    <w:p w14:paraId="10550693" w14:textId="7128AEA5" w:rsidR="00EB2F85" w:rsidRDefault="00000000">
      <w:pPr>
        <w:pStyle w:val="BodyText"/>
      </w:pPr>
      <w:r>
        <w:t>All actions at each tier community meeting outcomes, Wildlife Division inspection reports, district mediation records, national oversight decisions are documented within the national MRV database. This documentation requirement serves two functions: it creates an auditable response trail that carbon market verifiers can review as evidence of active risk management, and it generates the institutional memory that allows the system to distinguish between isolated pressure events and the chronic, low-intensity extraction dynamics that constitute the deepest long-term threat to Ghana’s blue carbon assets.</w:t>
      </w:r>
    </w:p>
    <w:p w14:paraId="10550694" w14:textId="77777777" w:rsidR="00EB2F85" w:rsidRDefault="000D3473">
      <w:r>
        <w:pict w14:anchorId="75AAB48F">
          <v:rect id="Rectangle 3985" o:spid="_x0000_s104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69D" w14:textId="77777777" w:rsidR="00EB2F85" w:rsidRDefault="00000000">
      <w:pPr>
        <w:pStyle w:val="Heading1"/>
      </w:pPr>
      <w:bookmarkStart w:id="70" w:name="Xeb5c4881b722ac155d1592222300519a6f86cea"/>
      <w:bookmarkStart w:id="71" w:name="_Toc226178023"/>
      <w:r>
        <w:t>Chapter 6: Governance and Safeguard Assurance</w:t>
      </w:r>
      <w:bookmarkEnd w:id="70"/>
      <w:bookmarkEnd w:id="71"/>
    </w:p>
    <w:p w14:paraId="1055069E" w14:textId="77777777" w:rsidR="00EB2F85" w:rsidRDefault="00000000">
      <w:pPr>
        <w:pStyle w:val="Heading2"/>
      </w:pPr>
      <w:bookmarkStart w:id="72" w:name="X6792941ea48aaf7a108f3df412d8963d178f4ba"/>
      <w:bookmarkStart w:id="73" w:name="_Toc226178024"/>
      <w:r>
        <w:t>6.1 Purpose of the Governance and Safeguard Assurance Layer</w:t>
      </w:r>
      <w:bookmarkEnd w:id="72"/>
      <w:bookmarkEnd w:id="73"/>
    </w:p>
    <w:p w14:paraId="0FE66D99" w14:textId="77777777" w:rsidR="00B64431" w:rsidRDefault="00000000">
      <w:pPr>
        <w:pStyle w:val="BodyText"/>
      </w:pPr>
      <w:r>
        <w:t xml:space="preserve">The logic connecting governance stability to carbon permanence is direct. Community Resource Management Areas (CREMAs) are the institutional vehicle through which communities become co-custodians of blue carbon landscapes, enforce by-laws against destructive harvesting and encroachment, and enter the legal arrangements required to access carbon finance. </w:t>
      </w:r>
    </w:p>
    <w:p w14:paraId="105506A0" w14:textId="7F664DB6" w:rsidR="00EB2F85" w:rsidRDefault="00000000">
      <w:pPr>
        <w:pStyle w:val="BodyText"/>
      </w:pPr>
      <w:r>
        <w:t xml:space="preserve">Where CREMAs are not yet established, or where they are formed around power structures that exclude primary resource </w:t>
      </w:r>
      <w:r w:rsidR="00B64431">
        <w:t>users’ women</w:t>
      </w:r>
      <w:r>
        <w:t>, youth, migrants, and persons with disabilities the governance foundations of the entire carbon investment are insecure. Elite-captured or exclusionary CREMAs produce rules that lack community legitimacy; rules without legitimacy are not enforced</w:t>
      </w:r>
      <w:r w:rsidR="00B64431">
        <w:t xml:space="preserve"> and </w:t>
      </w:r>
      <w:r>
        <w:t xml:space="preserve">unmanaged landscapes degrade. The governance monitoring layer is therefore designed to detect the institutional preconditions for that failure before it manifests </w:t>
      </w:r>
      <w:r w:rsidR="00B64431">
        <w:t xml:space="preserve">ecologically, </w:t>
      </w:r>
      <w:r>
        <w:t>treating governance instability as a leading indicator of carbon risk rather than a secondary social concern.</w:t>
      </w:r>
    </w:p>
    <w:p w14:paraId="105506A2" w14:textId="77777777" w:rsidR="00EB2F85" w:rsidRDefault="00000000">
      <w:pPr>
        <w:pStyle w:val="Heading2"/>
      </w:pPr>
      <w:bookmarkStart w:id="74" w:name="the-baseline-governance-gap"/>
      <w:bookmarkStart w:id="75" w:name="_Toc226178025"/>
      <w:r>
        <w:t>6.2 The Baseline Governance Gap</w:t>
      </w:r>
      <w:bookmarkEnd w:id="74"/>
      <w:bookmarkEnd w:id="75"/>
    </w:p>
    <w:p w14:paraId="105506A3" w14:textId="716415EF" w:rsidR="00EB2F85" w:rsidRDefault="00000000">
      <w:pPr>
        <w:pStyle w:val="FirstParagraph"/>
      </w:pPr>
      <w:r>
        <w:t xml:space="preserve">The 2025 socio-economic baseline study documented a governance landscape that is more fragile than the surface visibility of community institutions might suggest. </w:t>
      </w:r>
    </w:p>
    <w:p w14:paraId="105506A5" w14:textId="6E7033A7" w:rsidR="00EB2F85" w:rsidRDefault="00000000">
      <w:pPr>
        <w:pStyle w:val="BodyText"/>
      </w:pPr>
      <w:r>
        <w:t>Perhaps the most consequential governance gap documented in the baseline is structural rather than procedural</w:t>
      </w:r>
      <w:r w:rsidR="00B64431">
        <w:t>.</w:t>
      </w:r>
      <w:r>
        <w:t xml:space="preserve"> </w:t>
      </w:r>
      <w:r w:rsidR="00B64431">
        <w:t>D</w:t>
      </w:r>
      <w:r>
        <w:t xml:space="preserve">ecision-making bodies at the community level are overwhelmingly </w:t>
      </w:r>
      <w:r w:rsidR="00544C24">
        <w:t>male dominated</w:t>
      </w:r>
      <w:r w:rsidR="00B64431">
        <w:t>,</w:t>
      </w:r>
      <w:r>
        <w:t xml:space="preserve"> </w:t>
      </w:r>
      <w:r w:rsidR="00B64431">
        <w:t>u</w:t>
      </w:r>
      <w:r>
        <w:t>nit Committees and interim Community Resource Management Committees (CRMCs) are described as “almost always male-led” across the three sites. This structural absence is not a social equity problem appended to an otherwise functioning system. It is the system’s central functional failure.</w:t>
      </w:r>
    </w:p>
    <w:p w14:paraId="105506A6" w14:textId="77777777" w:rsidR="00EB2F85" w:rsidRDefault="00000000">
      <w:pPr>
        <w:pStyle w:val="Heading2"/>
      </w:pPr>
      <w:bookmarkStart w:id="76" w:name="inclusion-standards"/>
      <w:bookmarkStart w:id="77" w:name="_Toc226178026"/>
      <w:r>
        <w:t>6.3 Inclusion Standards</w:t>
      </w:r>
      <w:bookmarkEnd w:id="76"/>
      <w:bookmarkEnd w:id="77"/>
    </w:p>
    <w:p w14:paraId="105506A7" w14:textId="4E077456" w:rsidR="00EB2F85" w:rsidRDefault="00000000">
      <w:pPr>
        <w:pStyle w:val="FirstParagraph"/>
      </w:pPr>
      <w:r>
        <w:t xml:space="preserve">The minimum standard for CREMA executive leadership established under the MRV governance framework is 40% female representation. This figure is not aspirational and is not a soft target to be pursued when conditions allow. It is a monitoring indicator with defined accountability, reported annually to MLNR, and treated as a structural prerequisite for a CREMA governance body to be considered functional for the purposes of the MRV system. A CREMA that does not meet the 40% threshold is flagged in the governance </w:t>
      </w:r>
      <w:r>
        <w:lastRenderedPageBreak/>
        <w:t>monitoring record not as a compliance violation in the administrative sense, but as a risk signal that management plans developed by that body lack the representational basis required to generate legitimate, community-wide compliance with their provisions.</w:t>
      </w:r>
    </w:p>
    <w:p w14:paraId="105506A8" w14:textId="785470B6" w:rsidR="00EB2F85" w:rsidRDefault="00000000">
      <w:pPr>
        <w:pStyle w:val="BodyText"/>
      </w:pPr>
      <w:r>
        <w:t>The rationale for this threshold is both empirical and analytical. A governance structure that excludes or underrepresents them is not representative of the community it claims to govern. The monitoring indicator is calibrated to that demographic reality.</w:t>
      </w:r>
    </w:p>
    <w:p w14:paraId="105506A9" w14:textId="09A28760" w:rsidR="00EB2F85" w:rsidRDefault="00000000">
      <w:pPr>
        <w:pStyle w:val="BodyText"/>
      </w:pPr>
      <w:r>
        <w:t>Youth representation is monitored alongside female leadership as a separate governance health indicator. The governance monitoring framework therefore tracks not only formal youth representation on CREMA committees but evidence of meaningful youth participation in decision-making processes</w:t>
      </w:r>
      <w:r w:rsidR="00291E39">
        <w:t>. A</w:t>
      </w:r>
      <w:r>
        <w:t xml:space="preserve"> substantive distinction between presence and power.</w:t>
      </w:r>
    </w:p>
    <w:p w14:paraId="105506AA" w14:textId="61B1B0DA" w:rsidR="00EB2F85" w:rsidRDefault="00000000">
      <w:pPr>
        <w:pStyle w:val="BodyText"/>
      </w:pPr>
      <w:r>
        <w:t xml:space="preserve">The monitoring framework also tracks the participation of persons with disabilities (PWDs) in governance processes. In the Volta Region, PWDs represent 8.8% of the </w:t>
      </w:r>
      <w:r w:rsidR="00291E39">
        <w:t>population a</w:t>
      </w:r>
      <w:r>
        <w:t xml:space="preserve"> group that, across the 2025 baseline fieldwork, was found to be largely invisible in governance planning despite being present in communities including Salo, Galotse, and Sota. The governance monitoring layer requires that CREMA convening practices and consultation processes are adapted to enable PWD participation, and that annual governance composition reports disaggregate participation data accordingly.</w:t>
      </w:r>
    </w:p>
    <w:p w14:paraId="105506AB" w14:textId="77777777" w:rsidR="00EB2F85" w:rsidRDefault="00000000">
      <w:pPr>
        <w:pStyle w:val="Heading2"/>
      </w:pPr>
      <w:bookmarkStart w:id="78" w:name="elite-capture-and-exclusion-risks"/>
      <w:bookmarkStart w:id="79" w:name="_Toc226178027"/>
      <w:r>
        <w:t>6.4 Elite Capture and Exclusion Risks</w:t>
      </w:r>
      <w:bookmarkEnd w:id="78"/>
      <w:bookmarkEnd w:id="79"/>
    </w:p>
    <w:p w14:paraId="105506AC" w14:textId="059F7284" w:rsidR="00EB2F85" w:rsidRDefault="00000000">
      <w:pPr>
        <w:pStyle w:val="FirstParagraph"/>
      </w:pPr>
      <w:r>
        <w:t>The risk assessment prepared for the WACA Blue Carbon initiative identifies elite capture as a high-risk pathway at multiple sites if CREMA formation proceeds by formalising existing power structures rather than by designing against their exclusionary tendencies. This assessment is not a generic caution. It is a site-specific diagnosis drawn from the governance baseline: existing community-level structures are male-dominated, traditional councils maintain concentrated authority over land allocation and resource access, and the emergence of a valuable new asset</w:t>
      </w:r>
      <w:r w:rsidR="00291E39">
        <w:t xml:space="preserve"> </w:t>
      </w:r>
      <w:r>
        <w:t>class</w:t>
      </w:r>
      <w:r w:rsidR="00291E39">
        <w:t>;</w:t>
      </w:r>
      <w:r>
        <w:t xml:space="preserve"> carbon</w:t>
      </w:r>
      <w:r w:rsidR="00291E39">
        <w:t xml:space="preserve"> </w:t>
      </w:r>
      <w:r>
        <w:t xml:space="preserve">rights </w:t>
      </w:r>
      <w:r w:rsidR="00291E39">
        <w:t xml:space="preserve">which </w:t>
      </w:r>
      <w:r>
        <w:t>creates powerful incentives for capture by actors who already control institutional access.</w:t>
      </w:r>
    </w:p>
    <w:p w14:paraId="105506B0" w14:textId="77777777" w:rsidR="00EB2F85" w:rsidRDefault="00000000">
      <w:pPr>
        <w:pStyle w:val="Heading2"/>
      </w:pPr>
      <w:bookmarkStart w:id="80" w:name="fpic-and-ongoing-consent"/>
      <w:bookmarkStart w:id="81" w:name="_Toc226178028"/>
      <w:r>
        <w:t>6.5 FPIC and Ongoing Consent</w:t>
      </w:r>
      <w:bookmarkEnd w:id="80"/>
      <w:bookmarkEnd w:id="81"/>
    </w:p>
    <w:p w14:paraId="105506B1" w14:textId="214C9C8F" w:rsidR="00EB2F85" w:rsidRDefault="00000000">
      <w:pPr>
        <w:pStyle w:val="FirstParagraph"/>
      </w:pPr>
      <w:r>
        <w:t>Free, Prior, and Informed Consent (FPIC) is embedded in the MRV governance framework not as a project entry requirement but as a continuous monitoring obligation. This distinction is consequential. The socio-economic baseline found that while initial consent was achieved during the project inception phase, renewal was flagged as an active need reflecting the baseline team’s recognition that the conditions under which communities consented to the project’s initial activities will not remain static as interventions deepen, carbon finance arrangements are established, and land-use restrictions on restoration zones take effect. Communities that agreed to participate in a baseline mapping exercise have not thereby consented to specific CREMA boundary demarcations, to access restrictions on particular mangrove stands, or to the terms of a future carbon credit arrangement. Each of these represents a materially distinct intervention with distinct implications for community members’ livelihoods, and each requires its own documented FPIC process.</w:t>
      </w:r>
    </w:p>
    <w:p w14:paraId="529ACA69" w14:textId="77777777" w:rsidR="00126A77" w:rsidRDefault="00000000">
      <w:pPr>
        <w:pStyle w:val="BodyText"/>
      </w:pPr>
      <w:r>
        <w:t xml:space="preserve">The governance monitoring layer operationalises FPIC renewal through a set of defined milestones that function as mandatory checkpoints in the MRV annual cycle. These milestones include the finalisation of CREMA boundaries, the adoption of CREMA by-laws and governance constitutions, the establishment of access restrictions associated with restoration zones, and the first activation of carbon finance distribution. </w:t>
      </w:r>
    </w:p>
    <w:p w14:paraId="105506B2" w14:textId="1753F909" w:rsidR="00EB2F85" w:rsidRDefault="00000000">
      <w:pPr>
        <w:pStyle w:val="BodyText"/>
      </w:pPr>
      <w:r>
        <w:lastRenderedPageBreak/>
        <w:t>At each milestone, FPIC documentation must record the composition of consultations disaggregated by gender, age, and community membership status the specific information disclosed, the questions and concerns raised by participants, and a clear statement of the decision or consent reached. This documentation is archived within the national MRV database and is available for review by MLNR, MEST, the Forestry Commission, and independent verifiers.</w:t>
      </w:r>
    </w:p>
    <w:p w14:paraId="105506B3" w14:textId="1E33A72A" w:rsidR="00EB2F85" w:rsidRDefault="00000000">
      <w:pPr>
        <w:pStyle w:val="BodyText"/>
      </w:pPr>
      <w:r>
        <w:t>The challenge of making FPIC genuinely informed in communities where literacy rates are variable and where the legal and financial concepts associated with carbon markets have no established local referent</w:t>
      </w:r>
      <w:r w:rsidR="00126A77">
        <w:t>;</w:t>
      </w:r>
      <w:r>
        <w:t xml:space="preserve"> carbon rights, credit verification, benefit-sharing schedules is explicitly addressed in the governance monitoring design. The framework requires that all FPIC consultation materials be produced in the dominant local languages of the project area: Ewe in the Keta</w:t>
      </w:r>
      <w:r w:rsidR="00126A77">
        <w:t>,</w:t>
      </w:r>
      <w:r>
        <w:t xml:space="preserve"> Dangme in the Ada area, and Fante in the Muni-Pomadze communities. Visual formats, community radio dissemination, and participatory methods are specified where literacy barriers are documented. Critically, dedicated consultation sessions must be held separately for women, youth, PWDs, and migrant groups not as a procedural gesture, but because the experience of the baseline fieldwork demonstrated that in mixed, male-dominated forums, these groups consistently self-censored or deferred to dominant community voices in ways that produced documented consent without meaningful agreement.</w:t>
      </w:r>
    </w:p>
    <w:p w14:paraId="105506B4" w14:textId="77777777" w:rsidR="00EB2F85" w:rsidRDefault="00000000">
      <w:pPr>
        <w:pStyle w:val="Heading2"/>
      </w:pPr>
      <w:bookmarkStart w:id="82" w:name="grievance-redress-mechanism"/>
      <w:bookmarkStart w:id="83" w:name="_Toc226178029"/>
      <w:r>
        <w:t>6.6 Grievance Redress Mechanism</w:t>
      </w:r>
      <w:bookmarkEnd w:id="82"/>
      <w:bookmarkEnd w:id="83"/>
    </w:p>
    <w:p w14:paraId="105506B9" w14:textId="422DB4D6" w:rsidR="00EB2F85" w:rsidRDefault="00000000">
      <w:pPr>
        <w:pStyle w:val="BodyText"/>
      </w:pPr>
      <w:r>
        <w:t xml:space="preserve">The governance monitoring system tracks four GRM indicators on a quarterly basis: the number of grievances received, the nature and patterns of those grievances, the resolution rate, and the time taken to resolve cases. A pattern of unresolved or repeated </w:t>
      </w:r>
      <w:r w:rsidR="00126A77">
        <w:t>grievances particularly</w:t>
      </w:r>
      <w:r>
        <w:t xml:space="preserve"> in a specific site or on a specific category of concern such as benefit </w:t>
      </w:r>
      <w:r w:rsidR="00FB4AF3">
        <w:t>distribution is</w:t>
      </w:r>
      <w:r>
        <w:t xml:space="preserve"> treated as a governance risk signal and triggers district-level review. This integration of grievance data with governance risk assessment is what distinguishes the GRM from a procedural compliance mechanism and makes it a live diagnostic tool within the MRV system.</w:t>
      </w:r>
    </w:p>
    <w:p w14:paraId="105506BA" w14:textId="77777777" w:rsidR="00EB2F85" w:rsidRDefault="00000000">
      <w:pPr>
        <w:pStyle w:val="Heading2"/>
      </w:pPr>
      <w:bookmarkStart w:id="84" w:name="benefit-sharing-transparency"/>
      <w:bookmarkStart w:id="85" w:name="_Toc226178030"/>
      <w:r>
        <w:t>6.7 Benefit-Sharing Transparency</w:t>
      </w:r>
      <w:bookmarkEnd w:id="84"/>
      <w:bookmarkEnd w:id="85"/>
    </w:p>
    <w:p w14:paraId="105506BB" w14:textId="77777777" w:rsidR="00EB2F85" w:rsidRDefault="00000000">
      <w:pPr>
        <w:pStyle w:val="FirstParagraph"/>
      </w:pPr>
      <w:r>
        <w:t>Where carbon finance or project benefits are distributed to communities, the governance monitoring system treats the conditions of that distribution as a direct indicator of governance health. The rationale is clear from the baseline: in a context where formal financial management systems are weak or absent in most community-based organisations, where financial literacy is generally low, and where the value of carbon credits is not yet widely understood in communities like Bomigo, Salo, or Elavanyo, opaque or poorly documented benefit flows create the ideal conditions for elite capture and for community disillusionment that undermines the social licence upon which carbon permanence ultimately depends.</w:t>
      </w:r>
    </w:p>
    <w:p w14:paraId="105506BC" w14:textId="5BD6B237" w:rsidR="00EB2F85" w:rsidRDefault="00000000">
      <w:pPr>
        <w:pStyle w:val="BodyText"/>
      </w:pPr>
      <w:r>
        <w:t>The governance layer monitors four conditions of benefit-sharing transparency. Benefit-sharing arrangements must be publicly documented and made available to the full community in an accessible format not restricted to CREMA committee members or traditional leadership. Distribution must demonstrably follow the agreed allocation criteria established through the FPIC process; deviations require documented justification and community consultation. Benefit allocation decisions must be subject to community review, providing a structured opportunity for community members to raise concerns before a distribution cycle closes. And benefit documentation must capture access by marginalised groups disaggregated by gender and youth participation to confirm that the distribution is reaching beyond the dominant social actors who typically control community financial flows.</w:t>
      </w:r>
    </w:p>
    <w:p w14:paraId="105506BE" w14:textId="77777777" w:rsidR="00EB2F85" w:rsidRDefault="00000000">
      <w:pPr>
        <w:pStyle w:val="BodyText"/>
      </w:pPr>
      <w:r>
        <w:t xml:space="preserve">The broader implication for the MRV system is that benefit transparency is not merely a social welfare indicator. It is a leading indicator of CREMA institutional health. A CREMA that manages benefit flows </w:t>
      </w:r>
      <w:r>
        <w:lastRenderedPageBreak/>
        <w:t>transparently, distributes them equitably, and maintains the trust of its full community membership is one that has the social licence to enforce its by-laws, resist elite capture, and maintain the governance conditions that protect carbon permanence. Conversely, a CREMA that concentrates benefit flows and generates unresolved grievances about allocation is one whose institutional legitimacy will erode, whose community compliance with access restrictions will weaken, and whose carbon stocks are at elevated risk. The governance monitoring layer makes this connection explicit, treating benefit-sharing transparency data as part of the same integrated risk picture as ecological pressure alerts and land conversion signals.</w:t>
      </w:r>
    </w:p>
    <w:p w14:paraId="10550784" w14:textId="4A982152" w:rsidR="00EB2F85" w:rsidRDefault="000D3473">
      <w:r>
        <w:pict w14:anchorId="41241DBB">
          <v:rect id="Rectangle 3977" o:spid="_x0000_s103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85" w14:textId="0A413AC4" w:rsidR="00EB2F85" w:rsidRDefault="00000000">
      <w:pPr>
        <w:pStyle w:val="Heading1"/>
      </w:pPr>
      <w:bookmarkStart w:id="86" w:name="chapter-10-reporting-framework"/>
      <w:bookmarkStart w:id="87" w:name="_Toc226178031"/>
      <w:r>
        <w:t xml:space="preserve">Chapter </w:t>
      </w:r>
      <w:r w:rsidR="00FB4AF3">
        <w:t>7</w:t>
      </w:r>
      <w:r>
        <w:t>: Reporting Framework</w:t>
      </w:r>
      <w:bookmarkEnd w:id="86"/>
      <w:bookmarkEnd w:id="87"/>
    </w:p>
    <w:p w14:paraId="10550786" w14:textId="77777777" w:rsidR="00EB2F85" w:rsidRDefault="000D3473">
      <w:r>
        <w:pict w14:anchorId="7CFF9EA5">
          <v:rect id="Rectangle 3975" o:spid="_x0000_s103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87" w14:textId="77777777" w:rsidR="00EB2F85" w:rsidRDefault="00000000">
      <w:pPr>
        <w:pStyle w:val="Heading2"/>
      </w:pPr>
      <w:bookmarkStart w:id="88" w:name="purpose-of-the-reporting-framework"/>
      <w:bookmarkStart w:id="89" w:name="_Toc226178032"/>
      <w:r>
        <w:t>10.1 Purpose of the Reporting Framework</w:t>
      </w:r>
      <w:bookmarkEnd w:id="88"/>
      <w:bookmarkEnd w:id="89"/>
    </w:p>
    <w:p w14:paraId="7EF20DA6" w14:textId="77777777" w:rsidR="00714D0A" w:rsidRDefault="00000000">
      <w:pPr>
        <w:pStyle w:val="FirstParagraph"/>
      </w:pPr>
      <w:r>
        <w:t xml:space="preserve">A Monitoring, Reporting, and Verification (MRV) system generates no practical value until its data becomes decisions. The ecological measurements, pressure surveillance records, and governance indicators described in Chapters 4 through </w:t>
      </w:r>
      <w:r w:rsidR="00714D0A">
        <w:t>6</w:t>
      </w:r>
      <w:r>
        <w:t xml:space="preserve"> of this report exist to support a specific end: the production of credible, structured, and publicly accountable reporting outputs that translate raw monitoring data into governance intelligence, climate finance documentation, and evidence for national policy. </w:t>
      </w:r>
    </w:p>
    <w:p w14:paraId="10550788" w14:textId="278F4707" w:rsidR="00EB2F85" w:rsidRDefault="00000000">
      <w:pPr>
        <w:pStyle w:val="FirstParagraph"/>
      </w:pPr>
      <w:r>
        <w:t>The Reporting Framework described in this chapter defines how that translation happens</w:t>
      </w:r>
      <w:r w:rsidR="00714D0A">
        <w:t>,</w:t>
      </w:r>
      <w:r>
        <w:t xml:space="preserve"> what is reported, when, by whom, to which audiences, and through which institutional channels and establishes the quality assurance and transparency standards that give the reporting system its credibility.</w:t>
      </w:r>
    </w:p>
    <w:p w14:paraId="10550789" w14:textId="4BB02D11" w:rsidR="00EB2F85" w:rsidRDefault="00000000">
      <w:pPr>
        <w:pStyle w:val="BodyText"/>
      </w:pPr>
      <w:r>
        <w:t xml:space="preserve">The framework operates across four nested cycles, from the quarterly field returns submitted by Community Resource Management Area (CREMA) members and Community Change Agents (CCAs) in communities such as Agbatsivi, Galotse, Bomigo, Salo, Dzita, Pute, Elavanyo, Obane, and Sankor, through to the Annual National Blue Carbon MRV Report produced by the Ministry of Lands and Natural Resources (MLNR) and the Ministry of Environment, Science, </w:t>
      </w:r>
      <w:r w:rsidR="00714D0A">
        <w:t xml:space="preserve">and </w:t>
      </w:r>
      <w:r>
        <w:t>Technology (MEST</w:t>
      </w:r>
      <w:r w:rsidR="00714D0A">
        <w:t xml:space="preserve">) </w:t>
      </w:r>
      <w:r>
        <w:t xml:space="preserve">and the Five-Year Comprehensive Review that recalibrates the national baseline every three to five years. These cycles are not </w:t>
      </w:r>
      <w:r w:rsidR="00714D0A">
        <w:t>independent,</w:t>
      </w:r>
      <w:r>
        <w:t xml:space="preserve"> each feeds the next. Community-level observations become district-level consolidated data; district data becomes national reporting inputs; national reports feed Ghana’s Nationally Determined Contribution (NDC) obligations under the Paris Agreement and, where applicable, the audit-grade documentation required by international carbon market standards including Verra, Gold Standard, and Plan Vivo.</w:t>
      </w:r>
    </w:p>
    <w:p w14:paraId="1055078B" w14:textId="77777777" w:rsidR="00EB2F85" w:rsidRDefault="000D3473">
      <w:r>
        <w:pict w14:anchorId="567366DD">
          <v:rect id="Rectangle 3973" o:spid="_x0000_s103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8C" w14:textId="34CD36FD" w:rsidR="00EB2F85" w:rsidRDefault="00FB4AF3">
      <w:pPr>
        <w:pStyle w:val="Heading2"/>
      </w:pPr>
      <w:bookmarkStart w:id="90" w:name="the-reporting-cycle"/>
      <w:bookmarkStart w:id="91" w:name="_Toc226178033"/>
      <w:r>
        <w:t>7</w:t>
      </w:r>
      <w:r w:rsidR="00000000">
        <w:t>.2 The Reporting Cycle</w:t>
      </w:r>
      <w:bookmarkEnd w:id="90"/>
      <w:bookmarkEnd w:id="91"/>
    </w:p>
    <w:p w14:paraId="1055078D" w14:textId="77777777" w:rsidR="00EB2F85" w:rsidRDefault="00000000">
      <w:pPr>
        <w:pStyle w:val="Heading3"/>
      </w:pPr>
      <w:bookmarkStart w:id="92" w:name="quarterly-field-returns"/>
      <w:r>
        <w:t>Quarterly Field Returns</w:t>
      </w:r>
      <w:bookmarkEnd w:id="92"/>
    </w:p>
    <w:p w14:paraId="1055078E" w14:textId="77777777" w:rsidR="00EB2F85" w:rsidRDefault="00000000">
      <w:pPr>
        <w:pStyle w:val="FirstParagraph"/>
      </w:pPr>
      <w:r>
        <w:t xml:space="preserve">The operational foundation of the reporting cycle is the quarterly field return submitted to the district Wildlife Division by CREMA members and CCAs across each blue carbon landscape. These standardised data sheets capture the three functional monitoring layers in their most granular form: pressure indicator records (fuelwood harvesting signals, fresh cutting evidence, charcoal production activity, salt pan expansion incursions), restoration survival checks at the early action hubs of Dzita in the Keta Lagoon Complex, Pute in the Songor Ramsar Site, and Sankor in the Muni-Pomadze Ramsar Site, and governance observations </w:t>
      </w:r>
      <w:r>
        <w:lastRenderedPageBreak/>
        <w:t>including CREMA meeting attendance records, benefit-sharing distribution confirmation, and grievance submissions.</w:t>
      </w:r>
    </w:p>
    <w:p w14:paraId="1055078F" w14:textId="62AB7797" w:rsidR="00EB2F85" w:rsidRDefault="00000000">
      <w:pPr>
        <w:pStyle w:val="BodyText"/>
      </w:pPr>
      <w:r>
        <w:t xml:space="preserve">Water and soil monitoring data from the 57 stations in the Keta Lagoon monitoring network and the 23 stations at Ada are compiled on the same quarterly schedule, following the standardised field protocols described in </w:t>
      </w:r>
      <w:r w:rsidR="00CD0618">
        <w:t>the Ecosystem Health Asessment Report</w:t>
      </w:r>
      <w:r>
        <w:t>. The quarterly compilation of these data points across 80 stations provides a landscape-scale picture of ecosystem condition at a temporal resolution sufficient to detect emerging stress signals before they produce irreversible ecological change.</w:t>
      </w:r>
    </w:p>
    <w:p w14:paraId="10550790" w14:textId="75D7A8F6" w:rsidR="00EB2F85" w:rsidRDefault="00000000">
      <w:pPr>
        <w:pStyle w:val="BodyText"/>
      </w:pPr>
      <w:r>
        <w:t>Quarterly field returns are not simply data submissions; they are the institutional record of the community monitoring system. The standardised data sheet format ensures comparability across quarters and across sites, enabling trend analysis that a narrative report alone cannot provide. The Wildlife Division’s role at the district level is to receive, validate, and aggregate these returns</w:t>
      </w:r>
      <w:r w:rsidR="00CD0618">
        <w:t xml:space="preserve">, </w:t>
      </w:r>
      <w:r>
        <w:t>checking for internal consistency, flagging anomalies for field verification, and producing the consolidated dataset that feeds the annual district reporting process. The quarterly cadence also creates accountability: a community or CREMA that fails to submit returns triggers a welfare check and a capacity support response, not a punitive sanction, but a documented gap in the monitoring record that must be addressed before national reporting can claim complete coverage.</w:t>
      </w:r>
    </w:p>
    <w:p w14:paraId="10550791" w14:textId="77777777" w:rsidR="00EB2F85" w:rsidRDefault="00000000">
      <w:pPr>
        <w:pStyle w:val="Heading3"/>
      </w:pPr>
      <w:bookmarkStart w:id="93" w:name="annual-district-reports"/>
      <w:r>
        <w:t>Annual District Reports</w:t>
      </w:r>
      <w:bookmarkEnd w:id="93"/>
    </w:p>
    <w:p w14:paraId="10550792" w14:textId="74962801" w:rsidR="00EB2F85" w:rsidRDefault="00000000">
      <w:pPr>
        <w:pStyle w:val="FirstParagraph"/>
      </w:pPr>
      <w:r>
        <w:t xml:space="preserve">The Metropolitan, Municipal and District Assemblies (MMDAs) and the Wildlife Division compile consolidated annual reports to MLNR and MEST covering all three monitoring layers across their district area. These reports aggregate the four quarterly field returns received from each CREMA within the district, cross-reference pressure indicator trends against the ecological monitoring data from satellite </w:t>
      </w:r>
      <w:r w:rsidR="00CD0618">
        <w:t>analysis and</w:t>
      </w:r>
      <w:r>
        <w:t xml:space="preserve"> summarise governance performance including CREMA leadership composition (including compliance with the minimum 40% female representation standard), grievance redress outcomes, and benefit-sharing transparency records.</w:t>
      </w:r>
    </w:p>
    <w:p w14:paraId="10550793" w14:textId="1DB736B3" w:rsidR="00EB2F85" w:rsidRDefault="00000000">
      <w:pPr>
        <w:pStyle w:val="BodyText"/>
      </w:pPr>
      <w:r>
        <w:t>Annual district reports carry a specific analytical responsibility that goes beyond data consolidation. The Wildlife Division’s district officers are positioned to observe trends that individual quarterly returns cannot capture</w:t>
      </w:r>
      <w:r w:rsidR="00CD0618">
        <w:t>;</w:t>
      </w:r>
      <w:r>
        <w:t xml:space="preserve"> gradual shifts in pressure geography, seasonal patterns in harvesting intensity, emerging land tenure conflicts of the kind that characterise the boundary between salt pan operations and remaining mangrove cover at Elavanyo and Obane in the Songor </w:t>
      </w:r>
      <w:r w:rsidR="00CD0618">
        <w:t>enclave</w:t>
      </w:r>
      <w:r>
        <w:t>. The district report is therefore required to provide not just aggregated statistics but an interpretive narrative: an account of what the year’s data means for ecosystem status and what, if anything, the district recommends by way of management response. District reports are submitted annually to MLNR and MEST</w:t>
      </w:r>
      <w:r w:rsidR="00CD0618">
        <w:t xml:space="preserve"> </w:t>
      </w:r>
      <w:r>
        <w:t>as the formal input to the national consolidation process.</w:t>
      </w:r>
    </w:p>
    <w:p w14:paraId="10550794" w14:textId="77777777" w:rsidR="00EB2F85" w:rsidRDefault="00000000">
      <w:pPr>
        <w:pStyle w:val="Heading3"/>
      </w:pPr>
      <w:bookmarkStart w:id="94" w:name="annual-national-blue-carbon-mrv-report"/>
      <w:r>
        <w:t>Annual National Blue Carbon MRV Report</w:t>
      </w:r>
      <w:bookmarkEnd w:id="94"/>
    </w:p>
    <w:p w14:paraId="10550795" w14:textId="3EA8981A" w:rsidR="00EB2F85" w:rsidRDefault="00000000">
      <w:pPr>
        <w:pStyle w:val="FirstParagraph"/>
      </w:pPr>
      <w:r>
        <w:t xml:space="preserve">The Annual National Blue Carbon MRV Report is the primary national reporting product of Ghana’s Blue Carbon MRV System. It is produced jointly by MLNR and MEST, drawing on district reports from all relevant districts, the annual satellite extent change analysis conducted on Sentinel-2, and any </w:t>
      </w:r>
      <w:r w:rsidR="00CD0618">
        <w:t>Temporary/</w:t>
      </w:r>
      <w:r>
        <w:t>Permanent Sample Plot (PSP) interim observations. The report is formally issued as a government document under the institutional authority of both ministries.</w:t>
      </w:r>
    </w:p>
    <w:p w14:paraId="62575895" w14:textId="77777777" w:rsidR="00CD0618" w:rsidRDefault="00000000">
      <w:pPr>
        <w:pStyle w:val="BodyText"/>
      </w:pPr>
      <w:r>
        <w:t xml:space="preserve">The Annual Report covers seven substantive components. The national mangrove extent change summary documents the year-on-year change in coastal mangrove area across all 35 coastal districts and 550 kilometres of coastline, derived from the annual Sentinel-2 classification update. At the landscape level, this </w:t>
      </w:r>
      <w:r>
        <w:lastRenderedPageBreak/>
        <w:t>summary disaggregates extent change for the Keta Lagoon Complex</w:t>
      </w:r>
      <w:r w:rsidR="00CD0618">
        <w:t>,</w:t>
      </w:r>
      <w:r>
        <w:t xml:space="preserve"> the Songor Ramsar and the ecologically insignificant but strategically important restoration target at Muni-Pomadze. </w:t>
      </w:r>
    </w:p>
    <w:p w14:paraId="2853B647" w14:textId="77777777" w:rsidR="00CD0618" w:rsidRDefault="00000000">
      <w:pPr>
        <w:pStyle w:val="BodyText"/>
      </w:pPr>
      <w:r>
        <w:t xml:space="preserve">The carbon stock status section reports any interim carbon stock observations since the Year 0 baseline without claiming the precision of a full </w:t>
      </w:r>
      <w:r w:rsidR="00CD0618">
        <w:t>T/</w:t>
      </w:r>
      <w:r>
        <w:t xml:space="preserve">PSP re-measurement; it is a conditional assessment, noting any disturbance events or restoration progress that may have altered stocks and identifying the direction of likely change pending the next five-year re-measurement. </w:t>
      </w:r>
    </w:p>
    <w:p w14:paraId="79D3D4B4" w14:textId="77777777" w:rsidR="0056617D" w:rsidRDefault="00000000">
      <w:pPr>
        <w:pStyle w:val="BodyText"/>
      </w:pPr>
      <w:r>
        <w:t>The pressure trend analysis summarises the Environmental Pressure Surveillance findings for the year</w:t>
      </w:r>
      <w:r w:rsidR="0056617D">
        <w:t xml:space="preserve"> i.e.</w:t>
      </w:r>
      <w:r>
        <w:t xml:space="preserve"> trends in fuelwood harvesting incidence, fuel source transition rates in community surveys, land conversion detections, charcoal production hotspot changes, and the status of known pressure concentrations including the fish-smoking fuelwood demand from communities across the Keta fringe. </w:t>
      </w:r>
    </w:p>
    <w:p w14:paraId="0AFE73D4" w14:textId="77777777" w:rsidR="0056617D" w:rsidRDefault="00000000">
      <w:pPr>
        <w:pStyle w:val="BodyText"/>
      </w:pPr>
      <w:r>
        <w:t>The governance and safeguard performance section reports against the Layer III</w:t>
      </w:r>
      <w:r w:rsidR="0056617D">
        <w:t>.</w:t>
      </w:r>
      <w:r>
        <w:t xml:space="preserve"> Governance and Safeguard Assurance indicators, including CREMA composition statistics disaggregated by gender and youth representation, grievance redress performance metrics, and conflict mediation outcomes. </w:t>
      </w:r>
    </w:p>
    <w:p w14:paraId="4A45AB95" w14:textId="77777777" w:rsidR="0056617D" w:rsidRDefault="00000000">
      <w:pPr>
        <w:pStyle w:val="BodyText"/>
      </w:pPr>
      <w:r>
        <w:t xml:space="preserve">The restoration progress section reports survival rates, canopy cover establishment, and seedling recruitment. </w:t>
      </w:r>
    </w:p>
    <w:p w14:paraId="05968C64" w14:textId="77777777" w:rsidR="0056617D" w:rsidRDefault="00000000">
      <w:pPr>
        <w:pStyle w:val="BodyText"/>
      </w:pPr>
      <w:r>
        <w:t xml:space="preserve">The adaptive management actions section documents what management interventions were triggered during the year by monitoring signals and what their outcomes were. </w:t>
      </w:r>
    </w:p>
    <w:p w14:paraId="10550796" w14:textId="6DD4538F" w:rsidR="00EB2F85" w:rsidRDefault="00000000">
      <w:pPr>
        <w:pStyle w:val="BodyText"/>
      </w:pPr>
      <w:r>
        <w:t>Finally, the strategic recommendations section provides the analytical conclusions that the year’s monitoring record supports for policy and programme planning purposes.</w:t>
      </w:r>
    </w:p>
    <w:p w14:paraId="10550797" w14:textId="1D258A2B" w:rsidR="00EB2F85" w:rsidRDefault="00000000">
      <w:pPr>
        <w:pStyle w:val="BodyText"/>
      </w:pPr>
      <w:r>
        <w:t>The Annual Report is the document through which the entire monitoring architecture earns its operational justification. It is the product that government officials, development partners, and future carbon market reviewers will assess as the primary indicator of whether the MRV system is functioning as designed. The reporting cycle that produces it must therefore be completed with sufficient lead time to enable MEST and MLNR review before publication</w:t>
      </w:r>
      <w:r w:rsidR="0056617D">
        <w:t>.</w:t>
      </w:r>
    </w:p>
    <w:p w14:paraId="10550798" w14:textId="77777777" w:rsidR="00EB2F85" w:rsidRDefault="00000000">
      <w:pPr>
        <w:pStyle w:val="Heading3"/>
      </w:pPr>
      <w:bookmarkStart w:id="95" w:name="five-year-comprehensive-review"/>
      <w:r>
        <w:t>Five-Year Comprehensive Review</w:t>
      </w:r>
      <w:bookmarkEnd w:id="95"/>
    </w:p>
    <w:p w14:paraId="10550799" w14:textId="7D8DD5F0" w:rsidR="00EB2F85" w:rsidRDefault="00000000">
      <w:pPr>
        <w:pStyle w:val="FirstParagraph"/>
      </w:pPr>
      <w:r>
        <w:t xml:space="preserve">The Five-Year Comprehensive Review is a full re-measurement and re-assessment cycle aligned with the </w:t>
      </w:r>
      <w:r w:rsidR="0056617D">
        <w:t>T/</w:t>
      </w:r>
      <w:r>
        <w:t>PSP biomass re-measurement schedule, which occurs every three to five years as defined in the carbon accounting protocol</w:t>
      </w:r>
      <w:r w:rsidR="0056617D">
        <w:t xml:space="preserve"> in the Carbon Inventory and Assessment Report</w:t>
      </w:r>
      <w:r>
        <w:t xml:space="preserve">. The review produces a Carbon Stock Update Report that recalibrates the Year 0 baseline with measured </w:t>
      </w:r>
      <w:r w:rsidR="0056617D">
        <w:t>T/</w:t>
      </w:r>
      <w:r>
        <w:t>PSP data</w:t>
      </w:r>
      <w:r w:rsidR="0056617D">
        <w:t>,</w:t>
      </w:r>
      <w:r>
        <w:t xml:space="preserve"> updated above-ground biomass (AGB) and below-ground biomass (BGB) estimates, re-collected soil organic carbon (SOC) cores to </w:t>
      </w:r>
      <w:r w:rsidR="0056617D">
        <w:t>45</w:t>
      </w:r>
      <w:r>
        <w:t xml:space="preserve"> centimetres depth, and a revised deadwood assessment at Salo </w:t>
      </w:r>
      <w:r w:rsidR="0056617D">
        <w:t>T/</w:t>
      </w:r>
      <w:r>
        <w:t>PSP</w:t>
      </w:r>
      <w:r w:rsidR="0056617D">
        <w:t>s</w:t>
      </w:r>
      <w:r>
        <w:t xml:space="preserve"> and any additional </w:t>
      </w:r>
      <w:r w:rsidR="0056617D">
        <w:t>T/</w:t>
      </w:r>
      <w:r>
        <w:t>PSPs established during the interval period. The Carbon Stock Update Report includes updated biomass and soil carbon estimates, an emissions and removals summary for the interval period, a revised uncertainty assessment, a risk-adjusted carbon balance, and a methodological consistency statement confirming that accounting methods remain aligned with IPCC Wetlands Supplement guidance and the requirements of the relevant carbon market standards.</w:t>
      </w:r>
    </w:p>
    <w:p w14:paraId="1055079A" w14:textId="45554E46" w:rsidR="00EB2F85" w:rsidRDefault="00000000">
      <w:pPr>
        <w:pStyle w:val="BodyText"/>
      </w:pPr>
      <w:r>
        <w:t xml:space="preserve">Beyond the carbon stock recalibration, the Five-Year Comprehensive Review also triggers a strategic review of MRV priorities. Monitoring systems require recalibration of their own design: indicators that were correctly designed for Year 0 conditions may need adjustment as the landscape evolves, as CREMA coverage expands, or as new pressures emerge that the original indicator set did not anticipate. The Five-Year Review is the institutionally scheduled moment at which MLNR, MEST, the Wildlife Division, and community </w:t>
      </w:r>
      <w:r>
        <w:lastRenderedPageBreak/>
        <w:t>representatives formally assess whether the monitoring framework remains fit for purpose, and initiate any revisions that the accumulated monitoring record indicates are necessary. This adaptive management dimension is integral to the framework’s long-term integrity and is not an optional supplement to the technical re-measurement process.</w:t>
      </w:r>
    </w:p>
    <w:p w14:paraId="1055079B" w14:textId="77777777" w:rsidR="00EB2F85" w:rsidRDefault="000D3473">
      <w:r>
        <w:pict w14:anchorId="5E0A3C12">
          <v:rect id="Rectangle 3971" o:spid="_x0000_s103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9C" w14:textId="523C9CFD" w:rsidR="00EB2F85" w:rsidRDefault="00FB4AF3">
      <w:pPr>
        <w:pStyle w:val="Heading2"/>
      </w:pPr>
      <w:bookmarkStart w:id="96" w:name="reporting-audiences-and-their-needs"/>
      <w:bookmarkStart w:id="97" w:name="_Toc226178034"/>
      <w:r>
        <w:t>7</w:t>
      </w:r>
      <w:r w:rsidR="00000000">
        <w:t>.3 Reporting Audiences and Their Needs</w:t>
      </w:r>
      <w:bookmarkEnd w:id="96"/>
      <w:bookmarkEnd w:id="97"/>
    </w:p>
    <w:p w14:paraId="1055079D" w14:textId="77777777" w:rsidR="00EB2F85" w:rsidRDefault="00000000">
      <w:pPr>
        <w:pStyle w:val="FirstParagraph"/>
      </w:pPr>
      <w:r>
        <w:t>Ghana’s National Blue Carbon MRV System serves a diverse set of institutional and community audiences, each of which uses reporting outputs differently and requires information presented in ways calibrated to its specific decision-making context.</w:t>
      </w:r>
    </w:p>
    <w:p w14:paraId="1055079E" w14:textId="72186C88" w:rsidR="00EB2F85" w:rsidRDefault="00000000">
      <w:pPr>
        <w:pStyle w:val="BodyText"/>
      </w:pPr>
      <w:r>
        <w:t>MEST and MLNR are simultaneously the producers and primary users of national-level reporting. In their role as national policy institutions, they use Annual MRV Report outputs to assess programme performance, brief ministers and cross-ministerial coordination bodies, and populate the national greenhouse gas inventory update that feeds Ghana’s NDC reporting obligations. MEST’s specific need is for climate reporting integration</w:t>
      </w:r>
      <w:r w:rsidR="007D4BD8">
        <w:t xml:space="preserve">: </w:t>
      </w:r>
      <w:r>
        <w:t>the land sector contribution to Ghana’s NDC commitments, including blue carbon conservation and restoration, requires an annual data feed that the MRV system is specifically designed to provide. MLNR’s need is for operational and strategic management information: extent change summaries and pressure trend data are the inputs that inform decisions about where district Wildlife Division capacity should be concentrated, whether enforcement action is warranted at particular hotspot sites, and whether the restoration programme is achieving the performance benchmarks required to justify continued investment.</w:t>
      </w:r>
    </w:p>
    <w:p w14:paraId="1055079F" w14:textId="2BC64A2B" w:rsidR="00EB2F85" w:rsidRDefault="00000000">
      <w:pPr>
        <w:pStyle w:val="BodyText"/>
      </w:pPr>
      <w:r>
        <w:t>The Forestry Commission’s Wildlife Division operates at the interface between national policy and community reality. Its reporting needs are operational rather than strategic: site-level pressure monitoring data, restoration survival metrics, and governance performance indicators that enable informed decisions about where field officer time and limited enforcement resources are most needed. The Wildlife Division uses district-level consolidation reports which it has also helped to produce as the primary management information source for planning the following year’s field programme. A report that tells the Wildlife Division only what it already knows from its own officers has failed its audience; the value of the reporting system is that it aggregates community observations into patterns that no individual field officer can see from their single district vantage point.</w:t>
      </w:r>
    </w:p>
    <w:p w14:paraId="105507A0" w14:textId="319BDF27" w:rsidR="00EB2F85" w:rsidRDefault="00000000">
      <w:pPr>
        <w:pStyle w:val="BodyText"/>
      </w:pPr>
      <w:r>
        <w:t>The World Bank and the WACA programme have donor accountability and development effectiveness reporting requirements. World Bank missions and periodic implementation support reviews assess whether the investment represented by WACA ResIP 2</w:t>
      </w:r>
      <w:r w:rsidR="007D4BD8">
        <w:t xml:space="preserve"> </w:t>
      </w:r>
      <w:r>
        <w:t>is producing the ecological, governance, and livelihood outcomes that the project appraisal committed to. The Annual National Blue Carbon MRV Report provides the structured, institutionally validated evidence base for these assessments. The specificity of data required for World Bank review</w:t>
      </w:r>
      <w:r w:rsidR="007D4BD8">
        <w:t>:</w:t>
      </w:r>
      <w:r>
        <w:t xml:space="preserve"> measurable changes in mangrove extent, evidence of CREMA formation and governance function, restoration survival rates at the early action hubs is exactly the content that the Annual Report’s seven substantive components are designed to deliver.</w:t>
      </w:r>
    </w:p>
    <w:p w14:paraId="105507A1" w14:textId="2699508C" w:rsidR="00EB2F85" w:rsidRDefault="00000000">
      <w:pPr>
        <w:pStyle w:val="BodyText"/>
      </w:pPr>
      <w:r>
        <w:t xml:space="preserve">Carbon market verifiers operating under Verra, Gold Standard, or Plan Vivo require the highest evidentiary standard of any audience the reporting framework serves. An independent auditor conducting a validation or verification assessment needs a complete chain of custody from raw field measurements to reported carbon stocks: traceable plot-level data, documented QA/QC procedures, archived laboratory reports from soil carbon analysis, version-controlled database records showing each data entry and any subsequent corrections, and a clear mapping between field measurements and the allometric equations and emission </w:t>
      </w:r>
      <w:r>
        <w:lastRenderedPageBreak/>
        <w:t>factors used in stock calculations. The Five-Year Carbon Stock Update Report, produced under the full re-measurement cycle, serves as the primary technical document for market verification purposes. The Annual Report provides the intermediate annual evidence that verifiers use to assess whether significant reversal events have occurred between full re-measurement cycles and whether the governance and pressure management systems are functioning as designed to protect permanence.</w:t>
      </w:r>
    </w:p>
    <w:p w14:paraId="105507A2" w14:textId="21AC6151" w:rsidR="00EB2F85" w:rsidRDefault="00000000">
      <w:pPr>
        <w:pStyle w:val="BodyText"/>
      </w:pPr>
      <w:r>
        <w:t>Communities and CREMAs occupy a foundational position in the reporting chain as primary data collectors, they have both a practical stake in understanding what their data shows and a governance right to receive feedback on the outcomes their monitoring work supports. Reporting to communities is not a transparency add-on; it is a functional requirement for sustained community monitoring participation. A CREMA whose members submit quarterly field returns year after year without receiving meaningful feedback on what those returns reveal about the status of the ecosystem they steward, about the governance performance of their own institutions, and about the benefit-sharing outcomes linked to carbon programme performance will progressively lose the motivational engagement that makes community monitoring work. Community-level reporting therefore takes the form of accessible, locally relevant feedback sessions held at each landscape at Dzita for Keta communities, at Pute for the Songor landscape, and at Sankor for Muni-Pomadze providing summary ecological status updates, restoration performance figures, and confirmation of benefit-sharing distributions in forms accessible to community members regardless of formal literacy levels.</w:t>
      </w:r>
    </w:p>
    <w:p w14:paraId="105507A3" w14:textId="77777777" w:rsidR="00EB2F85" w:rsidRDefault="000D3473">
      <w:r>
        <w:pict w14:anchorId="05BA4722">
          <v:rect id="Rectangle 3969" o:spid="_x0000_s1035"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A4" w14:textId="5B491786" w:rsidR="00EB2F85" w:rsidRDefault="00FB4AF3">
      <w:pPr>
        <w:pStyle w:val="Heading2"/>
      </w:pPr>
      <w:bookmarkStart w:id="98" w:name="ndc-reporting-linkage"/>
      <w:bookmarkStart w:id="99" w:name="_Toc226178035"/>
      <w:r>
        <w:t>7</w:t>
      </w:r>
      <w:r w:rsidR="00000000">
        <w:t>.4 NDC Reporting Linkage</w:t>
      </w:r>
      <w:bookmarkEnd w:id="98"/>
      <w:bookmarkEnd w:id="99"/>
    </w:p>
    <w:p w14:paraId="03B2D153" w14:textId="77777777" w:rsidR="00D318B3" w:rsidRDefault="00000000">
      <w:pPr>
        <w:pStyle w:val="BodyText"/>
      </w:pPr>
      <w:r>
        <w:t xml:space="preserve">The linkage between the MRV reporting cycle and the national greenhouse gas inventory process operates through MEST, which coordinates Ghana’s Biennial Transparency Reports (BTRs) to the UNFCCC under the Paris Agreement’s Enhanced Transparency Framework. The BTR’s land sector chapter draws on inventory data for wetland and forest cover change, and the Annual MRV Report’s national mangrove extent change summary </w:t>
      </w:r>
      <w:r w:rsidR="00D318B3">
        <w:t xml:space="preserve">which </w:t>
      </w:r>
      <w:r>
        <w:t xml:space="preserve">provides the annual input to the wetland land use change category within that inventory. </w:t>
      </w:r>
    </w:p>
    <w:p w14:paraId="105507A6" w14:textId="547ABD08" w:rsidR="00EB2F85" w:rsidRDefault="00000000">
      <w:pPr>
        <w:pStyle w:val="BodyText"/>
      </w:pPr>
      <w:r>
        <w:t>The carbon stock status and pressure trend components of the Annual Report provide supplementary evidence for the inventory compiler’s assessment of whether the coastal wetland sector is a net sink or net source in the reporting year.</w:t>
      </w:r>
    </w:p>
    <w:p w14:paraId="105507A7" w14:textId="3A95D86C" w:rsidR="00EB2F85" w:rsidRDefault="00000000">
      <w:pPr>
        <w:pStyle w:val="BodyText"/>
      </w:pPr>
      <w:r>
        <w:t xml:space="preserve">This linkage has a structural significance that goes beyond data provision. When Ghana reports on its NDC progress under the Paris Agreement, the credibility of the blue carbon land sector contribution depends entirely on the quality of the underlying monitoring and reporting system. An NDC commitment to conserve 30,025 hectares of coastal mangrove and restore mangrove cover at Muni-Pomadze and Songor cannot be verified by international review teams unless there is a documented, methodologically rigorous system producing annual evidence of whether those commitments are being met. </w:t>
      </w:r>
    </w:p>
    <w:p w14:paraId="105507A8" w14:textId="54BC9AF6" w:rsidR="00EB2F85" w:rsidRDefault="00000000">
      <w:pPr>
        <w:pStyle w:val="BodyText"/>
      </w:pPr>
      <w:r>
        <w:t>In practice, the Annual MRV Report’s timing must be coordinated with MEST’s national inventory preparation cycle. Ghana’s BTR submissions require finalised land sector data well in advance of submission deadlines, which in turn requires that the Annual MRV Report is completed and formally cleared by both ministries on a schedule that feeds into the inventory process rather than arriving after it. The institutional calendar for Annual MRV Report production</w:t>
      </w:r>
      <w:r w:rsidR="00D318B3">
        <w:t>:</w:t>
      </w:r>
      <w:r>
        <w:t xml:space="preserve"> field data compilation, district report submission, national consolidation, internal review, and formal </w:t>
      </w:r>
      <w:r w:rsidR="00ED224F">
        <w:t>publication is</w:t>
      </w:r>
      <w:r>
        <w:t xml:space="preserve"> therefore structured with this NDC reporting dependency in view.</w:t>
      </w:r>
    </w:p>
    <w:p w14:paraId="105507A9" w14:textId="77777777" w:rsidR="00EB2F85" w:rsidRDefault="000D3473">
      <w:r>
        <w:pict w14:anchorId="4D903B17">
          <v:rect id="Rectangle 3967" o:spid="_x0000_s1034"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AA" w14:textId="7607DA37" w:rsidR="00EB2F85" w:rsidRDefault="00FB4AF3">
      <w:pPr>
        <w:pStyle w:val="Heading2"/>
      </w:pPr>
      <w:bookmarkStart w:id="100" w:name="quality-assurance-in-reporting"/>
      <w:bookmarkStart w:id="101" w:name="_Toc226178036"/>
      <w:r>
        <w:lastRenderedPageBreak/>
        <w:t>7</w:t>
      </w:r>
      <w:r w:rsidR="00000000">
        <w:t>.5 Quality Assurance in Reporting</w:t>
      </w:r>
      <w:bookmarkEnd w:id="100"/>
      <w:bookmarkEnd w:id="101"/>
    </w:p>
    <w:p w14:paraId="105507AB" w14:textId="77777777" w:rsidR="00EB2F85" w:rsidRDefault="00000000">
      <w:pPr>
        <w:pStyle w:val="FirstParagraph"/>
      </w:pPr>
      <w:r>
        <w:t>The reporting system’s credibility rests not only on the quality of the underlying monitoring data but on the rigour of the review processes through which that data is validated before it appears in a published report. QA/QC responsibility is distributed across the institutional tiers, with each level of the reporting hierarchy bearing responsibility for the quality of the data it submits upward.</w:t>
      </w:r>
    </w:p>
    <w:p w14:paraId="105507AC" w14:textId="5CE68A49" w:rsidR="00EB2F85" w:rsidRDefault="00000000">
      <w:pPr>
        <w:pStyle w:val="BodyText"/>
      </w:pPr>
      <w:r>
        <w:t>At the community level, CCAs and CREMA members are trained in standardised data sheet completion, with double-entry verification for quantitative measurements and internal consistency checks built into the field return format. Community data that fails consistency checks</w:t>
      </w:r>
      <w:r w:rsidR="00ED224F">
        <w:t xml:space="preserve"> eg.</w:t>
      </w:r>
      <w:r>
        <w:t xml:space="preserve"> a survival rate figure that implausibly reverses a confirmed mortality trend, a water quality reading that falls outside the plausible range for the monitoring station’s position in the tidal gradient</w:t>
      </w:r>
      <w:r w:rsidR="00ED224F">
        <w:t xml:space="preserve">, </w:t>
      </w:r>
      <w:r>
        <w:t>is flagged for Wildlife Division follow-up before being accepted into the district database. This first-line quality control is deliberately embedded in the field return format rather than imposed as a post-hoc check: it reduces the volume of erroneous data entering the system and builds data quality habits within community monitoring teams.</w:t>
      </w:r>
    </w:p>
    <w:p w14:paraId="105507AD" w14:textId="512C499E" w:rsidR="00EB2F85" w:rsidRDefault="00000000">
      <w:pPr>
        <w:pStyle w:val="BodyText"/>
      </w:pPr>
      <w:r>
        <w:t>At the district level, the Wildlife Division conducts a formal data validation review before submitting district consolidation reports to MLNR and MEST. This review includes cross-checking community-level field returns against the independent satellite analysis for the same period</w:t>
      </w:r>
      <w:r w:rsidR="00ED224F">
        <w:t xml:space="preserve">; </w:t>
      </w:r>
      <w:r>
        <w:t>if satellite imagery shows a new land conversion event in a CREMA monitoring zone, and no community return for that quarter flagged a cutting or conversion signal, the Wildlife Division investigates the discrepancy before finalising the district report. The independence of the satellite analysis from the community reporting system is precisely what makes this cross-validation meaningful: the two data streams are methodologically distinct, and agreement between them strengthens the credibility of both.</w:t>
      </w:r>
    </w:p>
    <w:p w14:paraId="105507AE" w14:textId="50ABCF9C" w:rsidR="00EB2F85" w:rsidRDefault="00000000">
      <w:pPr>
        <w:pStyle w:val="BodyText"/>
      </w:pPr>
      <w:r>
        <w:t>At the national level, MLNR and MEST</w:t>
      </w:r>
      <w:r w:rsidR="00ED224F">
        <w:t xml:space="preserve"> </w:t>
      </w:r>
      <w:r>
        <w:t>conduct an internal review of all national-level reporting before publication. The Annual National Blue Carbon MRV Report is circulated for internal review by designated technical officers at both ministries</w:t>
      </w:r>
      <w:r w:rsidR="00ED224F">
        <w:t>:</w:t>
      </w:r>
      <w:r>
        <w:t xml:space="preserve"> the technical custodians of the MRV system at MLNR and the climate reporting focal point at MESTI before formal clearance and publication. This review assesses methodological consistency with prior years’ reporting (including consistency with the approved numbers and framings in the baseline package), factual accuracy of stated statistics, and appropriate attribution of data sources. Any substantive change to a previously reported figure for example, a revision to the Year 0 baseline extent following additional quality assurance of the Sentinel-2 classification must be accompanied by a documented explanation of the revision rationale and recorded in the version history.</w:t>
      </w:r>
    </w:p>
    <w:p w14:paraId="105507AF" w14:textId="77777777" w:rsidR="00EB2F85" w:rsidRDefault="00000000">
      <w:pPr>
        <w:pStyle w:val="BodyText"/>
      </w:pPr>
      <w:r>
        <w:t>Document control and version management for the Annual Report follows a formal versioning protocol. Each Annual Report is issued with a version number, an issue date, and a summary of any revisions from the draft reviewed by district officers. Draft versions are clearly watermarked and distinguished from the final published document. The final published document is archived in the national MRV database under timestamped, version-controlled records alongside the underlying datasets from which it was produced. Previous years’ reports are retained in full as part of the permanent audit trail. This version management discipline is not bureaucratic formality; it is the document control practice that carbon market verifiers will scrutinise when they assess whether Ghana’s reporting record demonstrates the methodological consistency that Verra, Gold Standard, and Plan Vivo standards require across multi-year monitoring periods.</w:t>
      </w:r>
    </w:p>
    <w:p w14:paraId="105507B0" w14:textId="6A8A6980" w:rsidR="00EB2F85" w:rsidRDefault="00000000">
      <w:pPr>
        <w:pStyle w:val="BodyText"/>
      </w:pPr>
      <w:r>
        <w:t xml:space="preserve">For carbon market reporting contexts, the QA/QC framework extends to include a capacity for independent review by a third-party verification body. Independent review is not a routine part of every Annual Report cycle; it is activated when a project developer is preparing for a formal validation or verification assessment under a carbon market standard, or when MLNR or MEST determines that external assurance would </w:t>
      </w:r>
      <w:r>
        <w:lastRenderedPageBreak/>
        <w:t>strengthen the credibility of a specific reporting cycle for donor accountability purposes. The institutional separation between the data-collecting community and district tiers, the analytically independent satellite monitoring layer, and the version-controlled national database create the conditions for independent review to be conducted efficiently</w:t>
      </w:r>
      <w:r w:rsidR="00A902BD">
        <w:t xml:space="preserve">: </w:t>
      </w:r>
      <w:r>
        <w:t>a verifier can assess the full data chain from community field sheet to national report total without requiring the national institutions to reconstruct records that should already exist in the archive.</w:t>
      </w:r>
    </w:p>
    <w:p w14:paraId="105507B1" w14:textId="77777777" w:rsidR="00EB2F85" w:rsidRDefault="000D3473">
      <w:r>
        <w:pict w14:anchorId="2893CCF3">
          <v:rect id="Rectangle 3965" o:spid="_x0000_s1033"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B2" w14:textId="1344CE38" w:rsidR="00EB2F85" w:rsidRDefault="00FB4AF3">
      <w:pPr>
        <w:pStyle w:val="Heading2"/>
      </w:pPr>
      <w:bookmarkStart w:id="102" w:name="public-disclosure-and-transparency"/>
      <w:bookmarkStart w:id="103" w:name="_Toc226178037"/>
      <w:r>
        <w:t>7</w:t>
      </w:r>
      <w:r w:rsidR="00000000">
        <w:t>.6 Public Disclosure and Transparency</w:t>
      </w:r>
      <w:bookmarkEnd w:id="102"/>
      <w:bookmarkEnd w:id="103"/>
    </w:p>
    <w:p w14:paraId="105507B3" w14:textId="7C942C92" w:rsidR="00EB2F85" w:rsidRDefault="00000000">
      <w:pPr>
        <w:pStyle w:val="FirstParagraph"/>
      </w:pPr>
      <w:r>
        <w:t>Transparency in MRV reporting is not a supplementary governance principle; it is a functional requirement for the system’s credibility. An MRV system whose outputs are known only to the institutions that produce them cannot serve as the basis for carbon market participation, NDC reporting, or community accountability</w:t>
      </w:r>
      <w:r w:rsidR="00A902BD">
        <w:t xml:space="preserve">; </w:t>
      </w:r>
      <w:r>
        <w:t>all of which depend on the ability of external parties to scrutinise and confirm the claims being made. The public disclosure framework establishes which reports are publicly accessible, in what format, and through which channels.</w:t>
      </w:r>
    </w:p>
    <w:p w14:paraId="105507B4" w14:textId="408CDB4F" w:rsidR="00EB2F85" w:rsidRDefault="00000000">
      <w:pPr>
        <w:pStyle w:val="BodyText"/>
      </w:pPr>
      <w:r>
        <w:t>The Annual National Blue Carbon MRV Report is publicly disclosed upon formal clearance by MLNR and MEST. It is made available through the MLNR and MEST government portals, ensuring that it is accessible to civil society organisations, academic institutions, development partners, and any international reviewer conducting due diligence on Ghana’s blue carbon programme. The report is published in PDF format with a permanent document identifier, making it citable in subsequent publications and enabling year-on-year comparisons across the public archive. Summary versions of the Annual Report, translated into accessible formats suitable for community and district audiences, are distributed through the Wildlife Division’s district offices and community feedback sessions.</w:t>
      </w:r>
    </w:p>
    <w:p w14:paraId="105507B5" w14:textId="3B472077" w:rsidR="00EB2F85" w:rsidRDefault="00A902BD">
      <w:pPr>
        <w:pStyle w:val="BodyText"/>
      </w:pPr>
      <w:r>
        <w:t xml:space="preserve">A </w:t>
      </w:r>
      <w:r w:rsidR="00000000">
        <w:t xml:space="preserve">web-based spatial monitoring platform, described in </w:t>
      </w:r>
      <w:r>
        <w:t xml:space="preserve">the ensuing chapter on Implementation Maturity Assessment </w:t>
      </w:r>
      <w:r w:rsidR="00000000">
        <w:t>Chapter 8, provides the real-time and near-real-time transparency layer that static annual reports cannot deliver. Public summary dashboards on the platform display the most recent mangrove extent change analysis</w:t>
      </w:r>
      <w:r>
        <w:t>,</w:t>
      </w:r>
      <w:r w:rsidR="00000000">
        <w:t xml:space="preserve"> pressure hotspot mapping showing active monitoring alerts, and restoration progress visualisations. </w:t>
      </w:r>
    </w:p>
    <w:p w14:paraId="105507B6" w14:textId="56E2D880" w:rsidR="00EB2F85" w:rsidRDefault="00000000">
      <w:pPr>
        <w:pStyle w:val="BodyText"/>
      </w:pPr>
      <w:r>
        <w:t>For carbon market purposes, formal reporting to Verra, Gold Standard, or Plan Vivo registries follows the specific requirements of each standard’s verification process. Project-level documents</w:t>
      </w:r>
      <w:r w:rsidR="00A902BD">
        <w:t xml:space="preserve"> ie.</w:t>
      </w:r>
      <w:r>
        <w:t xml:space="preserve"> Project Design Documents (PDDs), Monitoring Reports, and Verification Reports are publicly posted on the relevant registry platforms in accordance with the transparency requirements of those standards. This registry-level disclosure provides the global carbon market community with access to Ghana’s project-specific claims and the auditor findings that validate them. The chain from community quarterly field return to carbon registry posting is, in principle, fully transparent: each step is documented, each document is archived, and the registry posting is the publicly accessible terminus of a documented evidentiary chain.</w:t>
      </w:r>
    </w:p>
    <w:p w14:paraId="105507B7" w14:textId="305D3ACC" w:rsidR="00EB2F85" w:rsidRDefault="00000000">
      <w:pPr>
        <w:pStyle w:val="BodyText"/>
      </w:pPr>
      <w:r>
        <w:t>Transparency is itself a governance safeguard. When benefit-sharing distributions, governance composition statistics, and restoration performance figures are publicly disclosed, communities retain the capacity to verify that the claims made on their behalf accurately reflect the reality they observe on the ground. This community verification function is the reporting system’s most fundamental accountability mechanism, and it operates not through formal audit but through the social intelligence of people who know their own ecosystems.</w:t>
      </w:r>
    </w:p>
    <w:p w14:paraId="105507BA" w14:textId="076128AF" w:rsidR="00EB2F85" w:rsidRDefault="000D3473">
      <w:r>
        <w:pict w14:anchorId="11F403E3">
          <v:rect id="Rectangle 3961" o:spid="_x0000_s1032"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EF" w14:textId="41E2AB89" w:rsidR="00EB2F85" w:rsidRDefault="00000000">
      <w:pPr>
        <w:pStyle w:val="Heading1"/>
      </w:pPr>
      <w:bookmarkStart w:id="104" w:name="X9c096671693559a5a685bc453cc691a1db11d2a"/>
      <w:bookmarkStart w:id="105" w:name="_Toc226178038"/>
      <w:r>
        <w:lastRenderedPageBreak/>
        <w:t xml:space="preserve">Chapter </w:t>
      </w:r>
      <w:r w:rsidR="00FB4AF3">
        <w:t>8</w:t>
      </w:r>
      <w:r>
        <w:t>: Implementation Maturity Assessment</w:t>
      </w:r>
      <w:bookmarkEnd w:id="104"/>
      <w:bookmarkEnd w:id="105"/>
    </w:p>
    <w:p w14:paraId="105507F0" w14:textId="77777777" w:rsidR="00EB2F85" w:rsidRDefault="000D3473">
      <w:r>
        <w:pict w14:anchorId="10F1A917">
          <v:rect id="Rectangle 3959" o:spid="_x0000_s1031"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F1" w14:textId="36712438" w:rsidR="00EB2F85" w:rsidRDefault="00FB4AF3">
      <w:pPr>
        <w:pStyle w:val="Heading2"/>
      </w:pPr>
      <w:bookmarkStart w:id="106" w:name="purpose-of-the-maturity-assessment"/>
      <w:bookmarkStart w:id="107" w:name="_Toc226178039"/>
      <w:r>
        <w:t>8</w:t>
      </w:r>
      <w:r w:rsidR="00000000">
        <w:t>.1 Purpose of the Maturity Assessment</w:t>
      </w:r>
      <w:bookmarkEnd w:id="106"/>
      <w:bookmarkEnd w:id="107"/>
    </w:p>
    <w:p w14:paraId="105507F2" w14:textId="181C5605" w:rsidR="00EB2F85" w:rsidRDefault="00000000">
      <w:pPr>
        <w:pStyle w:val="FirstParagraph"/>
      </w:pPr>
      <w:r>
        <w:t>A monitoring system that presents itself as more advanced than it is loses credibility with the audiences whose confidence it most needs to retain. Government ministries allocating recurrent budget to a monitoring programme, development partners calibrating the next phase of WACA investment, and carbon market verifiers assessing whether the Monitoring, Reporting, and Verification (MRV) architecture can support a credible issuance cycle all require an honest account of what the system can currently demonstrate versus what it has been designed to achieve. A system that over-claims operational status</w:t>
      </w:r>
      <w:r w:rsidR="004D5DD2">
        <w:t xml:space="preserve">: </w:t>
      </w:r>
      <w:r>
        <w:t>asserting that platforms are live when they are in development, that Community Resource Management Area (CREMA) governance structures are functioning when they are nascent, that quarterly field monitoring is routine when it has been conducted once under an assessment-period contract</w:t>
      </w:r>
      <w:r w:rsidR="004D5DD2">
        <w:t>,</w:t>
      </w:r>
      <w:r>
        <w:t xml:space="preserve"> will be exposed under due diligence, and the credibility cost of that exposure will be disproportionate to the maturity gap being concealed.</w:t>
      </w:r>
    </w:p>
    <w:p w14:paraId="105507F3" w14:textId="485DE75C" w:rsidR="00EB2F85" w:rsidRDefault="00000000">
      <w:pPr>
        <w:pStyle w:val="BodyText"/>
      </w:pPr>
      <w:r>
        <w:t>The opposite failure is equally damaging. A system that under-represents what has genuinely been achieved</w:t>
      </w:r>
      <w:r w:rsidR="004D5DD2">
        <w:t xml:space="preserve"> i.e., </w:t>
      </w:r>
      <w:r>
        <w:t>dismissing a complete, 319-reference-point geospatial baseline as merely preliminary, describing trained Community Change Agents (CCAs) as untested when they have demonstrably conducted field monitoring under the December 2025 assessment programme, or treating the documented national MRV architecture as aspirational when it represents a formally commissioned and delivered government output</w:t>
      </w:r>
      <w:r w:rsidR="004D5DD2">
        <w:t xml:space="preserve">, </w:t>
      </w:r>
      <w:r>
        <w:t>fails to make the case for the continued investment that the system’s next phase of maturation requires.</w:t>
      </w:r>
    </w:p>
    <w:p w14:paraId="105507F4" w14:textId="07A2F82A" w:rsidR="00EB2F85" w:rsidRDefault="00000000">
      <w:pPr>
        <w:pStyle w:val="BodyText"/>
      </w:pPr>
      <w:r>
        <w:t xml:space="preserve">This chapter provides the honest baseline that neither inflates nor deflates. It assesses implementation maturity across the four institutional tiers and three functional layers of the National Blue Carbon MRV Framework as of the conclusion of the WACA baseline assessment phase, drawing directly on the evidence produced during that phase. It distinguishes between what the assessment phase has placed firmly in the ground, what is actively progressing toward operational status, and what remains beyond the current investment horizon and will require deliberate action to build. The purpose of this assessment is not to audit shortcomings but to provide the Ministry of Lands and Natural Resources and the Ministry of Environment, Science, </w:t>
      </w:r>
      <w:r w:rsidR="00EA0EA0">
        <w:t xml:space="preserve">and </w:t>
      </w:r>
      <w:r>
        <w:t>Technology</w:t>
      </w:r>
      <w:r w:rsidR="00EA0EA0">
        <w:t xml:space="preserve"> </w:t>
      </w:r>
      <w:r>
        <w:t>(MEST) with an accurate foundation for planning the MRV system’s next operational phase.</w:t>
      </w:r>
    </w:p>
    <w:p w14:paraId="105507F5" w14:textId="77777777" w:rsidR="00EB2F85" w:rsidRDefault="000D3473">
      <w:r>
        <w:pict w14:anchorId="48C9823F">
          <v:rect id="Rectangle 3957" o:spid="_x0000_s1030"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7F6" w14:textId="2ED2DE08" w:rsidR="00EB2F85" w:rsidRDefault="00FB4AF3">
      <w:pPr>
        <w:pStyle w:val="Heading2"/>
      </w:pPr>
      <w:bookmarkStart w:id="108" w:name="Xfcd2224622c9aa41d6809db8399257454dc0a4b"/>
      <w:bookmarkStart w:id="109" w:name="_Toc226178040"/>
      <w:r>
        <w:t>8</w:t>
      </w:r>
      <w:r w:rsidR="00000000">
        <w:t>.2 Maturity Assessment — By Institutional Tier</w:t>
      </w:r>
      <w:bookmarkEnd w:id="108"/>
      <w:bookmarkEnd w:id="109"/>
    </w:p>
    <w:p w14:paraId="105507F7" w14:textId="77777777" w:rsidR="00EB2F85" w:rsidRDefault="00000000">
      <w:pPr>
        <w:pStyle w:val="Heading3"/>
      </w:pPr>
      <w:bookmarkStart w:id="110" w:name="community-tier"/>
      <w:r>
        <w:t>Community Tier</w:t>
      </w:r>
      <w:bookmarkEnd w:id="110"/>
    </w:p>
    <w:p w14:paraId="105507F8" w14:textId="64CC8064" w:rsidR="00EB2F85" w:rsidRDefault="00000000">
      <w:pPr>
        <w:pStyle w:val="FirstParagraph"/>
      </w:pPr>
      <w:r>
        <w:t>The community tier of Ghana’s National Blue Carbon MRV Framework is defined by two interdependent institutional elements: the CREMAs</w:t>
      </w:r>
      <w:r w:rsidR="00EA0EA0">
        <w:t>,</w:t>
      </w:r>
      <w:r>
        <w:t xml:space="preserve"> established as the formal governance bodies through which communities manage their coastal resources and enter into carbon market arrangements and the CCAs, who serve as the operational field arm of community-level monitoring. The baseline assessment phase has advanced both elements substantively, while leaving the formalisation work that would make them independently operable without continued external facilitation still incomplete.</w:t>
      </w:r>
    </w:p>
    <w:p w14:paraId="105507F9" w14:textId="16BDF456" w:rsidR="00EB2F85" w:rsidRDefault="00000000">
      <w:pPr>
        <w:pStyle w:val="BodyText"/>
      </w:pPr>
      <w:r>
        <w:t xml:space="preserve">What is in place is more substantial than a zero-baseline assessment would suggest. At all three sites </w:t>
      </w:r>
      <w:r w:rsidR="00EA0EA0">
        <w:t>i.e.</w:t>
      </w:r>
      <w:r>
        <w:t xml:space="preserve"> the Keta Lagoon Complex, the Songor Ramsar Site, and the Muni-Pomadze Ramsar Site</w:t>
      </w:r>
      <w:r w:rsidR="00EA0EA0">
        <w:t xml:space="preserve">, </w:t>
      </w:r>
      <w:r>
        <w:t xml:space="preserve">CCAs have been identified through community nomination processes, trained in field data collection protocols during the December </w:t>
      </w:r>
      <w:r>
        <w:lastRenderedPageBreak/>
        <w:t>2025 assessment programme, and demonstrated in practice their capacity to mobilise community groups, navigate local governance dynamics, and collect standardised environmental data. The training investment made during the assessment phase has created a cadre of field-competent local monitors at each early action hub</w:t>
      </w:r>
      <w:r w:rsidR="00EA0EA0">
        <w:t xml:space="preserve"> but require enhancement and scaling</w:t>
      </w:r>
      <w:r>
        <w:t>.</w:t>
      </w:r>
    </w:p>
    <w:p w14:paraId="409F9C53" w14:textId="77777777" w:rsidR="004607B3" w:rsidRDefault="00000000">
      <w:pPr>
        <w:pStyle w:val="BodyText"/>
      </w:pPr>
      <w:r>
        <w:t xml:space="preserve">CREMA </w:t>
      </w:r>
      <w:r w:rsidR="00EA0EA0">
        <w:t xml:space="preserve">or Natural Resource Management structures </w:t>
      </w:r>
      <w:r>
        <w:t xml:space="preserve">exist </w:t>
      </w:r>
      <w:r w:rsidR="00EA0EA0">
        <w:t xml:space="preserve">at varying stages </w:t>
      </w:r>
      <w:r>
        <w:t>at all three sites in nascent form.</w:t>
      </w:r>
      <w:r w:rsidR="00EA0EA0">
        <w:t xml:space="preserve"> </w:t>
      </w:r>
      <w:r>
        <w:t xml:space="preserve">What is actively maturing is the formalisation of these structures into legally recognised and independently functional governance entities. Formal CREMA constitutions and by-laws are in preparation at multiple sites but have not been submitted for the gazettement process that would give them statutory force under the Wildlife Resources Management Act, 2023 (Act 1115). </w:t>
      </w:r>
    </w:p>
    <w:p w14:paraId="74660F7C" w14:textId="77777777" w:rsidR="004607B3" w:rsidRDefault="00000000">
      <w:pPr>
        <w:pStyle w:val="BodyText"/>
      </w:pPr>
      <w:r>
        <w:t xml:space="preserve">The CCA data collection capacity established during the assessment period is real and demonstrated, but it has not yet transitioned from assessment-period activity </w:t>
      </w:r>
      <w:r w:rsidR="004607B3">
        <w:t xml:space="preserve">i.e. </w:t>
      </w:r>
      <w:r>
        <w:t xml:space="preserve">conducted within a structured programme with external coordination support to routine quarterly practice operated by communities themselves. </w:t>
      </w:r>
    </w:p>
    <w:p w14:paraId="105507FB" w14:textId="2BC1D553" w:rsidR="00EB2F85" w:rsidRDefault="00000000">
      <w:pPr>
        <w:pStyle w:val="BodyText"/>
      </w:pPr>
      <w:r>
        <w:t>The critical prerequisite that no amount of community capacity can resolve without national action is the finalisation of the CREMA Legislative Instrument (LI), currently under development but not yet passed by Parliament, whose absence creates legal uncertainty around the CREMA governance, and benefit-sharing processes that all three sites are attempting to advance.</w:t>
      </w:r>
    </w:p>
    <w:p w14:paraId="105507FC" w14:textId="77777777" w:rsidR="00EB2F85" w:rsidRDefault="00000000">
      <w:pPr>
        <w:pStyle w:val="BodyText"/>
      </w:pPr>
      <w:r>
        <w:t>What requires investment is the completion of CREMA formation and legal recognition at all three sites; the formalisation of CCA roles within CREMA structures, providing them with the terms of reference, performance-based support, and tools they need to sustain monitoring quality beyond the assessment period; and the transition from CCAs as project participants to CCAs as institutionally embedded community monitors whose function within the national MRV system does not depend on the continuation of any specific project contract.</w:t>
      </w:r>
    </w:p>
    <w:p w14:paraId="105507FD" w14:textId="77777777" w:rsidR="00EB2F85" w:rsidRDefault="00000000">
      <w:pPr>
        <w:pStyle w:val="Heading3"/>
      </w:pPr>
      <w:bookmarkStart w:id="111" w:name="district-tier"/>
      <w:r>
        <w:t>District Tier</w:t>
      </w:r>
      <w:bookmarkEnd w:id="111"/>
    </w:p>
    <w:p w14:paraId="105507FE" w14:textId="5F11A0AB" w:rsidR="00EB2F85" w:rsidRDefault="00000000">
      <w:pPr>
        <w:pStyle w:val="FirstParagraph"/>
      </w:pPr>
      <w:r>
        <w:t xml:space="preserve">The district </w:t>
      </w:r>
      <w:r w:rsidR="00612E65">
        <w:t>tier which</w:t>
      </w:r>
      <w:r w:rsidR="004607B3">
        <w:t xml:space="preserve"> is </w:t>
      </w:r>
      <w:r>
        <w:t>the intermediate validation and coordination layer connecting community field monitoring to national technical oversight has been engaged through the baseline assessment phase in a way that has advanced awareness without yet consolidating the operational workflows that routine MRV requires.</w:t>
      </w:r>
    </w:p>
    <w:p w14:paraId="105507FF" w14:textId="490390D7" w:rsidR="00EB2F85" w:rsidRDefault="00000000">
      <w:pPr>
        <w:pStyle w:val="BodyText"/>
      </w:pPr>
      <w:r>
        <w:t xml:space="preserve">What is in place is demonstrable. Wildlife Division officers participated in field validation activities during the December 2025 assessment, gaining direct familiarity with the monitoring protocols, the </w:t>
      </w:r>
      <w:r w:rsidR="004607B3">
        <w:t>T/</w:t>
      </w:r>
      <w:r>
        <w:t>PSP establishment process at Salo, and the wetland station network design logic that guides the Keta monitoring system. This participation means that the technical staff responsible for district-level data validation have first-hand understanding of the data collection methodology whose outputs they will be required to review and consolidate. Metropolitan, Municipal, and District Assemblies (MMDAs) in the Keta, Songor, and Muni-Pomadze districts are the designated consolidation and escalation authorities within the institutional tier architecture, and their roles within the MRV system are formally documented and understood.</w:t>
      </w:r>
    </w:p>
    <w:p w14:paraId="10550800" w14:textId="6D916A3E" w:rsidR="00EB2F85" w:rsidRDefault="00000000">
      <w:pPr>
        <w:pStyle w:val="BodyText"/>
      </w:pPr>
      <w:r>
        <w:t>What is maturing is the translation of that documented understanding into functioning data submission and validation workflows. The pathway from community CCA field return, through Wildlife Division consistency checking and cross-validation against satellite analysis, to national platform archiving</w:t>
      </w:r>
      <w:r w:rsidR="004607B3">
        <w:t xml:space="preserve">, </w:t>
      </w:r>
      <w:r>
        <w:t xml:space="preserve">validated has not yet become a routine operational cadence at any site. Wildlife Division field officers cover vast territories with inadequate staffing and limited logistical support, and the “capacity trap” documented in the governance assessment where statutory bodies are assigned clear mandates that their operational resources cannot support is an honest description of the current reality at district level across all three sites. </w:t>
      </w:r>
    </w:p>
    <w:p w14:paraId="10550801" w14:textId="7C500A29" w:rsidR="00EB2F85" w:rsidRDefault="00000000">
      <w:pPr>
        <w:pStyle w:val="BodyText"/>
      </w:pPr>
      <w:r>
        <w:lastRenderedPageBreak/>
        <w:t xml:space="preserve">What requires investment is dedicated institutional capacity within MMDAs and the Wildlife Division for ongoing MRV data management, field verification, and conflict escalation </w:t>
      </w:r>
      <w:r w:rsidR="004607B3">
        <w:t>functions. T</w:t>
      </w:r>
      <w:r>
        <w:t>he logistical and staffing resources that translate existing knowledge into sustained practice</w:t>
      </w:r>
      <w:r w:rsidR="004607B3">
        <w:t xml:space="preserve"> is crucial.</w:t>
      </w:r>
      <w:r>
        <w:t xml:space="preserve"> The Wildlife Division offices serving the Keta, Ada East, and Winneba districts each require identified MRV focal persons, with the operational budget and access to transport that quarterly data validation cycles demand. Without this investment, the district tier will function as a bottleneck in the data flow architecture rather than as the validation and quality control layer the MRV system design depends on.</w:t>
      </w:r>
    </w:p>
    <w:p w14:paraId="10550802" w14:textId="77777777" w:rsidR="00EB2F85" w:rsidRDefault="00000000">
      <w:pPr>
        <w:pStyle w:val="Heading3"/>
      </w:pPr>
      <w:bookmarkStart w:id="112" w:name="national-technical-tier"/>
      <w:r>
        <w:t>National Technical Tier</w:t>
      </w:r>
      <w:bookmarkEnd w:id="112"/>
    </w:p>
    <w:p w14:paraId="10550803" w14:textId="77777777" w:rsidR="00EB2F85" w:rsidRDefault="00000000">
      <w:pPr>
        <w:pStyle w:val="FirstParagraph"/>
      </w:pPr>
      <w:r>
        <w:t>The national technical tier represents the most advanced state of maturity in the current MRV system, reflecting the fact that the baseline assessment phase was primarily an investment in national-level institutional knowledge and methodology.</w:t>
      </w:r>
    </w:p>
    <w:p w14:paraId="4459B984" w14:textId="77777777" w:rsidR="00E4745D" w:rsidRDefault="00000000">
      <w:pPr>
        <w:pStyle w:val="BodyText"/>
      </w:pPr>
      <w:r>
        <w:t>What is firmly in place is the complete national baseline package. MLNR and MEST</w:t>
      </w:r>
      <w:r w:rsidR="00E4745D">
        <w:t xml:space="preserve"> through this assignment</w:t>
      </w:r>
      <w:r>
        <w:t xml:space="preserve"> have commissioned and received the full set of Year 0 reference documents: the geospatial mangrove extent baseline covering 30,025 hectares of coastal mangrove resource across 35 districts and 550 kilometres of coastline, classified using Harmonised Sentinel-2 imagery at 10–20 metre resolution and validated with 319 participatory ground-truth reference points; the carbon inventory assessment including the </w:t>
      </w:r>
      <w:r w:rsidR="00E4745D">
        <w:t>Temporary/</w:t>
      </w:r>
      <w:r>
        <w:t>Permanent Sample Plot</w:t>
      </w:r>
      <w:r w:rsidR="00E4745D">
        <w:t>s</w:t>
      </w:r>
      <w:r>
        <w:t xml:space="preserve"> (PSP) established at Salo in the Keta Lagoon Complex; the ecosystem health, environmental pressure, governance readiness, and socio-economic baseline reports covering 37 communities; and th</w:t>
      </w:r>
      <w:r w:rsidR="00E4745D">
        <w:t>e</w:t>
      </w:r>
      <w:r>
        <w:t xml:space="preserve"> National Blue Carbon MRV Framework design documented in this report. </w:t>
      </w:r>
    </w:p>
    <w:p w14:paraId="10550804" w14:textId="1BA2AD78" w:rsidR="00EB2F85" w:rsidRDefault="00000000">
      <w:pPr>
        <w:pStyle w:val="BodyText"/>
      </w:pPr>
      <w:r>
        <w:t xml:space="preserve">The national monitoring methodology is fully documented. The institutional roles and responsibilities are formally assigned. The carbon accounting protocol is published and aligned with the Intergovernmental Panel on Climate Change (IPCC) Wetlands Supplement. The spatial data architecture is defined </w:t>
      </w:r>
      <w:r w:rsidR="00E4745D">
        <w:t>for continuous monitoring is defined in the Drone Survey and EOSDA Continuous Monitoring Report</w:t>
      </w:r>
      <w:r>
        <w:t>. Ghana enters the operational phase of MRV implementation with a more complete national baseline package than most countries at an equivalent stage of blue carbon programme development.</w:t>
      </w:r>
    </w:p>
    <w:p w14:paraId="10550805" w14:textId="4437B27D" w:rsidR="00EB2F85" w:rsidRDefault="00000000">
      <w:pPr>
        <w:pStyle w:val="BodyText"/>
      </w:pPr>
      <w:r>
        <w:t xml:space="preserve">What is </w:t>
      </w:r>
      <w:r w:rsidR="00E4745D">
        <w:t xml:space="preserve">not present and outside the scope of this assignment </w:t>
      </w:r>
      <w:r>
        <w:t>is the digital infrastructure through which that baseline is operationalised for continuous monitoring</w:t>
      </w:r>
      <w:r w:rsidR="00E4745D">
        <w:t xml:space="preserve"> on a webapp</w:t>
      </w:r>
      <w:r>
        <w:t xml:space="preserve">. </w:t>
      </w:r>
    </w:p>
    <w:p w14:paraId="10550807" w14:textId="77777777" w:rsidR="00EB2F85" w:rsidRDefault="00000000">
      <w:pPr>
        <w:pStyle w:val="Heading3"/>
      </w:pPr>
      <w:bookmarkStart w:id="113" w:name="independent-review-tier"/>
      <w:r>
        <w:t>Independent Review Tier</w:t>
      </w:r>
      <w:bookmarkEnd w:id="113"/>
    </w:p>
    <w:p w14:paraId="10550808" w14:textId="1CB96C29" w:rsidR="00EB2F85" w:rsidRDefault="00000000">
      <w:pPr>
        <w:pStyle w:val="FirstParagraph"/>
      </w:pPr>
      <w:r>
        <w:t xml:space="preserve">The independent review tier occupies a distinct position in the maturity assessment: it is the only tier that is not yet relevant to the current operational </w:t>
      </w:r>
      <w:r w:rsidR="00E4745D">
        <w:t>phase,</w:t>
      </w:r>
      <w:r>
        <w:t xml:space="preserve"> but whose architecture must be established now if carbon market participation is to become a realistic near-term objective.</w:t>
      </w:r>
    </w:p>
    <w:p w14:paraId="10550809" w14:textId="43C883A1" w:rsidR="00EB2F85" w:rsidRDefault="00000000">
      <w:pPr>
        <w:pStyle w:val="BodyText"/>
      </w:pPr>
      <w:r>
        <w:t>What is in place is the framework definition. The MRV system design specifies when independent review applies</w:t>
      </w:r>
      <w:r w:rsidR="001D7EA9">
        <w:t>, that is</w:t>
      </w:r>
      <w:r>
        <w:t xml:space="preserve"> at the point of carbon credit issuance cycles, significant scale restoration expansion, or formal carbon market participation and what it entails: validation of carbon calculations, assessment of QA/QC documentation, review of environmental pressure integration, examination of safeguard documentation, and confirmation of methodological consistency with declared protocols. The MRV system design makes explicit that independent verification does not replace national institutional ownership but complements it when required, preserving Ghana’s institutional authority over its own blue carbon data while creating a pathway to third-party assurance for market actors.</w:t>
      </w:r>
    </w:p>
    <w:p w14:paraId="1055080A" w14:textId="0CFEE62D" w:rsidR="00EB2F85" w:rsidRDefault="00000000">
      <w:pPr>
        <w:pStyle w:val="BodyText"/>
      </w:pPr>
      <w:r>
        <w:t xml:space="preserve">What requires investment for this tier to be functional at the point it is needed is the identification of accredited verifiers with experience in West African coastal blue carbon systems, the negotiation and </w:t>
      </w:r>
      <w:r>
        <w:lastRenderedPageBreak/>
        <w:t xml:space="preserve">agreement of verification protocols with MLNR and MEST that are aligned with the Verra/VCS, Gold Standard, or Plan Vivo standards under which Ghana would most likely seek to issue credits, and the assembly of the audit trail documentation that independent review will require: georeferenced restoration site registrations, time-stamped </w:t>
      </w:r>
      <w:r w:rsidR="001D7EA9">
        <w:t>T/</w:t>
      </w:r>
      <w:r>
        <w:t>PSP measurement archives, governance composition records, and the grievance and benefit-sharing documentation that safeguard review demands. This work does not begin with the verifier engagement; it begins now, with the systematic archiving of the baseline-phase documentation that will form the historical record an independent review will need to examine.</w:t>
      </w:r>
      <w:r w:rsidR="001D7EA9">
        <w:t xml:space="preserve"> The main issue is the Digital MRV System which hosts the database is not built yet. It is part of the recommendations to strengthen institutions and systems to fully operationalize this MRV.</w:t>
      </w:r>
    </w:p>
    <w:p w14:paraId="1055080B" w14:textId="77777777" w:rsidR="00EB2F85" w:rsidRDefault="000D3473">
      <w:r>
        <w:pict w14:anchorId="772ED4B3">
          <v:rect id="Rectangle 3955" o:spid="_x0000_s1029"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80C" w14:textId="4EE47708" w:rsidR="00EB2F85" w:rsidRDefault="00FB4AF3">
      <w:pPr>
        <w:pStyle w:val="Heading2"/>
      </w:pPr>
      <w:bookmarkStart w:id="114" w:name="maturity-assessment-by-functional-layer"/>
      <w:bookmarkStart w:id="115" w:name="_Toc226178041"/>
      <w:r>
        <w:t>8</w:t>
      </w:r>
      <w:r w:rsidR="00000000">
        <w:t>.3 Maturity Assessment — By Functional Layer</w:t>
      </w:r>
      <w:bookmarkEnd w:id="114"/>
      <w:bookmarkEnd w:id="115"/>
    </w:p>
    <w:p w14:paraId="1055080D" w14:textId="77777777" w:rsidR="00EB2F85" w:rsidRDefault="00000000">
      <w:pPr>
        <w:pStyle w:val="Heading3"/>
      </w:pPr>
      <w:bookmarkStart w:id="116" w:name="layer-i-ecological-and-carbon-integrity"/>
      <w:r>
        <w:t>Layer I: Ecological and Carbon Integrity</w:t>
      </w:r>
      <w:bookmarkEnd w:id="116"/>
    </w:p>
    <w:p w14:paraId="1055080E" w14:textId="77777777" w:rsidR="00EB2F85" w:rsidRDefault="00000000">
      <w:pPr>
        <w:pStyle w:val="FirstParagraph"/>
      </w:pPr>
      <w:r>
        <w:t>Layer I is the most mature of the three functional layers as measured by baseline completeness, which is the appropriate reference point for an assessment conducted at the close of the Year 0 phase. The ecological and carbon integrity baseline is not a design aspiration; it is a completed field programme.</w:t>
      </w:r>
    </w:p>
    <w:p w14:paraId="1055080F" w14:textId="63BDD4A5" w:rsidR="00EB2F85" w:rsidRDefault="00000000">
      <w:pPr>
        <w:pStyle w:val="BodyText"/>
      </w:pPr>
      <w:r>
        <w:t>The 2025 Geospatial Mangrove Extent Baseline is complete. The national mangrove estate of 30,025 hectares has been mapped, classified, and validated, providing the Year 0 spatial reference against which all future annual extent measurements will be benchmarked. The historical deforestation rate of 2.15% per year at the Keta Lagoon Complex, and the spatial gradient of degradation that concentrates the most severe fragmentation near the highest-density fish-smoking settlements of Bomigo, Galo, and Sota, are documented as the ecological context within which the monitoring system operates.</w:t>
      </w:r>
    </w:p>
    <w:p w14:paraId="10550810" w14:textId="48E0E434" w:rsidR="00EB2F85" w:rsidRDefault="00000000">
      <w:pPr>
        <w:pStyle w:val="BodyText"/>
      </w:pPr>
      <w:r>
        <w:t xml:space="preserve">The carbon inventory is complete. The </w:t>
      </w:r>
      <w:r w:rsidR="001D7EA9">
        <w:t>T/</w:t>
      </w:r>
      <w:r>
        <w:t>PSP</w:t>
      </w:r>
      <w:r w:rsidR="001D7EA9">
        <w:t>s</w:t>
      </w:r>
      <w:r>
        <w:t xml:space="preserve"> at Salo has been established with a full Year 0 measurement set: species composition record, diameter at breast height distribution for all stems meeting the inclusion threshold, height sampling, canopy cover assessment, and soil organic carbon (SOC) cores to the IPCC Wetlands Supplement-required depth of 100</w:t>
      </w:r>
      <w:r w:rsidR="001D7EA9">
        <w:t>-30</w:t>
      </w:r>
      <w:r>
        <w:t xml:space="preserve"> centimetres. The above-ground biomass (AGB), below-ground biomass (BGB), and SOC pool baselines from the 2025 inventory provide the carbon stock anchors from which any future change detection and credit calculation will be derived.</w:t>
      </w:r>
    </w:p>
    <w:p w14:paraId="10550811" w14:textId="64951703" w:rsidR="00EB2F85" w:rsidRDefault="00000000">
      <w:pPr>
        <w:pStyle w:val="BodyText"/>
      </w:pPr>
      <w:r>
        <w:t>The annual satellite monitoring cycle</w:t>
      </w:r>
      <w:r w:rsidR="001D7EA9">
        <w:t xml:space="preserve"> is</w:t>
      </w:r>
      <w:r>
        <w:t xml:space="preserve"> the operational mechanism through which Layer I transitions from a baseline event to a continuous monitoring function </w:t>
      </w:r>
      <w:r w:rsidR="001D7EA9">
        <w:t>which</w:t>
      </w:r>
      <w:r>
        <w:t xml:space="preserve"> represents the principal maturity gap within this layer. The cycle design is specified: Sentinel-2 imagery analysis on Google Earth Engine (GEE), consistent with baseline methodology, producing annual net mangrove area change, fragmentation trends, and encroachment hotspot mapping. </w:t>
      </w:r>
    </w:p>
    <w:p w14:paraId="10550812" w14:textId="77777777" w:rsidR="00EB2F85" w:rsidRDefault="00000000">
      <w:pPr>
        <w:pStyle w:val="Heading3"/>
      </w:pPr>
      <w:bookmarkStart w:id="117" w:name="X04915944b4158210dda7291a4b63dfdbc9117f0"/>
      <w:r>
        <w:t>Layer II: Environmental Pressure Surveillance</w:t>
      </w:r>
      <w:bookmarkEnd w:id="117"/>
    </w:p>
    <w:p w14:paraId="10550813" w14:textId="77777777" w:rsidR="00EB2F85" w:rsidRDefault="00000000">
      <w:pPr>
        <w:pStyle w:val="FirstParagraph"/>
      </w:pPr>
      <w:r>
        <w:t>Layer II has achieved substantive completion at the design and baseline documentation levels, with the field surveillance transition representing the next operational stage.</w:t>
      </w:r>
    </w:p>
    <w:p w14:paraId="10550814" w14:textId="1318389B" w:rsidR="00EB2F85" w:rsidRDefault="00000000">
      <w:pPr>
        <w:pStyle w:val="BodyText"/>
      </w:pPr>
      <w:r>
        <w:t xml:space="preserve">Pressure profiles are documented for all three sites with the site-specificity that the complexity of each landscape demands. At the Keta Lagoon Complex, the five-core-indicator surveillance framework is calibrated to detect the fuelwood harvesting pressure from fish-smoking kilns, the preference for </w:t>
      </w:r>
      <w:r>
        <w:rPr>
          <w:i/>
        </w:rPr>
        <w:t>Rhizophora racemosa</w:t>
      </w:r>
      <w:r>
        <w:t xml:space="preserve"> that concentrates cutting on the highest-biomass mangrove species, the Akosombo Dam-driven sediment starvation that operates as a landscape-level structural pressure no community governance mechanism can </w:t>
      </w:r>
      <w:r>
        <w:lastRenderedPageBreak/>
        <w:t>address, and the coastal retreat dynamics that create geomorphological instability for the entire monitoring estate. These profiles are not generic; they are site-specific, community-specific, and analytically connected to the carbon risk and governance implications they generate.</w:t>
      </w:r>
    </w:p>
    <w:p w14:paraId="10550816" w14:textId="557FAFEB" w:rsidR="00EB2F85" w:rsidRDefault="00000000">
      <w:pPr>
        <w:pStyle w:val="BodyText"/>
      </w:pPr>
      <w:r>
        <w:t xml:space="preserve">What has not yet occurred is the transition to routine quarterly surveillance through CCAs and the Wildlife Division as a standing operational cadence. The five core indicators were documented and validated during a bounded assessment period; they have not yet been collected as part of an independently operating monitoring routine. </w:t>
      </w:r>
    </w:p>
    <w:p w14:paraId="10550817" w14:textId="77777777" w:rsidR="00EB2F85" w:rsidRDefault="00000000">
      <w:pPr>
        <w:pStyle w:val="Heading3"/>
      </w:pPr>
      <w:bookmarkStart w:id="118" w:name="Xe2f5d273d4887900b212326b8504fdb4f79e8e7"/>
      <w:r>
        <w:t>Layer III: Governance and Safeguard Assurance</w:t>
      </w:r>
      <w:bookmarkEnd w:id="118"/>
    </w:p>
    <w:p w14:paraId="10550818" w14:textId="6A50A24B" w:rsidR="00EB2F85" w:rsidRDefault="00000000">
      <w:pPr>
        <w:pStyle w:val="FirstParagraph"/>
      </w:pPr>
      <w:r>
        <w:t>Layer III reflects the most complex maturity picture, because the governance and safeguard indicators depend on institutions</w:t>
      </w:r>
      <w:r w:rsidR="0008406E">
        <w:t>:</w:t>
      </w:r>
      <w:r>
        <w:t xml:space="preserve"> the CREMAs, the GRMs, the inclusive governance bodies</w:t>
      </w:r>
      <w:r w:rsidR="0008406E">
        <w:t>,</w:t>
      </w:r>
      <w:r>
        <w:t xml:space="preserve"> that are themselves in formation. Layer III monitoring cannot outrun the governance reality it is designed to measure.</w:t>
      </w:r>
    </w:p>
    <w:p w14:paraId="6B50A388" w14:textId="77777777" w:rsidR="0008406E" w:rsidRDefault="00000000">
      <w:pPr>
        <w:pStyle w:val="BodyText"/>
      </w:pPr>
      <w:r>
        <w:t xml:space="preserve">The site-differentiated governance picture is documented with honesty about the asymmetry between sites. At Muni-Pomadze, where Sankor’s high community cohesion, active women’s groups, and history of engagement with the Wildlife Division’s Winneba office create conditions for rapid governance formalisation, </w:t>
      </w:r>
    </w:p>
    <w:p w14:paraId="1055081A" w14:textId="0F9E9504" w:rsidR="00EB2F85" w:rsidRDefault="00000000">
      <w:pPr>
        <w:pStyle w:val="BodyText"/>
      </w:pPr>
      <w:r>
        <w:t xml:space="preserve">Layer III monitoring indicators are likely to show progress earlier and more linearly than at other sites. </w:t>
      </w:r>
    </w:p>
    <w:p w14:paraId="1055081B" w14:textId="5EA77B09" w:rsidR="00EB2F85" w:rsidRDefault="00000000">
      <w:pPr>
        <w:pStyle w:val="BodyText"/>
      </w:pPr>
      <w:r>
        <w:t xml:space="preserve">What requires investment in Layer III is the formal establishment of GRMs at all three sites as functional institutions with documented submission pathways, designated focal persons, and escalation procedures </w:t>
      </w:r>
      <w:r w:rsidR="0008406E">
        <w:t>which can be achieved through the formailization of the CREMAs or the Natural Resource Management Groups</w:t>
      </w:r>
    </w:p>
    <w:p w14:paraId="1055081C" w14:textId="77777777" w:rsidR="00EB2F85" w:rsidRDefault="000D3473">
      <w:r>
        <w:pict w14:anchorId="78C89E4D">
          <v:rect id="Rectangle 3953" o:spid="_x0000_s1028"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81D" w14:textId="1DDBEBD0" w:rsidR="00EB2F85" w:rsidRDefault="00FB4AF3">
      <w:pPr>
        <w:pStyle w:val="Heading2"/>
      </w:pPr>
      <w:bookmarkStart w:id="119" w:name="priorities-for-the-next-12-months"/>
      <w:bookmarkStart w:id="120" w:name="_Toc226178042"/>
      <w:r>
        <w:t>8</w:t>
      </w:r>
      <w:r w:rsidR="00000000">
        <w:t>.4 Priorities for the Next 12 Months</w:t>
      </w:r>
      <w:bookmarkEnd w:id="119"/>
      <w:bookmarkEnd w:id="120"/>
    </w:p>
    <w:p w14:paraId="1055081E" w14:textId="77777777" w:rsidR="00EB2F85" w:rsidRDefault="00000000">
      <w:pPr>
        <w:pStyle w:val="FirstParagraph"/>
      </w:pPr>
      <w:r>
        <w:t>The maturity assessment identifies a small number of actions that are not simply desirable but constitute the critical path to operational MRV. Without them, the monitoring system designed and baselined during the WACA assessment phase cannot transition to the routine, institutionally self-sustaining operation that its design intends. With them, the transition from assessment phase to operational phase becomes achievable within the 2026–2027 annual cycle.</w:t>
      </w:r>
    </w:p>
    <w:p w14:paraId="1055081F" w14:textId="7878B0F6" w:rsidR="00EB2F85" w:rsidRDefault="00000000">
      <w:pPr>
        <w:pStyle w:val="BodyText"/>
      </w:pPr>
      <w:r>
        <w:t xml:space="preserve">The single most consequential enabling action is the finalisation and Parliamentary passage of the CREMA Legislative Instrument. Every community-tier maturity investment </w:t>
      </w:r>
      <w:r w:rsidR="001E4DF6">
        <w:t xml:space="preserve">i.e. </w:t>
      </w:r>
      <w:r>
        <w:t>CREMA constitution completion, bylaw gazettement, CCA formalisation within CREMA governance structures, FPIC process institutionalisation, and GRM establishment  is legally uncertain until the LI provides the regulatory framework that makes CREMA formation, governance, and benefit-sharing arrangements legally unambiguous. MLNR is the responsible ministry. The WACA project should treat LI finalisation as a programme-level milestone, not a background legal process, because its absence is the single most significant systemic risk to community-tier and Layer III operationalisation across all three sites.</w:t>
      </w:r>
    </w:p>
    <w:p w14:paraId="10550820" w14:textId="356410B3" w:rsidR="00EB2F85" w:rsidRDefault="00000000">
      <w:pPr>
        <w:pStyle w:val="BodyText"/>
      </w:pPr>
      <w:r>
        <w:t xml:space="preserve">The second priority is the formal operationalisation of the annual satellite monitoring cycle as a standing government function. This requires that MLNR or the Forestry Commission designate named staff with the GIS and remote sensing competence to conduct annual Sentinel-2 mangrove extent analysis consistent with the Year 0 baseline methodology, produce the annual net change outputs and fragmentation trend summaries that the national MRV reporting framework requires, and archive the outputs in the national platform under version-controlled records. The technical methodology is established; what is required is the institutional </w:t>
      </w:r>
      <w:r>
        <w:lastRenderedPageBreak/>
        <w:t>ownership</w:t>
      </w:r>
      <w:r w:rsidR="00612E65">
        <w:t xml:space="preserve">, </w:t>
      </w:r>
      <w:r>
        <w:t>recurrent budget allocation that transforms a project activity into a national monitoring function</w:t>
      </w:r>
      <w:r w:rsidR="00612E65">
        <w:t xml:space="preserve"> and most importantly, the database for achieving which could be subsumed and managed effectively through the MRV System WebApp</w:t>
      </w:r>
      <w:r>
        <w:t>.</w:t>
      </w:r>
    </w:p>
    <w:p w14:paraId="10550821" w14:textId="18BBA309" w:rsidR="00EB2F85" w:rsidRDefault="00000000">
      <w:pPr>
        <w:pStyle w:val="BodyText"/>
      </w:pPr>
      <w:r>
        <w:t>The third priority is the transition of CCA monitoring from assessment-period engagement to routine quarterly practice. This requires, at minimum, the provision of adequate field equipment</w:t>
      </w:r>
      <w:r w:rsidR="00612E65">
        <w:t>;</w:t>
      </w:r>
      <w:r>
        <w:t xml:space="preserve"> calibrated multi-parameter water quality instruments and soil analysis devices of the type used during the December 2025 training programme</w:t>
      </w:r>
      <w:r w:rsidR="00612E65">
        <w:t xml:space="preserve">, </w:t>
      </w:r>
      <w:r>
        <w:t>The Wildlife Division offices at the relevant districts</w:t>
      </w:r>
      <w:r w:rsidR="00612E65">
        <w:t>;</w:t>
      </w:r>
      <w:r>
        <w:t xml:space="preserve"> Keta Municipal, Ada East, and Efutu Municipal are the responsible entities, and each requires the </w:t>
      </w:r>
      <w:r w:rsidR="00612E65">
        <w:t xml:space="preserve">training, equipment and </w:t>
      </w:r>
      <w:r>
        <w:t>logistical budget for regular field validation visits that the current operational funding does not consistently provide.</w:t>
      </w:r>
    </w:p>
    <w:p w14:paraId="10550823" w14:textId="74F261ED" w:rsidR="00EB2F85" w:rsidRDefault="00000000">
      <w:pPr>
        <w:pStyle w:val="BodyText"/>
      </w:pPr>
      <w:r>
        <w:t>The f</w:t>
      </w:r>
      <w:r w:rsidR="00612E65">
        <w:t>ourth</w:t>
      </w:r>
      <w:r>
        <w:t xml:space="preserve"> priority is the completion of the digital platform build to a level that supports the basic data flow functions the MRV system requires: CCA field data submission, district validation logging, and national archive access. The platform under </w:t>
      </w:r>
      <w:r w:rsidR="00612E65">
        <w:t xml:space="preserve">question would </w:t>
      </w:r>
      <w:r>
        <w:t>provide</w:t>
      </w:r>
      <w:r w:rsidR="00612E65">
        <w:t xml:space="preserve"> </w:t>
      </w:r>
      <w:r>
        <w:t>the architecture for an investment-grade system with advanced analytics, spatial visualisation, and change detection alert functions. In the near term, the minimum viable platform is one that securely receives, timestamps, validates, and archives the quarterly field submissions from all three sites and makes them accessible to national-level users. This functionality is achievable within the current development trajectory and should be the platform milestone against which the first operational monitoring cycle is measured.</w:t>
      </w:r>
    </w:p>
    <w:p w14:paraId="10550824" w14:textId="77777777" w:rsidR="00EB2F85" w:rsidRDefault="000D3473">
      <w:r>
        <w:pict w14:anchorId="462D1E3B">
          <v:rect id="Rectangle 3951" o:spid="_x0000_s1027"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0550825" w14:textId="7C32146A" w:rsidR="00EB2F85" w:rsidRDefault="00FB4AF3">
      <w:pPr>
        <w:pStyle w:val="Heading2"/>
      </w:pPr>
      <w:bookmarkStart w:id="121" w:name="the-mrv-systems-long-term-trajectory"/>
      <w:bookmarkStart w:id="122" w:name="_Toc226178043"/>
      <w:r>
        <w:t>8</w:t>
      </w:r>
      <w:r w:rsidR="00000000">
        <w:t>.5 The MRV System’s Long-Term Trajectory</w:t>
      </w:r>
      <w:bookmarkEnd w:id="121"/>
      <w:bookmarkEnd w:id="122"/>
    </w:p>
    <w:p w14:paraId="10550826" w14:textId="36C36807" w:rsidR="00EB2F85" w:rsidRDefault="00000000">
      <w:pPr>
        <w:pStyle w:val="FirstParagraph"/>
      </w:pPr>
      <w:r>
        <w:t>A mature national blue carbon MRV system for Ghana looks different from what exists today, but the distance between those two points is not as great as it might appear from a single measurement of what remains to be built. The architecture has been designed. The methodology has been established. The Year 0 baseline has been laid. The communities who will be the system’s operational frontline have been engaged, trained, and demonstrated their capacity</w:t>
      </w:r>
      <w:r w:rsidR="00612E65">
        <w:t xml:space="preserve"> (partially)</w:t>
      </w:r>
      <w:r>
        <w:t>. The national institutions that will own the system have received the complete baseline package and made a formal government commitment to the monitoring framework it describes. These are not small things; they are the foundations that cannot be constructed in a single phase of investment and whose absence is the reason most countries at comparable levels of blue carbon potential have not reached even this starting point.</w:t>
      </w:r>
    </w:p>
    <w:p w14:paraId="10550827" w14:textId="4B6853EF" w:rsidR="00EB2F85" w:rsidRDefault="00000000">
      <w:pPr>
        <w:pStyle w:val="BodyText"/>
      </w:pPr>
      <w:r>
        <w:t xml:space="preserve">When fully mature the system will operate as follows. At each of the three Ramsar sites, a legally recognised and functioning CREMA will submit quarterly monitoring returns, covering Layer I restoration survival data, Layer II cutting and pressure signals, and Layer III governance composition and grievance records, to their respective district Wildlife Division offices. Annual Sentinel-2 extent updates, processed by a national GIS team within MLNR, will be published on the web-based spatial monitoring platform as a standing national reporting product. The </w:t>
      </w:r>
      <w:r w:rsidR="00E75CA9">
        <w:t>T/</w:t>
      </w:r>
      <w:r>
        <w:t>PSP</w:t>
      </w:r>
      <w:r w:rsidR="00E75CA9">
        <w:t>s</w:t>
      </w:r>
      <w:r>
        <w:t xml:space="preserve"> at Salo will have completed its first re-measurement cycle, and </w:t>
      </w:r>
      <w:r w:rsidR="00E75CA9">
        <w:t>T/</w:t>
      </w:r>
      <w:r>
        <w:t>PSP installations at Songor and Muni-Pomadze will have extended the carbon monitoring network to the full three-site scope that the national framework defines. An Annual National Blue Carbon MRV Report, consolidating field, satellite, and governance monitoring data, will be issued by MLNR and MEST</w:t>
      </w:r>
      <w:r w:rsidR="00E75CA9">
        <w:t xml:space="preserve"> </w:t>
      </w:r>
      <w:r>
        <w:t>as a formal government document, providing the transparency that government, development partners, and carbon credit buyers require.</w:t>
      </w:r>
    </w:p>
    <w:p w14:paraId="10550828" w14:textId="6F6424F2" w:rsidR="00EB2F85" w:rsidRDefault="00000000">
      <w:pPr>
        <w:pStyle w:val="BodyText"/>
      </w:pPr>
      <w:r>
        <w:t xml:space="preserve">The investment in the WACA baseline assessment phase has created something of genuine institutional durability: a documented national methodology, a </w:t>
      </w:r>
      <w:r w:rsidR="00E75CA9">
        <w:t xml:space="preserve">partially </w:t>
      </w:r>
      <w:r>
        <w:t xml:space="preserve">trained community workforce, a completed ecological and carbon baseline, and a governance architecture designed to outlast the project cycle that </w:t>
      </w:r>
      <w:r>
        <w:lastRenderedPageBreak/>
        <w:t xml:space="preserve">funded its design. The MRV system is not a project mechanism; it is a national framework whose value accumulates with each operational year added to the monitoring record. A five-year monitoring series is worth more than a Year 0 baseline alone; a ten-year series, anchored by a first </w:t>
      </w:r>
      <w:r w:rsidR="00227C3F">
        <w:t>T/</w:t>
      </w:r>
      <w:r>
        <w:t>PSP re-measurement cycle and capable of demonstrating verifiable carbon stock trends, is worth more still. Ghana’s position in the blue carbon landscape</w:t>
      </w:r>
      <w:r w:rsidR="00E75CA9">
        <w:t xml:space="preserve">; </w:t>
      </w:r>
      <w:r>
        <w:t>as a country with the methodological rigour, institutional commitment, and community engagement depth to generate credible blue carbon accounting</w:t>
      </w:r>
      <w:r w:rsidR="00E75CA9">
        <w:t>,</w:t>
      </w:r>
      <w:r>
        <w:t xml:space="preserve"> will be determined not by the ambition of the framework that has been designed but by the consistency of the monitoring practice that the next phase of implementation builds. </w:t>
      </w:r>
    </w:p>
    <w:p w14:paraId="10550829" w14:textId="77777777" w:rsidR="00EB2F85" w:rsidRDefault="000D3473">
      <w:r>
        <w:pict w14:anchorId="2A2155AE">
          <v:rect id="Rectangle 3949"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sectPr w:rsidR="00EB2F8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4726" w14:textId="77777777" w:rsidR="000D3473" w:rsidRDefault="000D3473">
      <w:pPr>
        <w:spacing w:after="0"/>
      </w:pPr>
      <w:r>
        <w:separator/>
      </w:r>
    </w:p>
  </w:endnote>
  <w:endnote w:type="continuationSeparator" w:id="0">
    <w:p w14:paraId="5033FB46" w14:textId="77777777" w:rsidR="000D3473" w:rsidRDefault="000D34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026F4" w14:textId="77777777" w:rsidR="000D3473" w:rsidRDefault="000D3473">
      <w:r>
        <w:separator/>
      </w:r>
    </w:p>
  </w:footnote>
  <w:footnote w:type="continuationSeparator" w:id="0">
    <w:p w14:paraId="263F0852" w14:textId="77777777" w:rsidR="000D3473" w:rsidRDefault="000D34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AC801E6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4578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8406E"/>
    <w:rsid w:val="000D2D8E"/>
    <w:rsid w:val="000D3473"/>
    <w:rsid w:val="00117331"/>
    <w:rsid w:val="00123C0D"/>
    <w:rsid w:val="00126A77"/>
    <w:rsid w:val="001A065C"/>
    <w:rsid w:val="001D7EA9"/>
    <w:rsid w:val="001E4DF6"/>
    <w:rsid w:val="00224D18"/>
    <w:rsid w:val="00227C3F"/>
    <w:rsid w:val="002902C4"/>
    <w:rsid w:val="00291E39"/>
    <w:rsid w:val="002B1FC1"/>
    <w:rsid w:val="003608DE"/>
    <w:rsid w:val="003A6B74"/>
    <w:rsid w:val="003A7DE6"/>
    <w:rsid w:val="004607B3"/>
    <w:rsid w:val="004700B3"/>
    <w:rsid w:val="00471A32"/>
    <w:rsid w:val="004D5DD2"/>
    <w:rsid w:val="004E29B3"/>
    <w:rsid w:val="00513E97"/>
    <w:rsid w:val="0054309E"/>
    <w:rsid w:val="00544C24"/>
    <w:rsid w:val="0056617D"/>
    <w:rsid w:val="00590D07"/>
    <w:rsid w:val="005A52C3"/>
    <w:rsid w:val="00612E65"/>
    <w:rsid w:val="006445A5"/>
    <w:rsid w:val="006661DF"/>
    <w:rsid w:val="006A1EC5"/>
    <w:rsid w:val="00714D0A"/>
    <w:rsid w:val="00751F28"/>
    <w:rsid w:val="00784D58"/>
    <w:rsid w:val="007C4BA6"/>
    <w:rsid w:val="007D4BD8"/>
    <w:rsid w:val="008477E0"/>
    <w:rsid w:val="008D6863"/>
    <w:rsid w:val="008F7306"/>
    <w:rsid w:val="00955772"/>
    <w:rsid w:val="009802FE"/>
    <w:rsid w:val="009B4608"/>
    <w:rsid w:val="00A678EB"/>
    <w:rsid w:val="00A827F8"/>
    <w:rsid w:val="00A902BD"/>
    <w:rsid w:val="00A910B0"/>
    <w:rsid w:val="00AE66EF"/>
    <w:rsid w:val="00B64431"/>
    <w:rsid w:val="00B86B75"/>
    <w:rsid w:val="00BB72AA"/>
    <w:rsid w:val="00BC48D5"/>
    <w:rsid w:val="00BF2310"/>
    <w:rsid w:val="00C1042A"/>
    <w:rsid w:val="00C36279"/>
    <w:rsid w:val="00C50695"/>
    <w:rsid w:val="00C9511C"/>
    <w:rsid w:val="00CD0618"/>
    <w:rsid w:val="00D318B3"/>
    <w:rsid w:val="00DE7850"/>
    <w:rsid w:val="00E315A3"/>
    <w:rsid w:val="00E4745D"/>
    <w:rsid w:val="00E75CA9"/>
    <w:rsid w:val="00EA0EA0"/>
    <w:rsid w:val="00EA1B7E"/>
    <w:rsid w:val="00EB2F85"/>
    <w:rsid w:val="00ED224F"/>
    <w:rsid w:val="00F143A4"/>
    <w:rsid w:val="00FB4AF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5"/>
    <o:shapelayout v:ext="edit">
      <o:idmap v:ext="edit" data="1"/>
    </o:shapelayout>
  </w:shapeDefaults>
  <w:decimalSymbol w:val="."/>
  <w:listSeparator w:val=","/>
  <w14:docId w14:val="10550561"/>
  <w15:docId w15:val="{876A4EC8-6B67-4C0B-9243-6B026B19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0" w:defSemiHidden="0" w:defUnhideWhenUsed="0" w:defQFormat="0" w:count="376">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B74"/>
  </w:style>
  <w:style w:type="paragraph" w:styleId="Heading1">
    <w:name w:val="heading 1"/>
    <w:basedOn w:val="Normal"/>
    <w:next w:val="Normal"/>
    <w:link w:val="Heading1Char"/>
    <w:uiPriority w:val="9"/>
    <w:qFormat/>
    <w:rsid w:val="003A6B74"/>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3A6B74"/>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3A6B74"/>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3A6B74"/>
    <w:pPr>
      <w:spacing w:before="240" w:after="0"/>
      <w:jc w:val="left"/>
      <w:outlineLvl w:val="3"/>
    </w:pPr>
    <w:rPr>
      <w:smallCaps/>
      <w:spacing w:val="10"/>
      <w:sz w:val="22"/>
      <w:szCs w:val="22"/>
    </w:rPr>
  </w:style>
  <w:style w:type="paragraph" w:styleId="Heading5">
    <w:name w:val="heading 5"/>
    <w:basedOn w:val="Normal"/>
    <w:next w:val="Normal"/>
    <w:link w:val="Heading5Char"/>
    <w:uiPriority w:val="9"/>
    <w:unhideWhenUsed/>
    <w:qFormat/>
    <w:rsid w:val="003A6B74"/>
    <w:pPr>
      <w:spacing w:before="200" w:after="0"/>
      <w:jc w:val="left"/>
      <w:outlineLvl w:val="4"/>
    </w:pPr>
    <w:rPr>
      <w:smallCaps/>
      <w:color w:val="943634" w:themeColor="accent2" w:themeShade="BF"/>
      <w:spacing w:val="10"/>
      <w:sz w:val="22"/>
      <w:szCs w:val="26"/>
    </w:rPr>
  </w:style>
  <w:style w:type="paragraph" w:styleId="Heading6">
    <w:name w:val="heading 6"/>
    <w:basedOn w:val="Normal"/>
    <w:next w:val="Normal"/>
    <w:link w:val="Heading6Char"/>
    <w:uiPriority w:val="9"/>
    <w:unhideWhenUsed/>
    <w:qFormat/>
    <w:rsid w:val="003A6B74"/>
    <w:pPr>
      <w:spacing w:after="0"/>
      <w:jc w:val="left"/>
      <w:outlineLvl w:val="5"/>
    </w:pPr>
    <w:rPr>
      <w:smallCaps/>
      <w:color w:val="C0504D" w:themeColor="accent2"/>
      <w:spacing w:val="5"/>
      <w:sz w:val="22"/>
    </w:rPr>
  </w:style>
  <w:style w:type="paragraph" w:styleId="Heading7">
    <w:name w:val="heading 7"/>
    <w:basedOn w:val="Normal"/>
    <w:next w:val="Normal"/>
    <w:link w:val="Heading7Char"/>
    <w:uiPriority w:val="9"/>
    <w:unhideWhenUsed/>
    <w:qFormat/>
    <w:rsid w:val="003A6B74"/>
    <w:pPr>
      <w:spacing w:after="0"/>
      <w:jc w:val="left"/>
      <w:outlineLvl w:val="6"/>
    </w:pPr>
    <w:rPr>
      <w:b/>
      <w:smallCaps/>
      <w:color w:val="C0504D" w:themeColor="accent2"/>
      <w:spacing w:val="10"/>
    </w:rPr>
  </w:style>
  <w:style w:type="paragraph" w:styleId="Heading8">
    <w:name w:val="heading 8"/>
    <w:basedOn w:val="Normal"/>
    <w:next w:val="Normal"/>
    <w:link w:val="Heading8Char"/>
    <w:uiPriority w:val="9"/>
    <w:unhideWhenUsed/>
    <w:qFormat/>
    <w:rsid w:val="003A6B74"/>
    <w:pPr>
      <w:spacing w:after="0"/>
      <w:jc w:val="left"/>
      <w:outlineLvl w:val="7"/>
    </w:pPr>
    <w:rPr>
      <w:b/>
      <w:i/>
      <w:smallCaps/>
      <w:color w:val="943634" w:themeColor="accent2" w:themeShade="BF"/>
    </w:rPr>
  </w:style>
  <w:style w:type="paragraph" w:styleId="Heading9">
    <w:name w:val="heading 9"/>
    <w:basedOn w:val="Normal"/>
    <w:next w:val="Normal"/>
    <w:link w:val="Heading9Char"/>
    <w:uiPriority w:val="9"/>
    <w:unhideWhenUsed/>
    <w:qFormat/>
    <w:rsid w:val="003A6B74"/>
    <w:pPr>
      <w:spacing w:after="0"/>
      <w:jc w:val="left"/>
      <w:outlineLvl w:val="8"/>
    </w:pPr>
    <w:rPr>
      <w:b/>
      <w:i/>
      <w:smallCaps/>
      <w:color w:val="622423"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Normal"/>
    <w:link w:val="TitleChar"/>
    <w:uiPriority w:val="10"/>
    <w:qFormat/>
    <w:rsid w:val="003A6B74"/>
    <w:pPr>
      <w:pBdr>
        <w:top w:val="single" w:sz="12" w:space="1" w:color="C0504D" w:themeColor="accent2"/>
      </w:pBdr>
      <w:spacing w:line="240" w:lineRule="auto"/>
      <w:jc w:val="right"/>
    </w:pPr>
    <w:rPr>
      <w:smallCaps/>
      <w:sz w:val="48"/>
      <w:szCs w:val="48"/>
    </w:rPr>
  </w:style>
  <w:style w:type="paragraph" w:styleId="Subtitle">
    <w:name w:val="Subtitle"/>
    <w:basedOn w:val="Normal"/>
    <w:next w:val="Normal"/>
    <w:link w:val="SubtitleChar"/>
    <w:uiPriority w:val="11"/>
    <w:qFormat/>
    <w:rsid w:val="003A6B74"/>
    <w:pPr>
      <w:spacing w:after="720" w:line="240" w:lineRule="auto"/>
      <w:jc w:val="right"/>
    </w:pPr>
    <w:rPr>
      <w:rFonts w:asciiTheme="majorHAnsi" w:eastAsiaTheme="majorEastAsia" w:hAnsiTheme="majorHAnsi" w:cstheme="majorBidi"/>
      <w:szCs w:val="22"/>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3A6B74"/>
    <w:rPr>
      <w:b/>
      <w:bCs/>
      <w:caps/>
      <w:sz w:val="16"/>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aps/>
      <w:sz w:val="16"/>
      <w:szCs w:val="18"/>
    </w:rPr>
  </w:style>
  <w:style w:type="character" w:customStyle="1" w:styleId="VerbatimChar">
    <w:name w:val="Verbatim Char"/>
    <w:basedOn w:val="CaptionChar"/>
    <w:link w:val="SourceCode"/>
    <w:rPr>
      <w:rFonts w:ascii="Consolas" w:hAnsi="Consolas"/>
      <w:b/>
      <w:bCs/>
      <w:caps/>
      <w:sz w:val="22"/>
      <w:szCs w:val="18"/>
    </w:rPr>
  </w:style>
  <w:style w:type="character" w:styleId="FootnoteReference">
    <w:name w:val="footnote reference"/>
    <w:basedOn w:val="CaptionChar"/>
    <w:rPr>
      <w:b/>
      <w:bCs/>
      <w:caps/>
      <w:sz w:val="16"/>
      <w:szCs w:val="18"/>
      <w:vertAlign w:val="superscript"/>
    </w:rPr>
  </w:style>
  <w:style w:type="character" w:styleId="Hyperlink">
    <w:name w:val="Hyperlink"/>
    <w:basedOn w:val="CaptionChar"/>
    <w:uiPriority w:val="99"/>
    <w:rPr>
      <w:b/>
      <w:bCs/>
      <w:caps/>
      <w:color w:val="4F81BD" w:themeColor="accent1"/>
      <w:sz w:val="16"/>
      <w:szCs w:val="18"/>
    </w:rPr>
  </w:style>
  <w:style w:type="paragraph" w:styleId="TOCHeading">
    <w:name w:val="TOC Heading"/>
    <w:basedOn w:val="Heading1"/>
    <w:next w:val="Normal"/>
    <w:uiPriority w:val="39"/>
    <w:unhideWhenUsed/>
    <w:qFormat/>
    <w:rsid w:val="003A6B74"/>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aps/>
      <w:color w:val="007020"/>
      <w:sz w:val="22"/>
      <w:szCs w:val="18"/>
    </w:rPr>
  </w:style>
  <w:style w:type="character" w:customStyle="1" w:styleId="DataTypeTok">
    <w:name w:val="DataTypeTok"/>
    <w:basedOn w:val="VerbatimChar"/>
    <w:rPr>
      <w:rFonts w:ascii="Consolas" w:hAnsi="Consolas"/>
      <w:b/>
      <w:bCs/>
      <w:caps/>
      <w:color w:val="902000"/>
      <w:sz w:val="22"/>
      <w:szCs w:val="18"/>
    </w:rPr>
  </w:style>
  <w:style w:type="character" w:customStyle="1" w:styleId="DecValTok">
    <w:name w:val="DecValTok"/>
    <w:basedOn w:val="VerbatimChar"/>
    <w:rPr>
      <w:rFonts w:ascii="Consolas" w:hAnsi="Consolas"/>
      <w:b/>
      <w:bCs/>
      <w:caps/>
      <w:color w:val="40A070"/>
      <w:sz w:val="22"/>
      <w:szCs w:val="18"/>
    </w:rPr>
  </w:style>
  <w:style w:type="character" w:customStyle="1" w:styleId="BaseNTok">
    <w:name w:val="BaseNTok"/>
    <w:basedOn w:val="VerbatimChar"/>
    <w:rPr>
      <w:rFonts w:ascii="Consolas" w:hAnsi="Consolas"/>
      <w:b/>
      <w:bCs/>
      <w:caps/>
      <w:color w:val="40A070"/>
      <w:sz w:val="22"/>
      <w:szCs w:val="18"/>
    </w:rPr>
  </w:style>
  <w:style w:type="character" w:customStyle="1" w:styleId="FloatTok">
    <w:name w:val="FloatTok"/>
    <w:basedOn w:val="VerbatimChar"/>
    <w:rPr>
      <w:rFonts w:ascii="Consolas" w:hAnsi="Consolas"/>
      <w:b/>
      <w:bCs/>
      <w:caps/>
      <w:color w:val="40A070"/>
      <w:sz w:val="22"/>
      <w:szCs w:val="18"/>
    </w:rPr>
  </w:style>
  <w:style w:type="character" w:customStyle="1" w:styleId="ConstantTok">
    <w:name w:val="ConstantTok"/>
    <w:basedOn w:val="VerbatimChar"/>
    <w:rPr>
      <w:rFonts w:ascii="Consolas" w:hAnsi="Consolas"/>
      <w:b/>
      <w:bCs/>
      <w:caps/>
      <w:color w:val="880000"/>
      <w:sz w:val="22"/>
      <w:szCs w:val="18"/>
    </w:rPr>
  </w:style>
  <w:style w:type="character" w:customStyle="1" w:styleId="CharTok">
    <w:name w:val="CharTok"/>
    <w:basedOn w:val="VerbatimChar"/>
    <w:rPr>
      <w:rFonts w:ascii="Consolas" w:hAnsi="Consolas"/>
      <w:b/>
      <w:bCs/>
      <w:caps/>
      <w:color w:val="4070A0"/>
      <w:sz w:val="22"/>
      <w:szCs w:val="18"/>
    </w:rPr>
  </w:style>
  <w:style w:type="character" w:customStyle="1" w:styleId="SpecialCharTok">
    <w:name w:val="SpecialCharTok"/>
    <w:basedOn w:val="VerbatimChar"/>
    <w:rPr>
      <w:rFonts w:ascii="Consolas" w:hAnsi="Consolas"/>
      <w:b/>
      <w:bCs/>
      <w:caps/>
      <w:color w:val="4070A0"/>
      <w:sz w:val="22"/>
      <w:szCs w:val="18"/>
    </w:rPr>
  </w:style>
  <w:style w:type="character" w:customStyle="1" w:styleId="StringTok">
    <w:name w:val="StringTok"/>
    <w:basedOn w:val="VerbatimChar"/>
    <w:rPr>
      <w:rFonts w:ascii="Consolas" w:hAnsi="Consolas"/>
      <w:b/>
      <w:bCs/>
      <w:caps/>
      <w:color w:val="4070A0"/>
      <w:sz w:val="22"/>
      <w:szCs w:val="18"/>
    </w:rPr>
  </w:style>
  <w:style w:type="character" w:customStyle="1" w:styleId="VerbatimStringTok">
    <w:name w:val="VerbatimStringTok"/>
    <w:basedOn w:val="VerbatimChar"/>
    <w:rPr>
      <w:rFonts w:ascii="Consolas" w:hAnsi="Consolas"/>
      <w:b/>
      <w:bCs/>
      <w:caps/>
      <w:color w:val="4070A0"/>
      <w:sz w:val="22"/>
      <w:szCs w:val="18"/>
    </w:rPr>
  </w:style>
  <w:style w:type="character" w:customStyle="1" w:styleId="SpecialStringTok">
    <w:name w:val="SpecialStringTok"/>
    <w:basedOn w:val="VerbatimChar"/>
    <w:rPr>
      <w:rFonts w:ascii="Consolas" w:hAnsi="Consolas"/>
      <w:b/>
      <w:bCs/>
      <w:caps/>
      <w:color w:val="BB6688"/>
      <w:sz w:val="22"/>
      <w:szCs w:val="18"/>
    </w:rPr>
  </w:style>
  <w:style w:type="character" w:customStyle="1" w:styleId="ImportTok">
    <w:name w:val="ImportTok"/>
    <w:basedOn w:val="VerbatimChar"/>
    <w:rPr>
      <w:rFonts w:ascii="Consolas" w:hAnsi="Consolas"/>
      <w:b/>
      <w:bCs/>
      <w:caps/>
      <w:sz w:val="22"/>
      <w:szCs w:val="18"/>
    </w:rPr>
  </w:style>
  <w:style w:type="character" w:customStyle="1" w:styleId="CommentTok">
    <w:name w:val="CommentTok"/>
    <w:basedOn w:val="VerbatimChar"/>
    <w:rPr>
      <w:rFonts w:ascii="Consolas" w:hAnsi="Consolas"/>
      <w:b/>
      <w:bCs/>
      <w:i/>
      <w:caps/>
      <w:color w:val="60A0B0"/>
      <w:sz w:val="22"/>
      <w:szCs w:val="18"/>
    </w:rPr>
  </w:style>
  <w:style w:type="character" w:customStyle="1" w:styleId="DocumentationTok">
    <w:name w:val="DocumentationTok"/>
    <w:basedOn w:val="VerbatimChar"/>
    <w:rPr>
      <w:rFonts w:ascii="Consolas" w:hAnsi="Consolas"/>
      <w:b/>
      <w:bCs/>
      <w:i/>
      <w:caps/>
      <w:color w:val="BA2121"/>
      <w:sz w:val="22"/>
      <w:szCs w:val="18"/>
    </w:rPr>
  </w:style>
  <w:style w:type="character" w:customStyle="1" w:styleId="AnnotationTok">
    <w:name w:val="AnnotationTok"/>
    <w:basedOn w:val="VerbatimChar"/>
    <w:rPr>
      <w:rFonts w:ascii="Consolas" w:hAnsi="Consolas"/>
      <w:b w:val="0"/>
      <w:bCs/>
      <w:i/>
      <w:caps/>
      <w:color w:val="60A0B0"/>
      <w:sz w:val="22"/>
      <w:szCs w:val="18"/>
    </w:rPr>
  </w:style>
  <w:style w:type="character" w:customStyle="1" w:styleId="CommentVarTok">
    <w:name w:val="CommentVarTok"/>
    <w:basedOn w:val="VerbatimChar"/>
    <w:rPr>
      <w:rFonts w:ascii="Consolas" w:hAnsi="Consolas"/>
      <w:b w:val="0"/>
      <w:bCs/>
      <w:i/>
      <w:caps/>
      <w:color w:val="60A0B0"/>
      <w:sz w:val="22"/>
      <w:szCs w:val="18"/>
    </w:rPr>
  </w:style>
  <w:style w:type="character" w:customStyle="1" w:styleId="OtherTok">
    <w:name w:val="OtherTok"/>
    <w:basedOn w:val="VerbatimChar"/>
    <w:rPr>
      <w:rFonts w:ascii="Consolas" w:hAnsi="Consolas"/>
      <w:b/>
      <w:bCs/>
      <w:caps/>
      <w:color w:val="007020"/>
      <w:sz w:val="22"/>
      <w:szCs w:val="18"/>
    </w:rPr>
  </w:style>
  <w:style w:type="character" w:customStyle="1" w:styleId="FunctionTok">
    <w:name w:val="FunctionTok"/>
    <w:basedOn w:val="VerbatimChar"/>
    <w:rPr>
      <w:rFonts w:ascii="Consolas" w:hAnsi="Consolas"/>
      <w:b/>
      <w:bCs/>
      <w:caps/>
      <w:color w:val="06287E"/>
      <w:sz w:val="22"/>
      <w:szCs w:val="18"/>
    </w:rPr>
  </w:style>
  <w:style w:type="character" w:customStyle="1" w:styleId="VariableTok">
    <w:name w:val="VariableTok"/>
    <w:basedOn w:val="VerbatimChar"/>
    <w:rPr>
      <w:rFonts w:ascii="Consolas" w:hAnsi="Consolas"/>
      <w:b/>
      <w:bCs/>
      <w:caps/>
      <w:color w:val="19177C"/>
      <w:sz w:val="22"/>
      <w:szCs w:val="18"/>
    </w:rPr>
  </w:style>
  <w:style w:type="character" w:customStyle="1" w:styleId="ControlFlowTok">
    <w:name w:val="ControlFlowTok"/>
    <w:basedOn w:val="VerbatimChar"/>
    <w:rPr>
      <w:rFonts w:ascii="Consolas" w:hAnsi="Consolas"/>
      <w:b w:val="0"/>
      <w:bCs/>
      <w:caps/>
      <w:color w:val="007020"/>
      <w:sz w:val="22"/>
      <w:szCs w:val="18"/>
    </w:rPr>
  </w:style>
  <w:style w:type="character" w:customStyle="1" w:styleId="OperatorTok">
    <w:name w:val="OperatorTok"/>
    <w:basedOn w:val="VerbatimChar"/>
    <w:rPr>
      <w:rFonts w:ascii="Consolas" w:hAnsi="Consolas"/>
      <w:b/>
      <w:bCs/>
      <w:caps/>
      <w:color w:val="666666"/>
      <w:sz w:val="22"/>
      <w:szCs w:val="18"/>
    </w:rPr>
  </w:style>
  <w:style w:type="character" w:customStyle="1" w:styleId="BuiltInTok">
    <w:name w:val="BuiltInTok"/>
    <w:basedOn w:val="VerbatimChar"/>
    <w:rPr>
      <w:rFonts w:ascii="Consolas" w:hAnsi="Consolas"/>
      <w:b/>
      <w:bCs/>
      <w:caps/>
      <w:sz w:val="22"/>
      <w:szCs w:val="18"/>
    </w:rPr>
  </w:style>
  <w:style w:type="character" w:customStyle="1" w:styleId="ExtensionTok">
    <w:name w:val="ExtensionTok"/>
    <w:basedOn w:val="VerbatimChar"/>
    <w:rPr>
      <w:rFonts w:ascii="Consolas" w:hAnsi="Consolas"/>
      <w:b/>
      <w:bCs/>
      <w:caps/>
      <w:sz w:val="22"/>
      <w:szCs w:val="18"/>
    </w:rPr>
  </w:style>
  <w:style w:type="character" w:customStyle="1" w:styleId="PreprocessorTok">
    <w:name w:val="PreprocessorTok"/>
    <w:basedOn w:val="VerbatimChar"/>
    <w:rPr>
      <w:rFonts w:ascii="Consolas" w:hAnsi="Consolas"/>
      <w:b/>
      <w:bCs/>
      <w:caps/>
      <w:color w:val="BC7A00"/>
      <w:sz w:val="22"/>
      <w:szCs w:val="18"/>
    </w:rPr>
  </w:style>
  <w:style w:type="character" w:customStyle="1" w:styleId="AttributeTok">
    <w:name w:val="AttributeTok"/>
    <w:basedOn w:val="VerbatimChar"/>
    <w:rPr>
      <w:rFonts w:ascii="Consolas" w:hAnsi="Consolas"/>
      <w:b/>
      <w:bCs/>
      <w:caps/>
      <w:color w:val="7D9029"/>
      <w:sz w:val="22"/>
      <w:szCs w:val="18"/>
    </w:rPr>
  </w:style>
  <w:style w:type="character" w:customStyle="1" w:styleId="RegionMarkerTok">
    <w:name w:val="RegionMarkerTok"/>
    <w:basedOn w:val="VerbatimChar"/>
    <w:rPr>
      <w:rFonts w:ascii="Consolas" w:hAnsi="Consolas"/>
      <w:b/>
      <w:bCs/>
      <w:caps/>
      <w:sz w:val="22"/>
      <w:szCs w:val="18"/>
    </w:rPr>
  </w:style>
  <w:style w:type="character" w:customStyle="1" w:styleId="InformationTok">
    <w:name w:val="InformationTok"/>
    <w:basedOn w:val="VerbatimChar"/>
    <w:rPr>
      <w:rFonts w:ascii="Consolas" w:hAnsi="Consolas"/>
      <w:b w:val="0"/>
      <w:bCs/>
      <w:i/>
      <w:caps/>
      <w:color w:val="60A0B0"/>
      <w:sz w:val="22"/>
      <w:szCs w:val="18"/>
    </w:rPr>
  </w:style>
  <w:style w:type="character" w:customStyle="1" w:styleId="WarningTok">
    <w:name w:val="WarningTok"/>
    <w:basedOn w:val="VerbatimChar"/>
    <w:rPr>
      <w:rFonts w:ascii="Consolas" w:hAnsi="Consolas"/>
      <w:b w:val="0"/>
      <w:bCs/>
      <w:i/>
      <w:caps/>
      <w:color w:val="60A0B0"/>
      <w:sz w:val="22"/>
      <w:szCs w:val="18"/>
    </w:rPr>
  </w:style>
  <w:style w:type="character" w:customStyle="1" w:styleId="AlertTok">
    <w:name w:val="AlertTok"/>
    <w:basedOn w:val="VerbatimChar"/>
    <w:rPr>
      <w:rFonts w:ascii="Consolas" w:hAnsi="Consolas"/>
      <w:b w:val="0"/>
      <w:bCs/>
      <w:caps/>
      <w:color w:val="FF0000"/>
      <w:sz w:val="22"/>
      <w:szCs w:val="18"/>
    </w:rPr>
  </w:style>
  <w:style w:type="character" w:customStyle="1" w:styleId="ErrorTok">
    <w:name w:val="ErrorTok"/>
    <w:basedOn w:val="VerbatimChar"/>
    <w:rPr>
      <w:rFonts w:ascii="Consolas" w:hAnsi="Consolas"/>
      <w:b w:val="0"/>
      <w:bCs/>
      <w:caps/>
      <w:color w:val="FF0000"/>
      <w:sz w:val="22"/>
      <w:szCs w:val="18"/>
    </w:rPr>
  </w:style>
  <w:style w:type="character" w:customStyle="1" w:styleId="NormalTok">
    <w:name w:val="NormalTok"/>
    <w:basedOn w:val="VerbatimChar"/>
    <w:rPr>
      <w:rFonts w:ascii="Consolas" w:hAnsi="Consolas"/>
      <w:b/>
      <w:bCs/>
      <w:caps/>
      <w:sz w:val="22"/>
      <w:szCs w:val="18"/>
    </w:rPr>
  </w:style>
  <w:style w:type="paragraph" w:styleId="TOC1">
    <w:name w:val="toc 1"/>
    <w:basedOn w:val="Normal"/>
    <w:next w:val="Normal"/>
    <w:autoRedefine/>
    <w:uiPriority w:val="39"/>
    <w:rsid w:val="00C50695"/>
    <w:pPr>
      <w:spacing w:after="100"/>
    </w:pPr>
  </w:style>
  <w:style w:type="paragraph" w:styleId="TOC2">
    <w:name w:val="toc 2"/>
    <w:basedOn w:val="Normal"/>
    <w:next w:val="Normal"/>
    <w:autoRedefine/>
    <w:uiPriority w:val="39"/>
    <w:rsid w:val="00C50695"/>
    <w:pPr>
      <w:spacing w:after="100"/>
      <w:ind w:left="240"/>
    </w:pPr>
  </w:style>
  <w:style w:type="paragraph" w:styleId="TOC3">
    <w:name w:val="toc 3"/>
    <w:basedOn w:val="Normal"/>
    <w:next w:val="Normal"/>
    <w:autoRedefine/>
    <w:uiPriority w:val="39"/>
    <w:unhideWhenUsed/>
    <w:rsid w:val="00C50695"/>
    <w:pPr>
      <w:spacing w:after="100" w:line="278" w:lineRule="auto"/>
      <w:ind w:left="480"/>
    </w:pPr>
    <w:rPr>
      <w:kern w:val="2"/>
    </w:rPr>
  </w:style>
  <w:style w:type="paragraph" w:styleId="TOC4">
    <w:name w:val="toc 4"/>
    <w:basedOn w:val="Normal"/>
    <w:next w:val="Normal"/>
    <w:autoRedefine/>
    <w:uiPriority w:val="39"/>
    <w:unhideWhenUsed/>
    <w:rsid w:val="00C50695"/>
    <w:pPr>
      <w:spacing w:after="100" w:line="278" w:lineRule="auto"/>
      <w:ind w:left="720"/>
    </w:pPr>
    <w:rPr>
      <w:kern w:val="2"/>
    </w:rPr>
  </w:style>
  <w:style w:type="paragraph" w:styleId="TOC5">
    <w:name w:val="toc 5"/>
    <w:basedOn w:val="Normal"/>
    <w:next w:val="Normal"/>
    <w:autoRedefine/>
    <w:uiPriority w:val="39"/>
    <w:unhideWhenUsed/>
    <w:rsid w:val="00C50695"/>
    <w:pPr>
      <w:spacing w:after="100" w:line="278" w:lineRule="auto"/>
      <w:ind w:left="960"/>
    </w:pPr>
    <w:rPr>
      <w:kern w:val="2"/>
    </w:rPr>
  </w:style>
  <w:style w:type="paragraph" w:styleId="TOC6">
    <w:name w:val="toc 6"/>
    <w:basedOn w:val="Normal"/>
    <w:next w:val="Normal"/>
    <w:autoRedefine/>
    <w:uiPriority w:val="39"/>
    <w:unhideWhenUsed/>
    <w:rsid w:val="00C50695"/>
    <w:pPr>
      <w:spacing w:after="100" w:line="278" w:lineRule="auto"/>
      <w:ind w:left="1200"/>
    </w:pPr>
    <w:rPr>
      <w:kern w:val="2"/>
    </w:rPr>
  </w:style>
  <w:style w:type="paragraph" w:styleId="TOC7">
    <w:name w:val="toc 7"/>
    <w:basedOn w:val="Normal"/>
    <w:next w:val="Normal"/>
    <w:autoRedefine/>
    <w:uiPriority w:val="39"/>
    <w:unhideWhenUsed/>
    <w:rsid w:val="00C50695"/>
    <w:pPr>
      <w:spacing w:after="100" w:line="278" w:lineRule="auto"/>
      <w:ind w:left="1440"/>
    </w:pPr>
    <w:rPr>
      <w:kern w:val="2"/>
    </w:rPr>
  </w:style>
  <w:style w:type="paragraph" w:styleId="TOC8">
    <w:name w:val="toc 8"/>
    <w:basedOn w:val="Normal"/>
    <w:next w:val="Normal"/>
    <w:autoRedefine/>
    <w:uiPriority w:val="39"/>
    <w:unhideWhenUsed/>
    <w:rsid w:val="00C50695"/>
    <w:pPr>
      <w:spacing w:after="100" w:line="278" w:lineRule="auto"/>
      <w:ind w:left="1680"/>
    </w:pPr>
    <w:rPr>
      <w:kern w:val="2"/>
    </w:rPr>
  </w:style>
  <w:style w:type="paragraph" w:styleId="TOC9">
    <w:name w:val="toc 9"/>
    <w:basedOn w:val="Normal"/>
    <w:next w:val="Normal"/>
    <w:autoRedefine/>
    <w:uiPriority w:val="39"/>
    <w:unhideWhenUsed/>
    <w:rsid w:val="00C50695"/>
    <w:pPr>
      <w:spacing w:after="100" w:line="278" w:lineRule="auto"/>
      <w:ind w:left="1920"/>
    </w:pPr>
    <w:rPr>
      <w:kern w:val="2"/>
    </w:rPr>
  </w:style>
  <w:style w:type="character" w:styleId="UnresolvedMention">
    <w:name w:val="Unresolved Mention"/>
    <w:basedOn w:val="DefaultParagraphFont"/>
    <w:uiPriority w:val="99"/>
    <w:semiHidden/>
    <w:unhideWhenUsed/>
    <w:rsid w:val="00C50695"/>
    <w:rPr>
      <w:color w:val="605E5C"/>
      <w:shd w:val="clear" w:color="auto" w:fill="E1DFDD"/>
    </w:rPr>
  </w:style>
  <w:style w:type="character" w:customStyle="1" w:styleId="Heading1Char">
    <w:name w:val="Heading 1 Char"/>
    <w:basedOn w:val="DefaultParagraphFont"/>
    <w:link w:val="Heading1"/>
    <w:uiPriority w:val="9"/>
    <w:rsid w:val="003A6B74"/>
    <w:rPr>
      <w:smallCaps/>
      <w:spacing w:val="5"/>
      <w:sz w:val="32"/>
      <w:szCs w:val="32"/>
    </w:rPr>
  </w:style>
  <w:style w:type="character" w:customStyle="1" w:styleId="Heading2Char">
    <w:name w:val="Heading 2 Char"/>
    <w:basedOn w:val="DefaultParagraphFont"/>
    <w:link w:val="Heading2"/>
    <w:uiPriority w:val="9"/>
    <w:rsid w:val="003A6B74"/>
    <w:rPr>
      <w:smallCaps/>
      <w:spacing w:val="5"/>
      <w:sz w:val="28"/>
      <w:szCs w:val="28"/>
    </w:rPr>
  </w:style>
  <w:style w:type="character" w:customStyle="1" w:styleId="Heading3Char">
    <w:name w:val="Heading 3 Char"/>
    <w:basedOn w:val="DefaultParagraphFont"/>
    <w:link w:val="Heading3"/>
    <w:uiPriority w:val="9"/>
    <w:rsid w:val="003A6B74"/>
    <w:rPr>
      <w:smallCaps/>
      <w:spacing w:val="5"/>
      <w:sz w:val="24"/>
      <w:szCs w:val="24"/>
    </w:rPr>
  </w:style>
  <w:style w:type="character" w:customStyle="1" w:styleId="Heading4Char">
    <w:name w:val="Heading 4 Char"/>
    <w:basedOn w:val="DefaultParagraphFont"/>
    <w:link w:val="Heading4"/>
    <w:uiPriority w:val="9"/>
    <w:rsid w:val="003A6B74"/>
    <w:rPr>
      <w:smallCaps/>
      <w:spacing w:val="10"/>
      <w:sz w:val="22"/>
      <w:szCs w:val="22"/>
    </w:rPr>
  </w:style>
  <w:style w:type="character" w:customStyle="1" w:styleId="Heading5Char">
    <w:name w:val="Heading 5 Char"/>
    <w:basedOn w:val="DefaultParagraphFont"/>
    <w:link w:val="Heading5"/>
    <w:uiPriority w:val="9"/>
    <w:rsid w:val="003A6B74"/>
    <w:rPr>
      <w:smallCaps/>
      <w:color w:val="943634" w:themeColor="accent2" w:themeShade="BF"/>
      <w:spacing w:val="10"/>
      <w:sz w:val="22"/>
      <w:szCs w:val="26"/>
    </w:rPr>
  </w:style>
  <w:style w:type="character" w:customStyle="1" w:styleId="Heading6Char">
    <w:name w:val="Heading 6 Char"/>
    <w:basedOn w:val="DefaultParagraphFont"/>
    <w:link w:val="Heading6"/>
    <w:uiPriority w:val="9"/>
    <w:rsid w:val="003A6B74"/>
    <w:rPr>
      <w:smallCaps/>
      <w:color w:val="C0504D" w:themeColor="accent2"/>
      <w:spacing w:val="5"/>
      <w:sz w:val="22"/>
    </w:rPr>
  </w:style>
  <w:style w:type="character" w:customStyle="1" w:styleId="Heading7Char">
    <w:name w:val="Heading 7 Char"/>
    <w:basedOn w:val="DefaultParagraphFont"/>
    <w:link w:val="Heading7"/>
    <w:uiPriority w:val="9"/>
    <w:rsid w:val="003A6B74"/>
    <w:rPr>
      <w:b/>
      <w:smallCaps/>
      <w:color w:val="C0504D" w:themeColor="accent2"/>
      <w:spacing w:val="10"/>
    </w:rPr>
  </w:style>
  <w:style w:type="character" w:customStyle="1" w:styleId="Heading8Char">
    <w:name w:val="Heading 8 Char"/>
    <w:basedOn w:val="DefaultParagraphFont"/>
    <w:link w:val="Heading8"/>
    <w:uiPriority w:val="9"/>
    <w:rsid w:val="003A6B74"/>
    <w:rPr>
      <w:b/>
      <w:i/>
      <w:smallCaps/>
      <w:color w:val="943634" w:themeColor="accent2" w:themeShade="BF"/>
    </w:rPr>
  </w:style>
  <w:style w:type="character" w:customStyle="1" w:styleId="Heading9Char">
    <w:name w:val="Heading 9 Char"/>
    <w:basedOn w:val="DefaultParagraphFont"/>
    <w:link w:val="Heading9"/>
    <w:uiPriority w:val="9"/>
    <w:rsid w:val="003A6B74"/>
    <w:rPr>
      <w:b/>
      <w:i/>
      <w:smallCaps/>
      <w:color w:val="622423" w:themeColor="accent2" w:themeShade="7F"/>
    </w:rPr>
  </w:style>
  <w:style w:type="character" w:customStyle="1" w:styleId="TitleChar">
    <w:name w:val="Title Char"/>
    <w:basedOn w:val="DefaultParagraphFont"/>
    <w:link w:val="Title"/>
    <w:uiPriority w:val="10"/>
    <w:rsid w:val="003A6B74"/>
    <w:rPr>
      <w:smallCaps/>
      <w:sz w:val="48"/>
      <w:szCs w:val="48"/>
    </w:rPr>
  </w:style>
  <w:style w:type="character" w:customStyle="1" w:styleId="SubtitleChar">
    <w:name w:val="Subtitle Char"/>
    <w:basedOn w:val="DefaultParagraphFont"/>
    <w:link w:val="Subtitle"/>
    <w:uiPriority w:val="11"/>
    <w:rsid w:val="003A6B74"/>
    <w:rPr>
      <w:rFonts w:asciiTheme="majorHAnsi" w:eastAsiaTheme="majorEastAsia" w:hAnsiTheme="majorHAnsi" w:cstheme="majorBidi"/>
      <w:szCs w:val="22"/>
    </w:rPr>
  </w:style>
  <w:style w:type="character" w:styleId="Strong">
    <w:name w:val="Strong"/>
    <w:uiPriority w:val="22"/>
    <w:qFormat/>
    <w:rsid w:val="003A6B74"/>
    <w:rPr>
      <w:b/>
      <w:color w:val="C0504D" w:themeColor="accent2"/>
    </w:rPr>
  </w:style>
  <w:style w:type="character" w:styleId="Emphasis">
    <w:name w:val="Emphasis"/>
    <w:uiPriority w:val="20"/>
    <w:qFormat/>
    <w:rsid w:val="003A6B74"/>
    <w:rPr>
      <w:b/>
      <w:i/>
      <w:spacing w:val="10"/>
    </w:rPr>
  </w:style>
  <w:style w:type="paragraph" w:styleId="NoSpacing">
    <w:name w:val="No Spacing"/>
    <w:basedOn w:val="Normal"/>
    <w:link w:val="NoSpacingChar"/>
    <w:uiPriority w:val="1"/>
    <w:qFormat/>
    <w:rsid w:val="003A6B74"/>
    <w:pPr>
      <w:spacing w:after="0" w:line="240" w:lineRule="auto"/>
    </w:pPr>
  </w:style>
  <w:style w:type="character" w:customStyle="1" w:styleId="NoSpacingChar">
    <w:name w:val="No Spacing Char"/>
    <w:basedOn w:val="DefaultParagraphFont"/>
    <w:link w:val="NoSpacing"/>
    <w:uiPriority w:val="1"/>
    <w:rsid w:val="003A6B74"/>
  </w:style>
  <w:style w:type="paragraph" w:styleId="ListParagraph">
    <w:name w:val="List Paragraph"/>
    <w:basedOn w:val="Normal"/>
    <w:uiPriority w:val="34"/>
    <w:qFormat/>
    <w:rsid w:val="003A6B74"/>
    <w:pPr>
      <w:ind w:left="720"/>
      <w:contextualSpacing/>
    </w:pPr>
  </w:style>
  <w:style w:type="paragraph" w:styleId="Quote">
    <w:name w:val="Quote"/>
    <w:basedOn w:val="Normal"/>
    <w:next w:val="Normal"/>
    <w:link w:val="QuoteChar"/>
    <w:uiPriority w:val="29"/>
    <w:qFormat/>
    <w:rsid w:val="003A6B74"/>
    <w:rPr>
      <w:i/>
    </w:rPr>
  </w:style>
  <w:style w:type="character" w:customStyle="1" w:styleId="QuoteChar">
    <w:name w:val="Quote Char"/>
    <w:basedOn w:val="DefaultParagraphFont"/>
    <w:link w:val="Quote"/>
    <w:uiPriority w:val="29"/>
    <w:rsid w:val="003A6B74"/>
    <w:rPr>
      <w:i/>
    </w:rPr>
  </w:style>
  <w:style w:type="paragraph" w:styleId="IntenseQuote">
    <w:name w:val="Intense Quote"/>
    <w:basedOn w:val="Normal"/>
    <w:next w:val="Normal"/>
    <w:link w:val="IntenseQuoteChar"/>
    <w:uiPriority w:val="30"/>
    <w:qFormat/>
    <w:rsid w:val="003A6B74"/>
    <w:pPr>
      <w:pBdr>
        <w:top w:val="single" w:sz="8" w:space="10" w:color="943634" w:themeColor="accent2" w:themeShade="BF"/>
        <w:left w:val="single" w:sz="8" w:space="10" w:color="943634" w:themeColor="accent2" w:themeShade="BF"/>
        <w:bottom w:val="single" w:sz="8" w:space="10" w:color="943634" w:themeColor="accent2" w:themeShade="BF"/>
        <w:right w:val="single" w:sz="8" w:space="10" w:color="943634" w:themeColor="accent2" w:themeShade="BF"/>
      </w:pBdr>
      <w:shd w:val="clear" w:color="auto" w:fill="C0504D"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3A6B74"/>
    <w:rPr>
      <w:b/>
      <w:i/>
      <w:color w:val="FFFFFF" w:themeColor="background1"/>
      <w:shd w:val="clear" w:color="auto" w:fill="C0504D" w:themeFill="accent2"/>
    </w:rPr>
  </w:style>
  <w:style w:type="character" w:styleId="SubtleEmphasis">
    <w:name w:val="Subtle Emphasis"/>
    <w:uiPriority w:val="19"/>
    <w:qFormat/>
    <w:rsid w:val="003A6B74"/>
    <w:rPr>
      <w:i/>
    </w:rPr>
  </w:style>
  <w:style w:type="character" w:styleId="IntenseEmphasis">
    <w:name w:val="Intense Emphasis"/>
    <w:uiPriority w:val="21"/>
    <w:qFormat/>
    <w:rsid w:val="003A6B74"/>
    <w:rPr>
      <w:b/>
      <w:i/>
      <w:color w:val="C0504D" w:themeColor="accent2"/>
      <w:spacing w:val="10"/>
    </w:rPr>
  </w:style>
  <w:style w:type="character" w:styleId="SubtleReference">
    <w:name w:val="Subtle Reference"/>
    <w:uiPriority w:val="31"/>
    <w:qFormat/>
    <w:rsid w:val="003A6B74"/>
    <w:rPr>
      <w:b/>
    </w:rPr>
  </w:style>
  <w:style w:type="character" w:styleId="IntenseReference">
    <w:name w:val="Intense Reference"/>
    <w:uiPriority w:val="32"/>
    <w:qFormat/>
    <w:rsid w:val="003A6B74"/>
    <w:rPr>
      <w:b/>
      <w:bCs/>
      <w:smallCaps/>
      <w:spacing w:val="5"/>
      <w:sz w:val="22"/>
      <w:szCs w:val="22"/>
      <w:u w:val="single"/>
    </w:rPr>
  </w:style>
  <w:style w:type="character" w:styleId="BookTitle">
    <w:name w:val="Book Title"/>
    <w:uiPriority w:val="33"/>
    <w:qFormat/>
    <w:rsid w:val="003A6B74"/>
    <w:rPr>
      <w:rFonts w:asciiTheme="majorHAnsi" w:eastAsiaTheme="majorEastAsia" w:hAnsiTheme="majorHAnsi" w:cstheme="majorBidi"/>
      <w:i/>
      <w:iCs/>
      <w:sz w:val="20"/>
      <w:szCs w:val="20"/>
    </w:rPr>
  </w:style>
  <w:style w:type="paragraph" w:styleId="Revision">
    <w:name w:val="Revision"/>
    <w:hidden/>
    <w:rsid w:val="009802FE"/>
    <w:pPr>
      <w:spacing w:after="0" w:line="240" w:lineRule="auto"/>
      <w:jc w:val="left"/>
    </w:pPr>
  </w:style>
  <w:style w:type="paragraph" w:customStyle="1" w:styleId="PersonalName">
    <w:name w:val="Personal Name"/>
    <w:basedOn w:val="Title"/>
    <w:rsid w:val="003A6B74"/>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1005</TotalTime>
  <Pages>45</Pages>
  <Words>22846</Words>
  <Characters>139824</Characters>
  <Application>Microsoft Office Word</Application>
  <DocSecurity>0</DocSecurity>
  <Lines>1815</Lines>
  <Paragraphs>411</Paragraphs>
  <ScaleCrop>false</ScaleCrop>
  <Company/>
  <LinksUpToDate>false</LinksUpToDate>
  <CharactersWithSpaces>162259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NSOWAH</cp:lastModifiedBy>
  <cp:revision>8</cp:revision>
  <dcterms:created xsi:type="dcterms:W3CDTF">2026-03-25T09:18:00Z</dcterms:created>
  <dcterms:modified xsi:type="dcterms:W3CDTF">2026-04-04T07:12:00Z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732f334d-e46f-4441-abbe-4cf604504a66</vt:lpwstr>
  </property>
</Properties>
</file>