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50561" w14:textId="77777777" w:rsidR="00EB2F85" w:rsidRDefault="00EB2F85" w:rsidP="00C50695">
      <w:pPr>
        <w:spacing w:before="2880" w:after="0"/>
      </w:pPr>
    </w:p>
    <w:p w14:paraId="10550562" w14:textId="77777777" w:rsidR="00EB2F85" w:rsidRDefault="00772CAE">
      <w:pPr>
        <w:spacing w:after="120"/>
        <w:jc w:val="center"/>
      </w:pPr>
      <w:r>
        <w:rPr>
          <w:b/>
          <w:color w:val="1A3A5C"/>
          <w:sz w:val="16"/>
        </w:rPr>
        <w:t>World Bank WACA ResIP 2 • Project P175625 • Ghana</w:t>
      </w:r>
    </w:p>
    <w:p w14:paraId="10550563" w14:textId="77777777" w:rsidR="00EB2F85" w:rsidRDefault="00772CAE">
      <w:pPr>
        <w:spacing w:before="480" w:after="120"/>
        <w:jc w:val="center"/>
      </w:pPr>
      <w:r>
        <w:rPr>
          <w:b/>
          <w:color w:val="1A3A5C"/>
          <w:sz w:val="44"/>
        </w:rPr>
        <w:t>Assessment of Blue Carbon</w:t>
      </w:r>
    </w:p>
    <w:p w14:paraId="10550564" w14:textId="77777777" w:rsidR="00EB2F85" w:rsidRDefault="00772CAE">
      <w:pPr>
        <w:spacing w:after="240"/>
        <w:jc w:val="center"/>
      </w:pPr>
      <w:r>
        <w:rPr>
          <w:b/>
          <w:color w:val="1A3A5C"/>
          <w:sz w:val="44"/>
        </w:rPr>
        <w:t>Ecosystem Potentials of Ghana</w:t>
      </w:r>
    </w:p>
    <w:p w14:paraId="10550565" w14:textId="77777777" w:rsidR="00EB2F85" w:rsidRDefault="00772CAE">
      <w:pPr>
        <w:pBdr>
          <w:bottom w:val="single" w:sz="6" w:space="4" w:color="2E6FA3"/>
        </w:pBdr>
        <w:spacing w:after="480"/>
        <w:jc w:val="center"/>
      </w:pPr>
      <w:r>
        <w:rPr>
          <w:b/>
          <w:color w:val="2E6FA3"/>
          <w:sz w:val="32"/>
        </w:rPr>
        <w:t>National Blue Carbon MRV Framework</w:t>
      </w:r>
    </w:p>
    <w:p w14:paraId="10550566" w14:textId="77777777" w:rsidR="00EB2F85" w:rsidRDefault="00772CAE">
      <w:pPr>
        <w:spacing w:before="240" w:after="120"/>
        <w:jc w:val="center"/>
      </w:pPr>
      <w:r>
        <w:rPr>
          <w:color w:val="2E6FA3"/>
          <w:sz w:val="26"/>
        </w:rPr>
        <w:t>Standalone Report: Monitoring, Reporting, and Verification</w:t>
      </w:r>
    </w:p>
    <w:p w14:paraId="10550567" w14:textId="77777777" w:rsidR="00EB2F85" w:rsidRDefault="00772CAE">
      <w:pPr>
        <w:spacing w:before="1440" w:after="120"/>
        <w:jc w:val="center"/>
      </w:pPr>
      <w:r>
        <w:rPr>
          <w:color w:val="404040"/>
          <w:sz w:val="20"/>
        </w:rPr>
        <w:t>Delivered to the Ministry of Environment, Science, Technology and Innovation (MESTI)</w:t>
      </w:r>
    </w:p>
    <w:p w14:paraId="10550568" w14:textId="77777777" w:rsidR="00EB2F85" w:rsidRDefault="00772CAE">
      <w:pPr>
        <w:spacing w:after="120"/>
        <w:jc w:val="center"/>
      </w:pPr>
      <w:r>
        <w:rPr>
          <w:color w:val="404040"/>
          <w:sz w:val="20"/>
        </w:rPr>
        <w:t>and the Ministry of Lands and Natural Resources (MLNR)</w:t>
      </w:r>
    </w:p>
    <w:p w14:paraId="10550569" w14:textId="77777777" w:rsidR="00EB2F85" w:rsidRDefault="00772CAE">
      <w:pPr>
        <w:spacing w:before="480" w:after="120"/>
        <w:jc w:val="center"/>
      </w:pPr>
      <w:r>
        <w:rPr>
          <w:b/>
          <w:color w:val="1A3A5C"/>
          <w:sz w:val="20"/>
        </w:rPr>
        <w:t>Authored by Ecological Nest Ltd</w:t>
      </w:r>
    </w:p>
    <w:p w14:paraId="1055056A" w14:textId="77777777" w:rsidR="00EB2F85" w:rsidRDefault="00772CAE">
      <w:pPr>
        <w:spacing w:after="120"/>
        <w:jc w:val="center"/>
      </w:pPr>
      <w:r>
        <w:rPr>
          <w:color w:val="404040"/>
          <w:sz w:val="20"/>
        </w:rPr>
        <w:t>March 2026</w:t>
      </w:r>
    </w:p>
    <w:p w14:paraId="1055056B" w14:textId="77777777" w:rsidR="00EB2F85" w:rsidRDefault="00772CAE">
      <w:pPr>
        <w:spacing w:before="1440" w:after="0"/>
        <w:jc w:val="center"/>
      </w:pPr>
      <w:r>
        <w:rPr>
          <w:color w:val="808080"/>
          <w:sz w:val="16"/>
        </w:rPr>
        <w:t>This document is a formal government deliverable under the West Africa Coastal Areas</w:t>
      </w:r>
    </w:p>
    <w:p w14:paraId="1055056C" w14:textId="77777777" w:rsidR="00EB2F85" w:rsidRDefault="00772CAE">
      <w:pPr>
        <w:spacing w:after="0"/>
        <w:jc w:val="center"/>
      </w:pPr>
      <w:r>
        <w:rPr>
          <w:color w:val="808080"/>
          <w:sz w:val="16"/>
        </w:rPr>
        <w:t>Resilience Investment Project (WACA ResIP 2, P175625), Republic of Ghana.</w:t>
      </w:r>
    </w:p>
    <w:p w14:paraId="1055056D" w14:textId="77777777" w:rsidR="00EB2F85" w:rsidRDefault="00EB2F85">
      <w:pPr>
        <w:sectPr w:rsidR="00EB2F85">
          <w:pgSz w:w="11906" w:h="16838"/>
          <w:pgMar w:top="1440" w:right="1440" w:bottom="1440" w:left="1800" w:header="720" w:footer="720" w:gutter="0"/>
          <w:pgNumType w:fmt="none"/>
          <w:cols w:space="720"/>
        </w:sectPr>
      </w:pPr>
    </w:p>
    <w:sdt>
      <w:sdtPr>
        <w:rPr>
          <w:rFonts w:ascii="Arial" w:eastAsia="Times New Roman" w:hAnsi="Arial" w:cs="Arial"/>
          <w:color w:val="auto"/>
          <w:sz w:val="24"/>
          <w:szCs w:val="24"/>
        </w:rPr>
        <w:id w:val="246311215"/>
        <w:docPartObj>
          <w:docPartGallery w:val="Table of Contents"/>
          <w:docPartUnique/>
        </w:docPartObj>
      </w:sdtPr>
      <w:sdtContent>
        <w:p w14:paraId="1055056E" w14:textId="77777777" w:rsidR="00EB2F85" w:rsidRDefault="00772CAE">
          <w:pPr>
            <w:pStyle w:val="TOCHeading"/>
          </w:pPr>
          <w:r>
            <w:t>Table of Contents</w:t>
          </w:r>
        </w:p>
        <w:p w14:paraId="7F90F5A2" w14:textId="168107CA" w:rsidR="00C50695" w:rsidRDefault="00772CAE">
          <w:pPr>
            <w:pStyle w:val="TOC1"/>
            <w:tabs>
              <w:tab w:val="right" w:leader="dot" w:pos="9350"/>
            </w:tabs>
            <w:rPr>
              <w:noProof/>
            </w:rPr>
          </w:pPr>
          <w:r>
            <w:fldChar w:fldCharType="begin"/>
          </w:r>
          <w:r>
            <w:instrText>TOC \o "1-2" \h \z \u</w:instrText>
          </w:r>
          <w:r>
            <w:fldChar w:fldCharType="separate"/>
          </w:r>
          <w:hyperlink w:anchor="_Toc225323369" w:history="1">
            <w:r w:rsidR="00C50695" w:rsidRPr="009759F7">
              <w:rPr>
                <w:rStyle w:val="Hyperlink"/>
                <w:noProof/>
              </w:rPr>
              <w:t>Executive Summary</w:t>
            </w:r>
            <w:r w:rsidR="00C50695">
              <w:rPr>
                <w:noProof/>
                <w:webHidden/>
              </w:rPr>
              <w:tab/>
            </w:r>
            <w:r w:rsidR="00C50695">
              <w:rPr>
                <w:noProof/>
                <w:webHidden/>
              </w:rPr>
              <w:fldChar w:fldCharType="begin"/>
            </w:r>
            <w:r w:rsidR="00C50695">
              <w:rPr>
                <w:noProof/>
                <w:webHidden/>
              </w:rPr>
              <w:instrText xml:space="preserve"> PAGEREF _Toc225323369 \h </w:instrText>
            </w:r>
            <w:r w:rsidR="00C50695">
              <w:rPr>
                <w:noProof/>
                <w:webHidden/>
              </w:rPr>
            </w:r>
            <w:r w:rsidR="00C50695">
              <w:rPr>
                <w:noProof/>
                <w:webHidden/>
              </w:rPr>
              <w:fldChar w:fldCharType="separate"/>
            </w:r>
            <w:r w:rsidR="00C50695">
              <w:rPr>
                <w:noProof/>
                <w:webHidden/>
              </w:rPr>
              <w:t>4</w:t>
            </w:r>
            <w:r w:rsidR="00C50695">
              <w:rPr>
                <w:noProof/>
                <w:webHidden/>
              </w:rPr>
              <w:fldChar w:fldCharType="end"/>
            </w:r>
          </w:hyperlink>
        </w:p>
        <w:p w14:paraId="772C552A" w14:textId="02DF4BE8" w:rsidR="00C50695" w:rsidRDefault="00C50695">
          <w:pPr>
            <w:pStyle w:val="TOC1"/>
            <w:tabs>
              <w:tab w:val="right" w:leader="dot" w:pos="9350"/>
            </w:tabs>
            <w:rPr>
              <w:noProof/>
            </w:rPr>
          </w:pPr>
          <w:hyperlink w:anchor="_Toc225323370" w:history="1">
            <w:r w:rsidRPr="009759F7">
              <w:rPr>
                <w:rStyle w:val="Hyperlink"/>
                <w:noProof/>
              </w:rPr>
              <w:t>Chapter 1: Introduction</w:t>
            </w:r>
            <w:r>
              <w:rPr>
                <w:noProof/>
                <w:webHidden/>
              </w:rPr>
              <w:tab/>
            </w:r>
            <w:r>
              <w:rPr>
                <w:noProof/>
                <w:webHidden/>
              </w:rPr>
              <w:fldChar w:fldCharType="begin"/>
            </w:r>
            <w:r>
              <w:rPr>
                <w:noProof/>
                <w:webHidden/>
              </w:rPr>
              <w:instrText xml:space="preserve"> PAGEREF _Toc225323370 \h </w:instrText>
            </w:r>
            <w:r>
              <w:rPr>
                <w:noProof/>
                <w:webHidden/>
              </w:rPr>
            </w:r>
            <w:r>
              <w:rPr>
                <w:noProof/>
                <w:webHidden/>
              </w:rPr>
              <w:fldChar w:fldCharType="separate"/>
            </w:r>
            <w:r>
              <w:rPr>
                <w:noProof/>
                <w:webHidden/>
              </w:rPr>
              <w:t>8</w:t>
            </w:r>
            <w:r>
              <w:rPr>
                <w:noProof/>
                <w:webHidden/>
              </w:rPr>
              <w:fldChar w:fldCharType="end"/>
            </w:r>
          </w:hyperlink>
        </w:p>
        <w:p w14:paraId="7ACC1C46" w14:textId="16A38F16" w:rsidR="00C50695" w:rsidRDefault="00C50695">
          <w:pPr>
            <w:pStyle w:val="TOC2"/>
            <w:tabs>
              <w:tab w:val="right" w:leader="dot" w:pos="9350"/>
            </w:tabs>
            <w:rPr>
              <w:noProof/>
            </w:rPr>
          </w:pPr>
          <w:hyperlink w:anchor="_Toc225323371" w:history="1">
            <w:r w:rsidRPr="009759F7">
              <w:rPr>
                <w:rStyle w:val="Hyperlink"/>
                <w:noProof/>
              </w:rPr>
              <w:t>1.1 The WACA Blue Carbon Assignment</w:t>
            </w:r>
            <w:r>
              <w:rPr>
                <w:noProof/>
                <w:webHidden/>
              </w:rPr>
              <w:tab/>
            </w:r>
            <w:r>
              <w:rPr>
                <w:noProof/>
                <w:webHidden/>
              </w:rPr>
              <w:fldChar w:fldCharType="begin"/>
            </w:r>
            <w:r>
              <w:rPr>
                <w:noProof/>
                <w:webHidden/>
              </w:rPr>
              <w:instrText xml:space="preserve"> PAGEREF _Toc225323371 \h </w:instrText>
            </w:r>
            <w:r>
              <w:rPr>
                <w:noProof/>
                <w:webHidden/>
              </w:rPr>
            </w:r>
            <w:r>
              <w:rPr>
                <w:noProof/>
                <w:webHidden/>
              </w:rPr>
              <w:fldChar w:fldCharType="separate"/>
            </w:r>
            <w:r>
              <w:rPr>
                <w:noProof/>
                <w:webHidden/>
              </w:rPr>
              <w:t>8</w:t>
            </w:r>
            <w:r>
              <w:rPr>
                <w:noProof/>
                <w:webHidden/>
              </w:rPr>
              <w:fldChar w:fldCharType="end"/>
            </w:r>
          </w:hyperlink>
        </w:p>
        <w:p w14:paraId="0365988D" w14:textId="09AC816A" w:rsidR="00C50695" w:rsidRDefault="00C50695">
          <w:pPr>
            <w:pStyle w:val="TOC2"/>
            <w:tabs>
              <w:tab w:val="right" w:leader="dot" w:pos="9350"/>
            </w:tabs>
            <w:rPr>
              <w:noProof/>
            </w:rPr>
          </w:pPr>
          <w:hyperlink w:anchor="_Toc225323372" w:history="1">
            <w:r w:rsidRPr="009759F7">
              <w:rPr>
                <w:rStyle w:val="Hyperlink"/>
                <w:noProof/>
              </w:rPr>
              <w:t>1.2 Ghana’s Policy Context</w:t>
            </w:r>
            <w:r>
              <w:rPr>
                <w:noProof/>
                <w:webHidden/>
              </w:rPr>
              <w:tab/>
            </w:r>
            <w:r>
              <w:rPr>
                <w:noProof/>
                <w:webHidden/>
              </w:rPr>
              <w:fldChar w:fldCharType="begin"/>
            </w:r>
            <w:r>
              <w:rPr>
                <w:noProof/>
                <w:webHidden/>
              </w:rPr>
              <w:instrText xml:space="preserve"> PAGEREF _Toc225323372 \h </w:instrText>
            </w:r>
            <w:r>
              <w:rPr>
                <w:noProof/>
                <w:webHidden/>
              </w:rPr>
            </w:r>
            <w:r>
              <w:rPr>
                <w:noProof/>
                <w:webHidden/>
              </w:rPr>
              <w:fldChar w:fldCharType="separate"/>
            </w:r>
            <w:r>
              <w:rPr>
                <w:noProof/>
                <w:webHidden/>
              </w:rPr>
              <w:t>9</w:t>
            </w:r>
            <w:r>
              <w:rPr>
                <w:noProof/>
                <w:webHidden/>
              </w:rPr>
              <w:fldChar w:fldCharType="end"/>
            </w:r>
          </w:hyperlink>
        </w:p>
        <w:p w14:paraId="6B9A1B15" w14:textId="646CAA36" w:rsidR="00C50695" w:rsidRDefault="00C50695">
          <w:pPr>
            <w:pStyle w:val="TOC2"/>
            <w:tabs>
              <w:tab w:val="right" w:leader="dot" w:pos="9350"/>
            </w:tabs>
            <w:rPr>
              <w:noProof/>
            </w:rPr>
          </w:pPr>
          <w:hyperlink w:anchor="_Toc225323373" w:history="1">
            <w:r w:rsidRPr="009759F7">
              <w:rPr>
                <w:rStyle w:val="Hyperlink"/>
                <w:noProof/>
              </w:rPr>
              <w:t>1.3 The Seven-Phase Work Programme</w:t>
            </w:r>
            <w:r>
              <w:rPr>
                <w:noProof/>
                <w:webHidden/>
              </w:rPr>
              <w:tab/>
            </w:r>
            <w:r>
              <w:rPr>
                <w:noProof/>
                <w:webHidden/>
              </w:rPr>
              <w:fldChar w:fldCharType="begin"/>
            </w:r>
            <w:r>
              <w:rPr>
                <w:noProof/>
                <w:webHidden/>
              </w:rPr>
              <w:instrText xml:space="preserve"> PAGEREF _Toc225323373 \h </w:instrText>
            </w:r>
            <w:r>
              <w:rPr>
                <w:noProof/>
                <w:webHidden/>
              </w:rPr>
            </w:r>
            <w:r>
              <w:rPr>
                <w:noProof/>
                <w:webHidden/>
              </w:rPr>
              <w:fldChar w:fldCharType="separate"/>
            </w:r>
            <w:r>
              <w:rPr>
                <w:noProof/>
                <w:webHidden/>
              </w:rPr>
              <w:t>10</w:t>
            </w:r>
            <w:r>
              <w:rPr>
                <w:noProof/>
                <w:webHidden/>
              </w:rPr>
              <w:fldChar w:fldCharType="end"/>
            </w:r>
          </w:hyperlink>
        </w:p>
        <w:p w14:paraId="120DE7DF" w14:textId="7702B949" w:rsidR="00C50695" w:rsidRDefault="00C50695">
          <w:pPr>
            <w:pStyle w:val="TOC2"/>
            <w:tabs>
              <w:tab w:val="right" w:leader="dot" w:pos="9350"/>
            </w:tabs>
            <w:rPr>
              <w:noProof/>
            </w:rPr>
          </w:pPr>
          <w:hyperlink w:anchor="_Toc225323374" w:history="1">
            <w:r w:rsidRPr="009759F7">
              <w:rPr>
                <w:rStyle w:val="Hyperlink"/>
                <w:noProof/>
              </w:rPr>
              <w:t>1.4 Purpose of This Standalone MRV Report</w:t>
            </w:r>
            <w:r>
              <w:rPr>
                <w:noProof/>
                <w:webHidden/>
              </w:rPr>
              <w:tab/>
            </w:r>
            <w:r>
              <w:rPr>
                <w:noProof/>
                <w:webHidden/>
              </w:rPr>
              <w:fldChar w:fldCharType="begin"/>
            </w:r>
            <w:r>
              <w:rPr>
                <w:noProof/>
                <w:webHidden/>
              </w:rPr>
              <w:instrText xml:space="preserve"> PAGEREF _Toc225323374 \h </w:instrText>
            </w:r>
            <w:r>
              <w:rPr>
                <w:noProof/>
                <w:webHidden/>
              </w:rPr>
            </w:r>
            <w:r>
              <w:rPr>
                <w:noProof/>
                <w:webHidden/>
              </w:rPr>
              <w:fldChar w:fldCharType="separate"/>
            </w:r>
            <w:r>
              <w:rPr>
                <w:noProof/>
                <w:webHidden/>
              </w:rPr>
              <w:t>11</w:t>
            </w:r>
            <w:r>
              <w:rPr>
                <w:noProof/>
                <w:webHidden/>
              </w:rPr>
              <w:fldChar w:fldCharType="end"/>
            </w:r>
          </w:hyperlink>
        </w:p>
        <w:p w14:paraId="3A851793" w14:textId="77F44167" w:rsidR="00C50695" w:rsidRDefault="00C50695">
          <w:pPr>
            <w:pStyle w:val="TOC2"/>
            <w:tabs>
              <w:tab w:val="right" w:leader="dot" w:pos="9350"/>
            </w:tabs>
            <w:rPr>
              <w:noProof/>
            </w:rPr>
          </w:pPr>
          <w:hyperlink w:anchor="_Toc225323375" w:history="1">
            <w:r w:rsidRPr="009759F7">
              <w:rPr>
                <w:rStyle w:val="Hyperlink"/>
                <w:noProof/>
              </w:rPr>
              <w:t>1.5 Geographic Scope</w:t>
            </w:r>
            <w:r>
              <w:rPr>
                <w:noProof/>
                <w:webHidden/>
              </w:rPr>
              <w:tab/>
            </w:r>
            <w:r>
              <w:rPr>
                <w:noProof/>
                <w:webHidden/>
              </w:rPr>
              <w:fldChar w:fldCharType="begin"/>
            </w:r>
            <w:r>
              <w:rPr>
                <w:noProof/>
                <w:webHidden/>
              </w:rPr>
              <w:instrText xml:space="preserve"> PAGEREF _Toc225323375 \h </w:instrText>
            </w:r>
            <w:r>
              <w:rPr>
                <w:noProof/>
                <w:webHidden/>
              </w:rPr>
            </w:r>
            <w:r>
              <w:rPr>
                <w:noProof/>
                <w:webHidden/>
              </w:rPr>
              <w:fldChar w:fldCharType="separate"/>
            </w:r>
            <w:r>
              <w:rPr>
                <w:noProof/>
                <w:webHidden/>
              </w:rPr>
              <w:t>12</w:t>
            </w:r>
            <w:r>
              <w:rPr>
                <w:noProof/>
                <w:webHidden/>
              </w:rPr>
              <w:fldChar w:fldCharType="end"/>
            </w:r>
          </w:hyperlink>
        </w:p>
        <w:p w14:paraId="1EE639C5" w14:textId="2B3EC98C" w:rsidR="00C50695" w:rsidRDefault="00C50695">
          <w:pPr>
            <w:pStyle w:val="TOC2"/>
            <w:tabs>
              <w:tab w:val="right" w:leader="dot" w:pos="9350"/>
            </w:tabs>
            <w:rPr>
              <w:noProof/>
            </w:rPr>
          </w:pPr>
          <w:hyperlink w:anchor="_Toc225323376" w:history="1">
            <w:r w:rsidRPr="009759F7">
              <w:rPr>
                <w:rStyle w:val="Hyperlink"/>
                <w:noProof/>
              </w:rPr>
              <w:t>1.6 Relationship to the Wider Baseline Package</w:t>
            </w:r>
            <w:r>
              <w:rPr>
                <w:noProof/>
                <w:webHidden/>
              </w:rPr>
              <w:tab/>
            </w:r>
            <w:r>
              <w:rPr>
                <w:noProof/>
                <w:webHidden/>
              </w:rPr>
              <w:fldChar w:fldCharType="begin"/>
            </w:r>
            <w:r>
              <w:rPr>
                <w:noProof/>
                <w:webHidden/>
              </w:rPr>
              <w:instrText xml:space="preserve"> PAGEREF _Toc225323376 \h </w:instrText>
            </w:r>
            <w:r>
              <w:rPr>
                <w:noProof/>
                <w:webHidden/>
              </w:rPr>
            </w:r>
            <w:r>
              <w:rPr>
                <w:noProof/>
                <w:webHidden/>
              </w:rPr>
              <w:fldChar w:fldCharType="separate"/>
            </w:r>
            <w:r>
              <w:rPr>
                <w:noProof/>
                <w:webHidden/>
              </w:rPr>
              <w:t>13</w:t>
            </w:r>
            <w:r>
              <w:rPr>
                <w:noProof/>
                <w:webHidden/>
              </w:rPr>
              <w:fldChar w:fldCharType="end"/>
            </w:r>
          </w:hyperlink>
        </w:p>
        <w:p w14:paraId="01430C78" w14:textId="3EFF97B4" w:rsidR="00C50695" w:rsidRDefault="00C50695">
          <w:pPr>
            <w:pStyle w:val="TOC2"/>
            <w:tabs>
              <w:tab w:val="right" w:leader="dot" w:pos="9350"/>
            </w:tabs>
            <w:rPr>
              <w:noProof/>
            </w:rPr>
          </w:pPr>
          <w:hyperlink w:anchor="_Toc225323377" w:history="1">
            <w:r w:rsidRPr="009759F7">
              <w:rPr>
                <w:rStyle w:val="Hyperlink"/>
                <w:noProof/>
              </w:rPr>
              <w:t>1.7 Structure of This Report</w:t>
            </w:r>
            <w:r>
              <w:rPr>
                <w:noProof/>
                <w:webHidden/>
              </w:rPr>
              <w:tab/>
            </w:r>
            <w:r>
              <w:rPr>
                <w:noProof/>
                <w:webHidden/>
              </w:rPr>
              <w:fldChar w:fldCharType="begin"/>
            </w:r>
            <w:r>
              <w:rPr>
                <w:noProof/>
                <w:webHidden/>
              </w:rPr>
              <w:instrText xml:space="preserve"> PAGEREF _Toc225323377 \h </w:instrText>
            </w:r>
            <w:r>
              <w:rPr>
                <w:noProof/>
                <w:webHidden/>
              </w:rPr>
            </w:r>
            <w:r>
              <w:rPr>
                <w:noProof/>
                <w:webHidden/>
              </w:rPr>
              <w:fldChar w:fldCharType="separate"/>
            </w:r>
            <w:r>
              <w:rPr>
                <w:noProof/>
                <w:webHidden/>
              </w:rPr>
              <w:t>14</w:t>
            </w:r>
            <w:r>
              <w:rPr>
                <w:noProof/>
                <w:webHidden/>
              </w:rPr>
              <w:fldChar w:fldCharType="end"/>
            </w:r>
          </w:hyperlink>
        </w:p>
        <w:p w14:paraId="0441F92A" w14:textId="3383A50E" w:rsidR="00C50695" w:rsidRDefault="00C50695">
          <w:pPr>
            <w:pStyle w:val="TOC1"/>
            <w:tabs>
              <w:tab w:val="right" w:leader="dot" w:pos="9350"/>
            </w:tabs>
            <w:rPr>
              <w:noProof/>
            </w:rPr>
          </w:pPr>
          <w:hyperlink w:anchor="_Toc225323378" w:history="1">
            <w:r w:rsidRPr="009759F7">
              <w:rPr>
                <w:rStyle w:val="Hyperlink"/>
                <w:noProof/>
              </w:rPr>
              <w:t>Chapter 2: Strategic Context and National Purpose</w:t>
            </w:r>
            <w:r>
              <w:rPr>
                <w:noProof/>
                <w:webHidden/>
              </w:rPr>
              <w:tab/>
            </w:r>
            <w:r>
              <w:rPr>
                <w:noProof/>
                <w:webHidden/>
              </w:rPr>
              <w:fldChar w:fldCharType="begin"/>
            </w:r>
            <w:r>
              <w:rPr>
                <w:noProof/>
                <w:webHidden/>
              </w:rPr>
              <w:instrText xml:space="preserve"> PAGEREF _Toc225323378 \h </w:instrText>
            </w:r>
            <w:r>
              <w:rPr>
                <w:noProof/>
                <w:webHidden/>
              </w:rPr>
            </w:r>
            <w:r>
              <w:rPr>
                <w:noProof/>
                <w:webHidden/>
              </w:rPr>
              <w:fldChar w:fldCharType="separate"/>
            </w:r>
            <w:r>
              <w:rPr>
                <w:noProof/>
                <w:webHidden/>
              </w:rPr>
              <w:t>16</w:t>
            </w:r>
            <w:r>
              <w:rPr>
                <w:noProof/>
                <w:webHidden/>
              </w:rPr>
              <w:fldChar w:fldCharType="end"/>
            </w:r>
          </w:hyperlink>
        </w:p>
        <w:p w14:paraId="7200821E" w14:textId="6550516C" w:rsidR="00C50695" w:rsidRDefault="00C50695">
          <w:pPr>
            <w:pStyle w:val="TOC2"/>
            <w:tabs>
              <w:tab w:val="right" w:leader="dot" w:pos="9350"/>
            </w:tabs>
            <w:rPr>
              <w:noProof/>
            </w:rPr>
          </w:pPr>
          <w:hyperlink w:anchor="_Toc225323379" w:history="1">
            <w:r w:rsidRPr="009759F7">
              <w:rPr>
                <w:rStyle w:val="Hyperlink"/>
                <w:noProof/>
              </w:rPr>
              <w:t>2.1 West Africa’s Coastal Crisis and Ghana’s National Response</w:t>
            </w:r>
            <w:r>
              <w:rPr>
                <w:noProof/>
                <w:webHidden/>
              </w:rPr>
              <w:tab/>
            </w:r>
            <w:r>
              <w:rPr>
                <w:noProof/>
                <w:webHidden/>
              </w:rPr>
              <w:fldChar w:fldCharType="begin"/>
            </w:r>
            <w:r>
              <w:rPr>
                <w:noProof/>
                <w:webHidden/>
              </w:rPr>
              <w:instrText xml:space="preserve"> PAGEREF _Toc225323379 \h </w:instrText>
            </w:r>
            <w:r>
              <w:rPr>
                <w:noProof/>
                <w:webHidden/>
              </w:rPr>
            </w:r>
            <w:r>
              <w:rPr>
                <w:noProof/>
                <w:webHidden/>
              </w:rPr>
              <w:fldChar w:fldCharType="separate"/>
            </w:r>
            <w:r>
              <w:rPr>
                <w:noProof/>
                <w:webHidden/>
              </w:rPr>
              <w:t>16</w:t>
            </w:r>
            <w:r>
              <w:rPr>
                <w:noProof/>
                <w:webHidden/>
              </w:rPr>
              <w:fldChar w:fldCharType="end"/>
            </w:r>
          </w:hyperlink>
        </w:p>
        <w:p w14:paraId="188CB7A3" w14:textId="0FB98FEF" w:rsidR="00C50695" w:rsidRDefault="00C50695">
          <w:pPr>
            <w:pStyle w:val="TOC2"/>
            <w:tabs>
              <w:tab w:val="right" w:leader="dot" w:pos="9350"/>
            </w:tabs>
            <w:rPr>
              <w:noProof/>
            </w:rPr>
          </w:pPr>
          <w:hyperlink w:anchor="_Toc225323380" w:history="1">
            <w:r w:rsidRPr="009759F7">
              <w:rPr>
                <w:rStyle w:val="Hyperlink"/>
                <w:noProof/>
              </w:rPr>
              <w:t>2.2 The Scale of Ghana’s Blue Carbon Resource</w:t>
            </w:r>
            <w:r>
              <w:rPr>
                <w:noProof/>
                <w:webHidden/>
              </w:rPr>
              <w:tab/>
            </w:r>
            <w:r>
              <w:rPr>
                <w:noProof/>
                <w:webHidden/>
              </w:rPr>
              <w:fldChar w:fldCharType="begin"/>
            </w:r>
            <w:r>
              <w:rPr>
                <w:noProof/>
                <w:webHidden/>
              </w:rPr>
              <w:instrText xml:space="preserve"> PAGEREF _Toc225323380 \h </w:instrText>
            </w:r>
            <w:r>
              <w:rPr>
                <w:noProof/>
                <w:webHidden/>
              </w:rPr>
            </w:r>
            <w:r>
              <w:rPr>
                <w:noProof/>
                <w:webHidden/>
              </w:rPr>
              <w:fldChar w:fldCharType="separate"/>
            </w:r>
            <w:r>
              <w:rPr>
                <w:noProof/>
                <w:webHidden/>
              </w:rPr>
              <w:t>17</w:t>
            </w:r>
            <w:r>
              <w:rPr>
                <w:noProof/>
                <w:webHidden/>
              </w:rPr>
              <w:fldChar w:fldCharType="end"/>
            </w:r>
          </w:hyperlink>
        </w:p>
        <w:p w14:paraId="696DB0AB" w14:textId="37389AC9" w:rsidR="00C50695" w:rsidRDefault="00C50695">
          <w:pPr>
            <w:pStyle w:val="TOC2"/>
            <w:tabs>
              <w:tab w:val="right" w:leader="dot" w:pos="9350"/>
            </w:tabs>
            <w:rPr>
              <w:noProof/>
            </w:rPr>
          </w:pPr>
          <w:hyperlink w:anchor="_Toc225323381" w:history="1">
            <w:r w:rsidRPr="009759F7">
              <w:rPr>
                <w:rStyle w:val="Hyperlink"/>
                <w:noProof/>
              </w:rPr>
              <w:t>2.3 The Landscape Concentration Risk: Keta, Songor, and Muni-Pomadze</w:t>
            </w:r>
            <w:r>
              <w:rPr>
                <w:noProof/>
                <w:webHidden/>
              </w:rPr>
              <w:tab/>
            </w:r>
            <w:r>
              <w:rPr>
                <w:noProof/>
                <w:webHidden/>
              </w:rPr>
              <w:fldChar w:fldCharType="begin"/>
            </w:r>
            <w:r>
              <w:rPr>
                <w:noProof/>
                <w:webHidden/>
              </w:rPr>
              <w:instrText xml:space="preserve"> PAGEREF _Toc225323381 \h </w:instrText>
            </w:r>
            <w:r>
              <w:rPr>
                <w:noProof/>
                <w:webHidden/>
              </w:rPr>
            </w:r>
            <w:r>
              <w:rPr>
                <w:noProof/>
                <w:webHidden/>
              </w:rPr>
              <w:fldChar w:fldCharType="separate"/>
            </w:r>
            <w:r>
              <w:rPr>
                <w:noProof/>
                <w:webHidden/>
              </w:rPr>
              <w:t>18</w:t>
            </w:r>
            <w:r>
              <w:rPr>
                <w:noProof/>
                <w:webHidden/>
              </w:rPr>
              <w:fldChar w:fldCharType="end"/>
            </w:r>
          </w:hyperlink>
        </w:p>
        <w:p w14:paraId="301F82C3" w14:textId="626FB19D" w:rsidR="00C50695" w:rsidRDefault="00C50695">
          <w:pPr>
            <w:pStyle w:val="TOC2"/>
            <w:tabs>
              <w:tab w:val="right" w:leader="dot" w:pos="9350"/>
            </w:tabs>
            <w:rPr>
              <w:noProof/>
            </w:rPr>
          </w:pPr>
          <w:hyperlink w:anchor="_Toc225323382" w:history="1">
            <w:r w:rsidRPr="009759F7">
              <w:rPr>
                <w:rStyle w:val="Hyperlink"/>
                <w:noProof/>
              </w:rPr>
              <w:t>2.4 The Drivers of Degradation</w:t>
            </w:r>
            <w:r>
              <w:rPr>
                <w:noProof/>
                <w:webHidden/>
              </w:rPr>
              <w:tab/>
            </w:r>
            <w:r>
              <w:rPr>
                <w:noProof/>
                <w:webHidden/>
              </w:rPr>
              <w:fldChar w:fldCharType="begin"/>
            </w:r>
            <w:r>
              <w:rPr>
                <w:noProof/>
                <w:webHidden/>
              </w:rPr>
              <w:instrText xml:space="preserve"> PAGEREF _Toc225323382 \h </w:instrText>
            </w:r>
            <w:r>
              <w:rPr>
                <w:noProof/>
                <w:webHidden/>
              </w:rPr>
            </w:r>
            <w:r>
              <w:rPr>
                <w:noProof/>
                <w:webHidden/>
              </w:rPr>
              <w:fldChar w:fldCharType="separate"/>
            </w:r>
            <w:r>
              <w:rPr>
                <w:noProof/>
                <w:webHidden/>
              </w:rPr>
              <w:t>20</w:t>
            </w:r>
            <w:r>
              <w:rPr>
                <w:noProof/>
                <w:webHidden/>
              </w:rPr>
              <w:fldChar w:fldCharType="end"/>
            </w:r>
          </w:hyperlink>
        </w:p>
        <w:p w14:paraId="43E8493B" w14:textId="2F4B9649" w:rsidR="00C50695" w:rsidRDefault="00C50695">
          <w:pPr>
            <w:pStyle w:val="TOC2"/>
            <w:tabs>
              <w:tab w:val="right" w:leader="dot" w:pos="9350"/>
            </w:tabs>
            <w:rPr>
              <w:noProof/>
            </w:rPr>
          </w:pPr>
          <w:hyperlink w:anchor="_Toc225323383" w:history="1">
            <w:r w:rsidRPr="009759F7">
              <w:rPr>
                <w:rStyle w:val="Hyperlink"/>
                <w:noProof/>
              </w:rPr>
              <w:t>2.5 Ghana’s Climate, Biodiversity, and Carbon Market Obligations</w:t>
            </w:r>
            <w:r>
              <w:rPr>
                <w:noProof/>
                <w:webHidden/>
              </w:rPr>
              <w:tab/>
            </w:r>
            <w:r>
              <w:rPr>
                <w:noProof/>
                <w:webHidden/>
              </w:rPr>
              <w:fldChar w:fldCharType="begin"/>
            </w:r>
            <w:r>
              <w:rPr>
                <w:noProof/>
                <w:webHidden/>
              </w:rPr>
              <w:instrText xml:space="preserve"> PAGEREF _Toc225323383 \h </w:instrText>
            </w:r>
            <w:r>
              <w:rPr>
                <w:noProof/>
                <w:webHidden/>
              </w:rPr>
            </w:r>
            <w:r>
              <w:rPr>
                <w:noProof/>
                <w:webHidden/>
              </w:rPr>
              <w:fldChar w:fldCharType="separate"/>
            </w:r>
            <w:r>
              <w:rPr>
                <w:noProof/>
                <w:webHidden/>
              </w:rPr>
              <w:t>22</w:t>
            </w:r>
            <w:r>
              <w:rPr>
                <w:noProof/>
                <w:webHidden/>
              </w:rPr>
              <w:fldChar w:fldCharType="end"/>
            </w:r>
          </w:hyperlink>
        </w:p>
        <w:p w14:paraId="414E46D5" w14:textId="52A9DBEC" w:rsidR="00C50695" w:rsidRDefault="00C50695">
          <w:pPr>
            <w:pStyle w:val="TOC2"/>
            <w:tabs>
              <w:tab w:val="right" w:leader="dot" w:pos="9350"/>
            </w:tabs>
            <w:rPr>
              <w:noProof/>
            </w:rPr>
          </w:pPr>
          <w:hyperlink w:anchor="_Toc225323384" w:history="1">
            <w:r w:rsidRPr="009759F7">
              <w:rPr>
                <w:rStyle w:val="Hyperlink"/>
                <w:noProof/>
              </w:rPr>
              <w:t>2.6 The 2025 National Baseline as the Year 0 Foundation</w:t>
            </w:r>
            <w:r>
              <w:rPr>
                <w:noProof/>
                <w:webHidden/>
              </w:rPr>
              <w:tab/>
            </w:r>
            <w:r>
              <w:rPr>
                <w:noProof/>
                <w:webHidden/>
              </w:rPr>
              <w:fldChar w:fldCharType="begin"/>
            </w:r>
            <w:r>
              <w:rPr>
                <w:noProof/>
                <w:webHidden/>
              </w:rPr>
              <w:instrText xml:space="preserve"> PAGEREF _Toc225323384 \h </w:instrText>
            </w:r>
            <w:r>
              <w:rPr>
                <w:noProof/>
                <w:webHidden/>
              </w:rPr>
            </w:r>
            <w:r>
              <w:rPr>
                <w:noProof/>
                <w:webHidden/>
              </w:rPr>
              <w:fldChar w:fldCharType="separate"/>
            </w:r>
            <w:r>
              <w:rPr>
                <w:noProof/>
                <w:webHidden/>
              </w:rPr>
              <w:t>23</w:t>
            </w:r>
            <w:r>
              <w:rPr>
                <w:noProof/>
                <w:webHidden/>
              </w:rPr>
              <w:fldChar w:fldCharType="end"/>
            </w:r>
          </w:hyperlink>
        </w:p>
        <w:p w14:paraId="73003085" w14:textId="5A637578" w:rsidR="00C50695" w:rsidRDefault="00C50695">
          <w:pPr>
            <w:pStyle w:val="TOC1"/>
            <w:tabs>
              <w:tab w:val="right" w:leader="dot" w:pos="9350"/>
            </w:tabs>
            <w:rPr>
              <w:noProof/>
            </w:rPr>
          </w:pPr>
          <w:hyperlink w:anchor="_Toc225323385" w:history="1">
            <w:r w:rsidRPr="009759F7">
              <w:rPr>
                <w:rStyle w:val="Hyperlink"/>
                <w:noProof/>
              </w:rPr>
              <w:t>Chapter 3: National MRV Architecture</w:t>
            </w:r>
            <w:r>
              <w:rPr>
                <w:noProof/>
                <w:webHidden/>
              </w:rPr>
              <w:tab/>
            </w:r>
            <w:r>
              <w:rPr>
                <w:noProof/>
                <w:webHidden/>
              </w:rPr>
              <w:fldChar w:fldCharType="begin"/>
            </w:r>
            <w:r>
              <w:rPr>
                <w:noProof/>
                <w:webHidden/>
              </w:rPr>
              <w:instrText xml:space="preserve"> PAGEREF _Toc225323385 \h </w:instrText>
            </w:r>
            <w:r>
              <w:rPr>
                <w:noProof/>
                <w:webHidden/>
              </w:rPr>
            </w:r>
            <w:r>
              <w:rPr>
                <w:noProof/>
                <w:webHidden/>
              </w:rPr>
              <w:fldChar w:fldCharType="separate"/>
            </w:r>
            <w:r>
              <w:rPr>
                <w:noProof/>
                <w:webHidden/>
              </w:rPr>
              <w:t>24</w:t>
            </w:r>
            <w:r>
              <w:rPr>
                <w:noProof/>
                <w:webHidden/>
              </w:rPr>
              <w:fldChar w:fldCharType="end"/>
            </w:r>
          </w:hyperlink>
        </w:p>
        <w:p w14:paraId="695241AB" w14:textId="39865093" w:rsidR="00C50695" w:rsidRDefault="00C50695">
          <w:pPr>
            <w:pStyle w:val="TOC2"/>
            <w:tabs>
              <w:tab w:val="right" w:leader="dot" w:pos="9350"/>
            </w:tabs>
            <w:rPr>
              <w:noProof/>
            </w:rPr>
          </w:pPr>
          <w:hyperlink w:anchor="_Toc225323386" w:history="1">
            <w:r w:rsidRPr="009759F7">
              <w:rPr>
                <w:rStyle w:val="Hyperlink"/>
                <w:noProof/>
              </w:rPr>
              <w:t>3.1 Design Philosophy</w:t>
            </w:r>
            <w:r>
              <w:rPr>
                <w:noProof/>
                <w:webHidden/>
              </w:rPr>
              <w:tab/>
            </w:r>
            <w:r>
              <w:rPr>
                <w:noProof/>
                <w:webHidden/>
              </w:rPr>
              <w:fldChar w:fldCharType="begin"/>
            </w:r>
            <w:r>
              <w:rPr>
                <w:noProof/>
                <w:webHidden/>
              </w:rPr>
              <w:instrText xml:space="preserve"> PAGEREF _Toc225323386 \h </w:instrText>
            </w:r>
            <w:r>
              <w:rPr>
                <w:noProof/>
                <w:webHidden/>
              </w:rPr>
            </w:r>
            <w:r>
              <w:rPr>
                <w:noProof/>
                <w:webHidden/>
              </w:rPr>
              <w:fldChar w:fldCharType="separate"/>
            </w:r>
            <w:r>
              <w:rPr>
                <w:noProof/>
                <w:webHidden/>
              </w:rPr>
              <w:t>24</w:t>
            </w:r>
            <w:r>
              <w:rPr>
                <w:noProof/>
                <w:webHidden/>
              </w:rPr>
              <w:fldChar w:fldCharType="end"/>
            </w:r>
          </w:hyperlink>
        </w:p>
        <w:p w14:paraId="13AE37EE" w14:textId="26901600" w:rsidR="00C50695" w:rsidRDefault="00C50695">
          <w:pPr>
            <w:pStyle w:val="TOC2"/>
            <w:tabs>
              <w:tab w:val="right" w:leader="dot" w:pos="9350"/>
            </w:tabs>
            <w:rPr>
              <w:noProof/>
            </w:rPr>
          </w:pPr>
          <w:hyperlink w:anchor="_Toc225323387" w:history="1">
            <w:r w:rsidRPr="009759F7">
              <w:rPr>
                <w:rStyle w:val="Hyperlink"/>
                <w:noProof/>
              </w:rPr>
              <w:t>3.2 The Four Institutional Tiers</w:t>
            </w:r>
            <w:r>
              <w:rPr>
                <w:noProof/>
                <w:webHidden/>
              </w:rPr>
              <w:tab/>
            </w:r>
            <w:r>
              <w:rPr>
                <w:noProof/>
                <w:webHidden/>
              </w:rPr>
              <w:fldChar w:fldCharType="begin"/>
            </w:r>
            <w:r>
              <w:rPr>
                <w:noProof/>
                <w:webHidden/>
              </w:rPr>
              <w:instrText xml:space="preserve"> PAGEREF _Toc225323387 \h </w:instrText>
            </w:r>
            <w:r>
              <w:rPr>
                <w:noProof/>
                <w:webHidden/>
              </w:rPr>
            </w:r>
            <w:r>
              <w:rPr>
                <w:noProof/>
                <w:webHidden/>
              </w:rPr>
              <w:fldChar w:fldCharType="separate"/>
            </w:r>
            <w:r>
              <w:rPr>
                <w:noProof/>
                <w:webHidden/>
              </w:rPr>
              <w:t>25</w:t>
            </w:r>
            <w:r>
              <w:rPr>
                <w:noProof/>
                <w:webHidden/>
              </w:rPr>
              <w:fldChar w:fldCharType="end"/>
            </w:r>
          </w:hyperlink>
        </w:p>
        <w:p w14:paraId="1DA47423" w14:textId="66453D9B" w:rsidR="00C50695" w:rsidRDefault="00C50695">
          <w:pPr>
            <w:pStyle w:val="TOC2"/>
            <w:tabs>
              <w:tab w:val="right" w:leader="dot" w:pos="9350"/>
            </w:tabs>
            <w:rPr>
              <w:noProof/>
            </w:rPr>
          </w:pPr>
          <w:hyperlink w:anchor="_Toc225323388" w:history="1">
            <w:r w:rsidRPr="009759F7">
              <w:rPr>
                <w:rStyle w:val="Hyperlink"/>
                <w:noProof/>
              </w:rPr>
              <w:t>3.3 The Three Functional Layers</w:t>
            </w:r>
            <w:r>
              <w:rPr>
                <w:noProof/>
                <w:webHidden/>
              </w:rPr>
              <w:tab/>
            </w:r>
            <w:r>
              <w:rPr>
                <w:noProof/>
                <w:webHidden/>
              </w:rPr>
              <w:fldChar w:fldCharType="begin"/>
            </w:r>
            <w:r>
              <w:rPr>
                <w:noProof/>
                <w:webHidden/>
              </w:rPr>
              <w:instrText xml:space="preserve"> PAGEREF _Toc225323388 \h </w:instrText>
            </w:r>
            <w:r>
              <w:rPr>
                <w:noProof/>
                <w:webHidden/>
              </w:rPr>
            </w:r>
            <w:r>
              <w:rPr>
                <w:noProof/>
                <w:webHidden/>
              </w:rPr>
              <w:fldChar w:fldCharType="separate"/>
            </w:r>
            <w:r>
              <w:rPr>
                <w:noProof/>
                <w:webHidden/>
              </w:rPr>
              <w:t>28</w:t>
            </w:r>
            <w:r>
              <w:rPr>
                <w:noProof/>
                <w:webHidden/>
              </w:rPr>
              <w:fldChar w:fldCharType="end"/>
            </w:r>
          </w:hyperlink>
        </w:p>
        <w:p w14:paraId="490831EA" w14:textId="43124F55" w:rsidR="00C50695" w:rsidRDefault="00C50695">
          <w:pPr>
            <w:pStyle w:val="TOC2"/>
            <w:tabs>
              <w:tab w:val="right" w:leader="dot" w:pos="9350"/>
            </w:tabs>
            <w:rPr>
              <w:noProof/>
            </w:rPr>
          </w:pPr>
          <w:hyperlink w:anchor="_Toc225323389" w:history="1">
            <w:r w:rsidRPr="009759F7">
              <w:rPr>
                <w:rStyle w:val="Hyperlink"/>
                <w:noProof/>
              </w:rPr>
              <w:t>3.4 Integration — How the Layers Work Together</w:t>
            </w:r>
            <w:r>
              <w:rPr>
                <w:noProof/>
                <w:webHidden/>
              </w:rPr>
              <w:tab/>
            </w:r>
            <w:r>
              <w:rPr>
                <w:noProof/>
                <w:webHidden/>
              </w:rPr>
              <w:fldChar w:fldCharType="begin"/>
            </w:r>
            <w:r>
              <w:rPr>
                <w:noProof/>
                <w:webHidden/>
              </w:rPr>
              <w:instrText xml:space="preserve"> PAGEREF _Toc225323389 \h </w:instrText>
            </w:r>
            <w:r>
              <w:rPr>
                <w:noProof/>
                <w:webHidden/>
              </w:rPr>
            </w:r>
            <w:r>
              <w:rPr>
                <w:noProof/>
                <w:webHidden/>
              </w:rPr>
              <w:fldChar w:fldCharType="separate"/>
            </w:r>
            <w:r>
              <w:rPr>
                <w:noProof/>
                <w:webHidden/>
              </w:rPr>
              <w:t>31</w:t>
            </w:r>
            <w:r>
              <w:rPr>
                <w:noProof/>
                <w:webHidden/>
              </w:rPr>
              <w:fldChar w:fldCharType="end"/>
            </w:r>
          </w:hyperlink>
        </w:p>
        <w:p w14:paraId="5A6FB79F" w14:textId="5EB2C648" w:rsidR="00C50695" w:rsidRDefault="00C50695">
          <w:pPr>
            <w:pStyle w:val="TOC2"/>
            <w:tabs>
              <w:tab w:val="right" w:leader="dot" w:pos="9350"/>
            </w:tabs>
            <w:rPr>
              <w:noProof/>
            </w:rPr>
          </w:pPr>
          <w:hyperlink w:anchor="_Toc225323390" w:history="1">
            <w:r w:rsidRPr="009759F7">
              <w:rPr>
                <w:rStyle w:val="Hyperlink"/>
                <w:noProof/>
              </w:rPr>
              <w:t>3.5 The Digital Platform as the Connective Architecture</w:t>
            </w:r>
            <w:r>
              <w:rPr>
                <w:noProof/>
                <w:webHidden/>
              </w:rPr>
              <w:tab/>
            </w:r>
            <w:r>
              <w:rPr>
                <w:noProof/>
                <w:webHidden/>
              </w:rPr>
              <w:fldChar w:fldCharType="begin"/>
            </w:r>
            <w:r>
              <w:rPr>
                <w:noProof/>
                <w:webHidden/>
              </w:rPr>
              <w:instrText xml:space="preserve"> PAGEREF _Toc225323390 \h </w:instrText>
            </w:r>
            <w:r>
              <w:rPr>
                <w:noProof/>
                <w:webHidden/>
              </w:rPr>
            </w:r>
            <w:r>
              <w:rPr>
                <w:noProof/>
                <w:webHidden/>
              </w:rPr>
              <w:fldChar w:fldCharType="separate"/>
            </w:r>
            <w:r>
              <w:rPr>
                <w:noProof/>
                <w:webHidden/>
              </w:rPr>
              <w:t>33</w:t>
            </w:r>
            <w:r>
              <w:rPr>
                <w:noProof/>
                <w:webHidden/>
              </w:rPr>
              <w:fldChar w:fldCharType="end"/>
            </w:r>
          </w:hyperlink>
        </w:p>
        <w:p w14:paraId="0AE431E5" w14:textId="07444144" w:rsidR="00C50695" w:rsidRDefault="00C50695">
          <w:pPr>
            <w:pStyle w:val="TOC1"/>
            <w:tabs>
              <w:tab w:val="right" w:leader="dot" w:pos="9350"/>
            </w:tabs>
            <w:rPr>
              <w:noProof/>
            </w:rPr>
          </w:pPr>
          <w:hyperlink w:anchor="_Toc225323391" w:history="1">
            <w:r w:rsidRPr="009759F7">
              <w:rPr>
                <w:rStyle w:val="Hyperlink"/>
                <w:noProof/>
              </w:rPr>
              <w:t>Chapter 4: Ecological and Carbon Integrity Layer</w:t>
            </w:r>
            <w:r>
              <w:rPr>
                <w:noProof/>
                <w:webHidden/>
              </w:rPr>
              <w:tab/>
            </w:r>
            <w:r>
              <w:rPr>
                <w:noProof/>
                <w:webHidden/>
              </w:rPr>
              <w:fldChar w:fldCharType="begin"/>
            </w:r>
            <w:r>
              <w:rPr>
                <w:noProof/>
                <w:webHidden/>
              </w:rPr>
              <w:instrText xml:space="preserve"> PAGEREF _Toc225323391 \h </w:instrText>
            </w:r>
            <w:r>
              <w:rPr>
                <w:noProof/>
                <w:webHidden/>
              </w:rPr>
            </w:r>
            <w:r>
              <w:rPr>
                <w:noProof/>
                <w:webHidden/>
              </w:rPr>
              <w:fldChar w:fldCharType="separate"/>
            </w:r>
            <w:r>
              <w:rPr>
                <w:noProof/>
                <w:webHidden/>
              </w:rPr>
              <w:t>33</w:t>
            </w:r>
            <w:r>
              <w:rPr>
                <w:noProof/>
                <w:webHidden/>
              </w:rPr>
              <w:fldChar w:fldCharType="end"/>
            </w:r>
          </w:hyperlink>
        </w:p>
        <w:p w14:paraId="6F5ADD94" w14:textId="71C1DD02" w:rsidR="00C50695" w:rsidRDefault="00C50695">
          <w:pPr>
            <w:pStyle w:val="TOC2"/>
            <w:tabs>
              <w:tab w:val="right" w:leader="dot" w:pos="9350"/>
            </w:tabs>
            <w:rPr>
              <w:noProof/>
            </w:rPr>
          </w:pPr>
          <w:hyperlink w:anchor="_Toc225323392" w:history="1">
            <w:r w:rsidRPr="009759F7">
              <w:rPr>
                <w:rStyle w:val="Hyperlink"/>
                <w:noProof/>
              </w:rPr>
              <w:t>4.1 Purpose of the Ecological and Carbon Integrity Layer</w:t>
            </w:r>
            <w:r>
              <w:rPr>
                <w:noProof/>
                <w:webHidden/>
              </w:rPr>
              <w:tab/>
            </w:r>
            <w:r>
              <w:rPr>
                <w:noProof/>
                <w:webHidden/>
              </w:rPr>
              <w:fldChar w:fldCharType="begin"/>
            </w:r>
            <w:r>
              <w:rPr>
                <w:noProof/>
                <w:webHidden/>
              </w:rPr>
              <w:instrText xml:space="preserve"> PAGEREF _Toc225323392 \h </w:instrText>
            </w:r>
            <w:r>
              <w:rPr>
                <w:noProof/>
                <w:webHidden/>
              </w:rPr>
            </w:r>
            <w:r>
              <w:rPr>
                <w:noProof/>
                <w:webHidden/>
              </w:rPr>
              <w:fldChar w:fldCharType="separate"/>
            </w:r>
            <w:r>
              <w:rPr>
                <w:noProof/>
                <w:webHidden/>
              </w:rPr>
              <w:t>33</w:t>
            </w:r>
            <w:r>
              <w:rPr>
                <w:noProof/>
                <w:webHidden/>
              </w:rPr>
              <w:fldChar w:fldCharType="end"/>
            </w:r>
          </w:hyperlink>
        </w:p>
        <w:p w14:paraId="0BF36A3C" w14:textId="393FE4BA" w:rsidR="00C50695" w:rsidRDefault="00C50695">
          <w:pPr>
            <w:pStyle w:val="TOC2"/>
            <w:tabs>
              <w:tab w:val="right" w:leader="dot" w:pos="9350"/>
            </w:tabs>
            <w:rPr>
              <w:noProof/>
            </w:rPr>
          </w:pPr>
          <w:hyperlink w:anchor="_Toc225323393" w:history="1">
            <w:r w:rsidRPr="009759F7">
              <w:rPr>
                <w:rStyle w:val="Hyperlink"/>
                <w:noProof/>
              </w:rPr>
              <w:t>4.2 Carbon Pools Assessed</w:t>
            </w:r>
            <w:r>
              <w:rPr>
                <w:noProof/>
                <w:webHidden/>
              </w:rPr>
              <w:tab/>
            </w:r>
            <w:r>
              <w:rPr>
                <w:noProof/>
                <w:webHidden/>
              </w:rPr>
              <w:fldChar w:fldCharType="begin"/>
            </w:r>
            <w:r>
              <w:rPr>
                <w:noProof/>
                <w:webHidden/>
              </w:rPr>
              <w:instrText xml:space="preserve"> PAGEREF _Toc225323393 \h </w:instrText>
            </w:r>
            <w:r>
              <w:rPr>
                <w:noProof/>
                <w:webHidden/>
              </w:rPr>
            </w:r>
            <w:r>
              <w:rPr>
                <w:noProof/>
                <w:webHidden/>
              </w:rPr>
              <w:fldChar w:fldCharType="separate"/>
            </w:r>
            <w:r>
              <w:rPr>
                <w:noProof/>
                <w:webHidden/>
              </w:rPr>
              <w:t>34</w:t>
            </w:r>
            <w:r>
              <w:rPr>
                <w:noProof/>
                <w:webHidden/>
              </w:rPr>
              <w:fldChar w:fldCharType="end"/>
            </w:r>
          </w:hyperlink>
        </w:p>
        <w:p w14:paraId="143F2FD4" w14:textId="3F855F30" w:rsidR="00C50695" w:rsidRDefault="00C50695">
          <w:pPr>
            <w:pStyle w:val="TOC2"/>
            <w:tabs>
              <w:tab w:val="right" w:leader="dot" w:pos="9350"/>
            </w:tabs>
            <w:rPr>
              <w:noProof/>
            </w:rPr>
          </w:pPr>
          <w:hyperlink w:anchor="_Toc225323394" w:history="1">
            <w:r w:rsidRPr="009759F7">
              <w:rPr>
                <w:rStyle w:val="Hyperlink"/>
                <w:noProof/>
              </w:rPr>
              <w:t>4.3 Permanent Sample Plots</w:t>
            </w:r>
            <w:r>
              <w:rPr>
                <w:noProof/>
                <w:webHidden/>
              </w:rPr>
              <w:tab/>
            </w:r>
            <w:r>
              <w:rPr>
                <w:noProof/>
                <w:webHidden/>
              </w:rPr>
              <w:fldChar w:fldCharType="begin"/>
            </w:r>
            <w:r>
              <w:rPr>
                <w:noProof/>
                <w:webHidden/>
              </w:rPr>
              <w:instrText xml:space="preserve"> PAGEREF _Toc225323394 \h </w:instrText>
            </w:r>
            <w:r>
              <w:rPr>
                <w:noProof/>
                <w:webHidden/>
              </w:rPr>
            </w:r>
            <w:r>
              <w:rPr>
                <w:noProof/>
                <w:webHidden/>
              </w:rPr>
              <w:fldChar w:fldCharType="separate"/>
            </w:r>
            <w:r>
              <w:rPr>
                <w:noProof/>
                <w:webHidden/>
              </w:rPr>
              <w:t>35</w:t>
            </w:r>
            <w:r>
              <w:rPr>
                <w:noProof/>
                <w:webHidden/>
              </w:rPr>
              <w:fldChar w:fldCharType="end"/>
            </w:r>
          </w:hyperlink>
        </w:p>
        <w:p w14:paraId="571A9C0D" w14:textId="20D9829E" w:rsidR="00C50695" w:rsidRDefault="00C50695">
          <w:pPr>
            <w:pStyle w:val="TOC2"/>
            <w:tabs>
              <w:tab w:val="right" w:leader="dot" w:pos="9350"/>
            </w:tabs>
            <w:rPr>
              <w:noProof/>
            </w:rPr>
          </w:pPr>
          <w:hyperlink w:anchor="_Toc225323395" w:history="1">
            <w:r w:rsidRPr="009759F7">
              <w:rPr>
                <w:rStyle w:val="Hyperlink"/>
                <w:noProof/>
              </w:rPr>
              <w:t>4.4 Mangrove Extent Monitoring</w:t>
            </w:r>
            <w:r>
              <w:rPr>
                <w:noProof/>
                <w:webHidden/>
              </w:rPr>
              <w:tab/>
            </w:r>
            <w:r>
              <w:rPr>
                <w:noProof/>
                <w:webHidden/>
              </w:rPr>
              <w:fldChar w:fldCharType="begin"/>
            </w:r>
            <w:r>
              <w:rPr>
                <w:noProof/>
                <w:webHidden/>
              </w:rPr>
              <w:instrText xml:space="preserve"> PAGEREF _Toc225323395 \h </w:instrText>
            </w:r>
            <w:r>
              <w:rPr>
                <w:noProof/>
                <w:webHidden/>
              </w:rPr>
            </w:r>
            <w:r>
              <w:rPr>
                <w:noProof/>
                <w:webHidden/>
              </w:rPr>
              <w:fldChar w:fldCharType="separate"/>
            </w:r>
            <w:r>
              <w:rPr>
                <w:noProof/>
                <w:webHidden/>
              </w:rPr>
              <w:t>37</w:t>
            </w:r>
            <w:r>
              <w:rPr>
                <w:noProof/>
                <w:webHidden/>
              </w:rPr>
              <w:fldChar w:fldCharType="end"/>
            </w:r>
          </w:hyperlink>
        </w:p>
        <w:p w14:paraId="32E175DE" w14:textId="3CA84690" w:rsidR="00C50695" w:rsidRDefault="00C50695">
          <w:pPr>
            <w:pStyle w:val="TOC2"/>
            <w:tabs>
              <w:tab w:val="right" w:leader="dot" w:pos="9350"/>
            </w:tabs>
            <w:rPr>
              <w:noProof/>
            </w:rPr>
          </w:pPr>
          <w:hyperlink w:anchor="_Toc225323396" w:history="1">
            <w:r w:rsidRPr="009759F7">
              <w:rPr>
                <w:rStyle w:val="Hyperlink"/>
                <w:noProof/>
              </w:rPr>
              <w:t>4.5 Restoration Performance Monitoring</w:t>
            </w:r>
            <w:r>
              <w:rPr>
                <w:noProof/>
                <w:webHidden/>
              </w:rPr>
              <w:tab/>
            </w:r>
            <w:r>
              <w:rPr>
                <w:noProof/>
                <w:webHidden/>
              </w:rPr>
              <w:fldChar w:fldCharType="begin"/>
            </w:r>
            <w:r>
              <w:rPr>
                <w:noProof/>
                <w:webHidden/>
              </w:rPr>
              <w:instrText xml:space="preserve"> PAGEREF _Toc225323396 \h </w:instrText>
            </w:r>
            <w:r>
              <w:rPr>
                <w:noProof/>
                <w:webHidden/>
              </w:rPr>
            </w:r>
            <w:r>
              <w:rPr>
                <w:noProof/>
                <w:webHidden/>
              </w:rPr>
              <w:fldChar w:fldCharType="separate"/>
            </w:r>
            <w:r>
              <w:rPr>
                <w:noProof/>
                <w:webHidden/>
              </w:rPr>
              <w:t>38</w:t>
            </w:r>
            <w:r>
              <w:rPr>
                <w:noProof/>
                <w:webHidden/>
              </w:rPr>
              <w:fldChar w:fldCharType="end"/>
            </w:r>
          </w:hyperlink>
        </w:p>
        <w:p w14:paraId="0E7382A5" w14:textId="287658B0" w:rsidR="00C50695" w:rsidRDefault="00C50695">
          <w:pPr>
            <w:pStyle w:val="TOC2"/>
            <w:tabs>
              <w:tab w:val="right" w:leader="dot" w:pos="9350"/>
            </w:tabs>
            <w:rPr>
              <w:noProof/>
            </w:rPr>
          </w:pPr>
          <w:hyperlink w:anchor="_Toc225323397" w:history="1">
            <w:r w:rsidRPr="009759F7">
              <w:rPr>
                <w:rStyle w:val="Hyperlink"/>
                <w:noProof/>
              </w:rPr>
              <w:t>4.6 The Degradation Baseline and Additionality</w:t>
            </w:r>
            <w:r>
              <w:rPr>
                <w:noProof/>
                <w:webHidden/>
              </w:rPr>
              <w:tab/>
            </w:r>
            <w:r>
              <w:rPr>
                <w:noProof/>
                <w:webHidden/>
              </w:rPr>
              <w:fldChar w:fldCharType="begin"/>
            </w:r>
            <w:r>
              <w:rPr>
                <w:noProof/>
                <w:webHidden/>
              </w:rPr>
              <w:instrText xml:space="preserve"> PAGEREF _Toc225323397 \h </w:instrText>
            </w:r>
            <w:r>
              <w:rPr>
                <w:noProof/>
                <w:webHidden/>
              </w:rPr>
            </w:r>
            <w:r>
              <w:rPr>
                <w:noProof/>
                <w:webHidden/>
              </w:rPr>
              <w:fldChar w:fldCharType="separate"/>
            </w:r>
            <w:r>
              <w:rPr>
                <w:noProof/>
                <w:webHidden/>
              </w:rPr>
              <w:t>40</w:t>
            </w:r>
            <w:r>
              <w:rPr>
                <w:noProof/>
                <w:webHidden/>
              </w:rPr>
              <w:fldChar w:fldCharType="end"/>
            </w:r>
          </w:hyperlink>
        </w:p>
        <w:p w14:paraId="0067A1E0" w14:textId="13091BE7" w:rsidR="00C50695" w:rsidRDefault="00C50695">
          <w:pPr>
            <w:pStyle w:val="TOC2"/>
            <w:tabs>
              <w:tab w:val="right" w:leader="dot" w:pos="9350"/>
            </w:tabs>
            <w:rPr>
              <w:noProof/>
            </w:rPr>
          </w:pPr>
          <w:hyperlink w:anchor="_Toc225323398" w:history="1">
            <w:r w:rsidRPr="009759F7">
              <w:rPr>
                <w:rStyle w:val="Hyperlink"/>
                <w:noProof/>
              </w:rPr>
              <w:t>4.7 Data Flow from Field to National Record</w:t>
            </w:r>
            <w:r>
              <w:rPr>
                <w:noProof/>
                <w:webHidden/>
              </w:rPr>
              <w:tab/>
            </w:r>
            <w:r>
              <w:rPr>
                <w:noProof/>
                <w:webHidden/>
              </w:rPr>
              <w:fldChar w:fldCharType="begin"/>
            </w:r>
            <w:r>
              <w:rPr>
                <w:noProof/>
                <w:webHidden/>
              </w:rPr>
              <w:instrText xml:space="preserve"> PAGEREF _Toc225323398 \h </w:instrText>
            </w:r>
            <w:r>
              <w:rPr>
                <w:noProof/>
                <w:webHidden/>
              </w:rPr>
            </w:r>
            <w:r>
              <w:rPr>
                <w:noProof/>
                <w:webHidden/>
              </w:rPr>
              <w:fldChar w:fldCharType="separate"/>
            </w:r>
            <w:r>
              <w:rPr>
                <w:noProof/>
                <w:webHidden/>
              </w:rPr>
              <w:t>41</w:t>
            </w:r>
            <w:r>
              <w:rPr>
                <w:noProof/>
                <w:webHidden/>
              </w:rPr>
              <w:fldChar w:fldCharType="end"/>
            </w:r>
          </w:hyperlink>
        </w:p>
        <w:p w14:paraId="22B9CF1D" w14:textId="5527A92B" w:rsidR="00C50695" w:rsidRDefault="00C50695">
          <w:pPr>
            <w:pStyle w:val="TOC1"/>
            <w:tabs>
              <w:tab w:val="right" w:leader="dot" w:pos="9350"/>
            </w:tabs>
            <w:rPr>
              <w:noProof/>
            </w:rPr>
          </w:pPr>
          <w:hyperlink w:anchor="_Toc225323399" w:history="1">
            <w:r w:rsidRPr="009759F7">
              <w:rPr>
                <w:rStyle w:val="Hyperlink"/>
                <w:noProof/>
              </w:rPr>
              <w:t>Chapter 5: Environmental Pressure Surveillance</w:t>
            </w:r>
            <w:r>
              <w:rPr>
                <w:noProof/>
                <w:webHidden/>
              </w:rPr>
              <w:tab/>
            </w:r>
            <w:r>
              <w:rPr>
                <w:noProof/>
                <w:webHidden/>
              </w:rPr>
              <w:fldChar w:fldCharType="begin"/>
            </w:r>
            <w:r>
              <w:rPr>
                <w:noProof/>
                <w:webHidden/>
              </w:rPr>
              <w:instrText xml:space="preserve"> PAGEREF _Toc225323399 \h </w:instrText>
            </w:r>
            <w:r>
              <w:rPr>
                <w:noProof/>
                <w:webHidden/>
              </w:rPr>
            </w:r>
            <w:r>
              <w:rPr>
                <w:noProof/>
                <w:webHidden/>
              </w:rPr>
              <w:fldChar w:fldCharType="separate"/>
            </w:r>
            <w:r>
              <w:rPr>
                <w:noProof/>
                <w:webHidden/>
              </w:rPr>
              <w:t>43</w:t>
            </w:r>
            <w:r>
              <w:rPr>
                <w:noProof/>
                <w:webHidden/>
              </w:rPr>
              <w:fldChar w:fldCharType="end"/>
            </w:r>
          </w:hyperlink>
        </w:p>
        <w:p w14:paraId="4D4B62FA" w14:textId="09CC694D" w:rsidR="00C50695" w:rsidRDefault="00C50695">
          <w:pPr>
            <w:pStyle w:val="TOC2"/>
            <w:tabs>
              <w:tab w:val="right" w:leader="dot" w:pos="9350"/>
            </w:tabs>
            <w:rPr>
              <w:noProof/>
            </w:rPr>
          </w:pPr>
          <w:hyperlink w:anchor="_Toc225323400" w:history="1">
            <w:r w:rsidRPr="009759F7">
              <w:rPr>
                <w:rStyle w:val="Hyperlink"/>
                <w:noProof/>
              </w:rPr>
              <w:t>5.1 Purpose of Environmental Pressure Surveillance</w:t>
            </w:r>
            <w:r>
              <w:rPr>
                <w:noProof/>
                <w:webHidden/>
              </w:rPr>
              <w:tab/>
            </w:r>
            <w:r>
              <w:rPr>
                <w:noProof/>
                <w:webHidden/>
              </w:rPr>
              <w:fldChar w:fldCharType="begin"/>
            </w:r>
            <w:r>
              <w:rPr>
                <w:noProof/>
                <w:webHidden/>
              </w:rPr>
              <w:instrText xml:space="preserve"> PAGEREF _Toc225323400 \h </w:instrText>
            </w:r>
            <w:r>
              <w:rPr>
                <w:noProof/>
                <w:webHidden/>
              </w:rPr>
            </w:r>
            <w:r>
              <w:rPr>
                <w:noProof/>
                <w:webHidden/>
              </w:rPr>
              <w:fldChar w:fldCharType="separate"/>
            </w:r>
            <w:r>
              <w:rPr>
                <w:noProof/>
                <w:webHidden/>
              </w:rPr>
              <w:t>43</w:t>
            </w:r>
            <w:r>
              <w:rPr>
                <w:noProof/>
                <w:webHidden/>
              </w:rPr>
              <w:fldChar w:fldCharType="end"/>
            </w:r>
          </w:hyperlink>
        </w:p>
        <w:p w14:paraId="6020F812" w14:textId="7DDB28FF" w:rsidR="00C50695" w:rsidRDefault="00C50695">
          <w:pPr>
            <w:pStyle w:val="TOC2"/>
            <w:tabs>
              <w:tab w:val="right" w:leader="dot" w:pos="9350"/>
            </w:tabs>
            <w:rPr>
              <w:noProof/>
            </w:rPr>
          </w:pPr>
          <w:hyperlink w:anchor="_Toc225323401" w:history="1">
            <w:r w:rsidRPr="009759F7">
              <w:rPr>
                <w:rStyle w:val="Hyperlink"/>
                <w:noProof/>
              </w:rPr>
              <w:t>5.2 The Degradation Profiles of the Three Ramsar Sites</w:t>
            </w:r>
            <w:r>
              <w:rPr>
                <w:noProof/>
                <w:webHidden/>
              </w:rPr>
              <w:tab/>
            </w:r>
            <w:r>
              <w:rPr>
                <w:noProof/>
                <w:webHidden/>
              </w:rPr>
              <w:fldChar w:fldCharType="begin"/>
            </w:r>
            <w:r>
              <w:rPr>
                <w:noProof/>
                <w:webHidden/>
              </w:rPr>
              <w:instrText xml:space="preserve"> PAGEREF _Toc225323401 \h </w:instrText>
            </w:r>
            <w:r>
              <w:rPr>
                <w:noProof/>
                <w:webHidden/>
              </w:rPr>
            </w:r>
            <w:r>
              <w:rPr>
                <w:noProof/>
                <w:webHidden/>
              </w:rPr>
              <w:fldChar w:fldCharType="separate"/>
            </w:r>
            <w:r>
              <w:rPr>
                <w:noProof/>
                <w:webHidden/>
              </w:rPr>
              <w:t>44</w:t>
            </w:r>
            <w:r>
              <w:rPr>
                <w:noProof/>
                <w:webHidden/>
              </w:rPr>
              <w:fldChar w:fldCharType="end"/>
            </w:r>
          </w:hyperlink>
        </w:p>
        <w:p w14:paraId="6BD9AFEA" w14:textId="0DFE546B" w:rsidR="00C50695" w:rsidRDefault="00C50695">
          <w:pPr>
            <w:pStyle w:val="TOC2"/>
            <w:tabs>
              <w:tab w:val="right" w:leader="dot" w:pos="9350"/>
            </w:tabs>
            <w:rPr>
              <w:noProof/>
            </w:rPr>
          </w:pPr>
          <w:hyperlink w:anchor="_Toc225323402" w:history="1">
            <w:r w:rsidRPr="009759F7">
              <w:rPr>
                <w:rStyle w:val="Hyperlink"/>
                <w:noProof/>
              </w:rPr>
              <w:t>5.3 The Five Core Pressure Indicators</w:t>
            </w:r>
            <w:r>
              <w:rPr>
                <w:noProof/>
                <w:webHidden/>
              </w:rPr>
              <w:tab/>
            </w:r>
            <w:r>
              <w:rPr>
                <w:noProof/>
                <w:webHidden/>
              </w:rPr>
              <w:fldChar w:fldCharType="begin"/>
            </w:r>
            <w:r>
              <w:rPr>
                <w:noProof/>
                <w:webHidden/>
              </w:rPr>
              <w:instrText xml:space="preserve"> PAGEREF _Toc225323402 \h </w:instrText>
            </w:r>
            <w:r>
              <w:rPr>
                <w:noProof/>
                <w:webHidden/>
              </w:rPr>
            </w:r>
            <w:r>
              <w:rPr>
                <w:noProof/>
                <w:webHidden/>
              </w:rPr>
              <w:fldChar w:fldCharType="separate"/>
            </w:r>
            <w:r>
              <w:rPr>
                <w:noProof/>
                <w:webHidden/>
              </w:rPr>
              <w:t>47</w:t>
            </w:r>
            <w:r>
              <w:rPr>
                <w:noProof/>
                <w:webHidden/>
              </w:rPr>
              <w:fldChar w:fldCharType="end"/>
            </w:r>
          </w:hyperlink>
        </w:p>
        <w:p w14:paraId="193E9AFF" w14:textId="28036707" w:rsidR="00C50695" w:rsidRDefault="00C50695">
          <w:pPr>
            <w:pStyle w:val="TOC2"/>
            <w:tabs>
              <w:tab w:val="right" w:leader="dot" w:pos="9350"/>
            </w:tabs>
            <w:rPr>
              <w:noProof/>
            </w:rPr>
          </w:pPr>
          <w:hyperlink w:anchor="_Toc225323403" w:history="1">
            <w:r w:rsidRPr="009759F7">
              <w:rPr>
                <w:rStyle w:val="Hyperlink"/>
                <w:noProof/>
              </w:rPr>
              <w:t>5.4 Leakage Risk Management</w:t>
            </w:r>
            <w:r>
              <w:rPr>
                <w:noProof/>
                <w:webHidden/>
              </w:rPr>
              <w:tab/>
            </w:r>
            <w:r>
              <w:rPr>
                <w:noProof/>
                <w:webHidden/>
              </w:rPr>
              <w:fldChar w:fldCharType="begin"/>
            </w:r>
            <w:r>
              <w:rPr>
                <w:noProof/>
                <w:webHidden/>
              </w:rPr>
              <w:instrText xml:space="preserve"> PAGEREF _Toc225323403 \h </w:instrText>
            </w:r>
            <w:r>
              <w:rPr>
                <w:noProof/>
                <w:webHidden/>
              </w:rPr>
            </w:r>
            <w:r>
              <w:rPr>
                <w:noProof/>
                <w:webHidden/>
              </w:rPr>
              <w:fldChar w:fldCharType="separate"/>
            </w:r>
            <w:r>
              <w:rPr>
                <w:noProof/>
                <w:webHidden/>
              </w:rPr>
              <w:t>49</w:t>
            </w:r>
            <w:r>
              <w:rPr>
                <w:noProof/>
                <w:webHidden/>
              </w:rPr>
              <w:fldChar w:fldCharType="end"/>
            </w:r>
          </w:hyperlink>
        </w:p>
        <w:p w14:paraId="11CCED33" w14:textId="43B2C8EA" w:rsidR="00C50695" w:rsidRDefault="00C50695">
          <w:pPr>
            <w:pStyle w:val="TOC2"/>
            <w:tabs>
              <w:tab w:val="right" w:leader="dot" w:pos="9350"/>
            </w:tabs>
            <w:rPr>
              <w:noProof/>
            </w:rPr>
          </w:pPr>
          <w:hyperlink w:anchor="_Toc225323404" w:history="1">
            <w:r w:rsidRPr="009759F7">
              <w:rPr>
                <w:rStyle w:val="Hyperlink"/>
                <w:noProof/>
              </w:rPr>
              <w:t>5.5 Escalation and Response Protocols</w:t>
            </w:r>
            <w:r>
              <w:rPr>
                <w:noProof/>
                <w:webHidden/>
              </w:rPr>
              <w:tab/>
            </w:r>
            <w:r>
              <w:rPr>
                <w:noProof/>
                <w:webHidden/>
              </w:rPr>
              <w:fldChar w:fldCharType="begin"/>
            </w:r>
            <w:r>
              <w:rPr>
                <w:noProof/>
                <w:webHidden/>
              </w:rPr>
              <w:instrText xml:space="preserve"> PAGEREF _Toc225323404 \h </w:instrText>
            </w:r>
            <w:r>
              <w:rPr>
                <w:noProof/>
                <w:webHidden/>
              </w:rPr>
            </w:r>
            <w:r>
              <w:rPr>
                <w:noProof/>
                <w:webHidden/>
              </w:rPr>
              <w:fldChar w:fldCharType="separate"/>
            </w:r>
            <w:r>
              <w:rPr>
                <w:noProof/>
                <w:webHidden/>
              </w:rPr>
              <w:t>50</w:t>
            </w:r>
            <w:r>
              <w:rPr>
                <w:noProof/>
                <w:webHidden/>
              </w:rPr>
              <w:fldChar w:fldCharType="end"/>
            </w:r>
          </w:hyperlink>
        </w:p>
        <w:p w14:paraId="7DB478B8" w14:textId="7604D8BE" w:rsidR="00C50695" w:rsidRDefault="00C50695">
          <w:pPr>
            <w:pStyle w:val="TOC2"/>
            <w:tabs>
              <w:tab w:val="right" w:leader="dot" w:pos="9350"/>
            </w:tabs>
            <w:rPr>
              <w:noProof/>
            </w:rPr>
          </w:pPr>
          <w:hyperlink w:anchor="_Toc225323405" w:history="1">
            <w:r w:rsidRPr="009759F7">
              <w:rPr>
                <w:rStyle w:val="Hyperlink"/>
                <w:noProof/>
              </w:rPr>
              <w:t>5.6 Integration with Layer I and Layer III</w:t>
            </w:r>
            <w:r>
              <w:rPr>
                <w:noProof/>
                <w:webHidden/>
              </w:rPr>
              <w:tab/>
            </w:r>
            <w:r>
              <w:rPr>
                <w:noProof/>
                <w:webHidden/>
              </w:rPr>
              <w:fldChar w:fldCharType="begin"/>
            </w:r>
            <w:r>
              <w:rPr>
                <w:noProof/>
                <w:webHidden/>
              </w:rPr>
              <w:instrText xml:space="preserve"> PAGEREF _Toc225323405 \h </w:instrText>
            </w:r>
            <w:r>
              <w:rPr>
                <w:noProof/>
                <w:webHidden/>
              </w:rPr>
            </w:r>
            <w:r>
              <w:rPr>
                <w:noProof/>
                <w:webHidden/>
              </w:rPr>
              <w:fldChar w:fldCharType="separate"/>
            </w:r>
            <w:r>
              <w:rPr>
                <w:noProof/>
                <w:webHidden/>
              </w:rPr>
              <w:t>51</w:t>
            </w:r>
            <w:r>
              <w:rPr>
                <w:noProof/>
                <w:webHidden/>
              </w:rPr>
              <w:fldChar w:fldCharType="end"/>
            </w:r>
          </w:hyperlink>
        </w:p>
        <w:p w14:paraId="0F8817B8" w14:textId="03C16E15" w:rsidR="00C50695" w:rsidRDefault="00C50695">
          <w:pPr>
            <w:pStyle w:val="TOC1"/>
            <w:tabs>
              <w:tab w:val="right" w:leader="dot" w:pos="9350"/>
            </w:tabs>
            <w:rPr>
              <w:noProof/>
            </w:rPr>
          </w:pPr>
          <w:hyperlink w:anchor="_Toc225323406" w:history="1">
            <w:r w:rsidRPr="009759F7">
              <w:rPr>
                <w:rStyle w:val="Hyperlink"/>
                <w:noProof/>
              </w:rPr>
              <w:t>Chapter 6: Governance and Safeguard Assurance</w:t>
            </w:r>
            <w:r>
              <w:rPr>
                <w:noProof/>
                <w:webHidden/>
              </w:rPr>
              <w:tab/>
            </w:r>
            <w:r>
              <w:rPr>
                <w:noProof/>
                <w:webHidden/>
              </w:rPr>
              <w:fldChar w:fldCharType="begin"/>
            </w:r>
            <w:r>
              <w:rPr>
                <w:noProof/>
                <w:webHidden/>
              </w:rPr>
              <w:instrText xml:space="preserve"> PAGEREF _Toc225323406 \h </w:instrText>
            </w:r>
            <w:r>
              <w:rPr>
                <w:noProof/>
                <w:webHidden/>
              </w:rPr>
            </w:r>
            <w:r>
              <w:rPr>
                <w:noProof/>
                <w:webHidden/>
              </w:rPr>
              <w:fldChar w:fldCharType="separate"/>
            </w:r>
            <w:r>
              <w:rPr>
                <w:noProof/>
                <w:webHidden/>
              </w:rPr>
              <w:t>53</w:t>
            </w:r>
            <w:r>
              <w:rPr>
                <w:noProof/>
                <w:webHidden/>
              </w:rPr>
              <w:fldChar w:fldCharType="end"/>
            </w:r>
          </w:hyperlink>
        </w:p>
        <w:p w14:paraId="73029E78" w14:textId="1EE15C2E" w:rsidR="00C50695" w:rsidRDefault="00C50695">
          <w:pPr>
            <w:pStyle w:val="TOC2"/>
            <w:tabs>
              <w:tab w:val="right" w:leader="dot" w:pos="9350"/>
            </w:tabs>
            <w:rPr>
              <w:noProof/>
            </w:rPr>
          </w:pPr>
          <w:hyperlink w:anchor="_Toc225323407" w:history="1">
            <w:r w:rsidRPr="009759F7">
              <w:rPr>
                <w:rStyle w:val="Hyperlink"/>
                <w:noProof/>
              </w:rPr>
              <w:t>6.1 Purpose of the Governance and Safeguard Assurance Layer</w:t>
            </w:r>
            <w:r>
              <w:rPr>
                <w:noProof/>
                <w:webHidden/>
              </w:rPr>
              <w:tab/>
            </w:r>
            <w:r>
              <w:rPr>
                <w:noProof/>
                <w:webHidden/>
              </w:rPr>
              <w:fldChar w:fldCharType="begin"/>
            </w:r>
            <w:r>
              <w:rPr>
                <w:noProof/>
                <w:webHidden/>
              </w:rPr>
              <w:instrText xml:space="preserve"> PAGEREF _Toc225323407 \h </w:instrText>
            </w:r>
            <w:r>
              <w:rPr>
                <w:noProof/>
                <w:webHidden/>
              </w:rPr>
            </w:r>
            <w:r>
              <w:rPr>
                <w:noProof/>
                <w:webHidden/>
              </w:rPr>
              <w:fldChar w:fldCharType="separate"/>
            </w:r>
            <w:r>
              <w:rPr>
                <w:noProof/>
                <w:webHidden/>
              </w:rPr>
              <w:t>53</w:t>
            </w:r>
            <w:r>
              <w:rPr>
                <w:noProof/>
                <w:webHidden/>
              </w:rPr>
              <w:fldChar w:fldCharType="end"/>
            </w:r>
          </w:hyperlink>
        </w:p>
        <w:p w14:paraId="46865D60" w14:textId="1E548EF7" w:rsidR="00C50695" w:rsidRDefault="00C50695">
          <w:pPr>
            <w:pStyle w:val="TOC2"/>
            <w:tabs>
              <w:tab w:val="right" w:leader="dot" w:pos="9350"/>
            </w:tabs>
            <w:rPr>
              <w:noProof/>
            </w:rPr>
          </w:pPr>
          <w:hyperlink w:anchor="_Toc225323408" w:history="1">
            <w:r w:rsidRPr="009759F7">
              <w:rPr>
                <w:rStyle w:val="Hyperlink"/>
                <w:noProof/>
              </w:rPr>
              <w:t>6.2 The Baseline Governance Gap</w:t>
            </w:r>
            <w:r>
              <w:rPr>
                <w:noProof/>
                <w:webHidden/>
              </w:rPr>
              <w:tab/>
            </w:r>
            <w:r>
              <w:rPr>
                <w:noProof/>
                <w:webHidden/>
              </w:rPr>
              <w:fldChar w:fldCharType="begin"/>
            </w:r>
            <w:r>
              <w:rPr>
                <w:noProof/>
                <w:webHidden/>
              </w:rPr>
              <w:instrText xml:space="preserve"> PAGEREF _Toc225323408 \h </w:instrText>
            </w:r>
            <w:r>
              <w:rPr>
                <w:noProof/>
                <w:webHidden/>
              </w:rPr>
            </w:r>
            <w:r>
              <w:rPr>
                <w:noProof/>
                <w:webHidden/>
              </w:rPr>
              <w:fldChar w:fldCharType="separate"/>
            </w:r>
            <w:r>
              <w:rPr>
                <w:noProof/>
                <w:webHidden/>
              </w:rPr>
              <w:t>54</w:t>
            </w:r>
            <w:r>
              <w:rPr>
                <w:noProof/>
                <w:webHidden/>
              </w:rPr>
              <w:fldChar w:fldCharType="end"/>
            </w:r>
          </w:hyperlink>
        </w:p>
        <w:p w14:paraId="2BB9086A" w14:textId="0DCC8D51" w:rsidR="00C50695" w:rsidRDefault="00C50695">
          <w:pPr>
            <w:pStyle w:val="TOC2"/>
            <w:tabs>
              <w:tab w:val="right" w:leader="dot" w:pos="9350"/>
            </w:tabs>
            <w:rPr>
              <w:noProof/>
            </w:rPr>
          </w:pPr>
          <w:hyperlink w:anchor="_Toc225323409" w:history="1">
            <w:r w:rsidRPr="009759F7">
              <w:rPr>
                <w:rStyle w:val="Hyperlink"/>
                <w:noProof/>
              </w:rPr>
              <w:t>6.3 Inclusion Standards</w:t>
            </w:r>
            <w:r>
              <w:rPr>
                <w:noProof/>
                <w:webHidden/>
              </w:rPr>
              <w:tab/>
            </w:r>
            <w:r>
              <w:rPr>
                <w:noProof/>
                <w:webHidden/>
              </w:rPr>
              <w:fldChar w:fldCharType="begin"/>
            </w:r>
            <w:r>
              <w:rPr>
                <w:noProof/>
                <w:webHidden/>
              </w:rPr>
              <w:instrText xml:space="preserve"> PAGEREF _Toc225323409 \h </w:instrText>
            </w:r>
            <w:r>
              <w:rPr>
                <w:noProof/>
                <w:webHidden/>
              </w:rPr>
            </w:r>
            <w:r>
              <w:rPr>
                <w:noProof/>
                <w:webHidden/>
              </w:rPr>
              <w:fldChar w:fldCharType="separate"/>
            </w:r>
            <w:r>
              <w:rPr>
                <w:noProof/>
                <w:webHidden/>
              </w:rPr>
              <w:t>54</w:t>
            </w:r>
            <w:r>
              <w:rPr>
                <w:noProof/>
                <w:webHidden/>
              </w:rPr>
              <w:fldChar w:fldCharType="end"/>
            </w:r>
          </w:hyperlink>
        </w:p>
        <w:p w14:paraId="74848A7E" w14:textId="2ECF8C8D" w:rsidR="00C50695" w:rsidRDefault="00C50695">
          <w:pPr>
            <w:pStyle w:val="TOC2"/>
            <w:tabs>
              <w:tab w:val="right" w:leader="dot" w:pos="9350"/>
            </w:tabs>
            <w:rPr>
              <w:noProof/>
            </w:rPr>
          </w:pPr>
          <w:hyperlink w:anchor="_Toc225323410" w:history="1">
            <w:r w:rsidRPr="009759F7">
              <w:rPr>
                <w:rStyle w:val="Hyperlink"/>
                <w:noProof/>
              </w:rPr>
              <w:t>6.4 Elite Capture and Exclusion Risks</w:t>
            </w:r>
            <w:r>
              <w:rPr>
                <w:noProof/>
                <w:webHidden/>
              </w:rPr>
              <w:tab/>
            </w:r>
            <w:r>
              <w:rPr>
                <w:noProof/>
                <w:webHidden/>
              </w:rPr>
              <w:fldChar w:fldCharType="begin"/>
            </w:r>
            <w:r>
              <w:rPr>
                <w:noProof/>
                <w:webHidden/>
              </w:rPr>
              <w:instrText xml:space="preserve"> PAGEREF _Toc225323410 \h </w:instrText>
            </w:r>
            <w:r>
              <w:rPr>
                <w:noProof/>
                <w:webHidden/>
              </w:rPr>
            </w:r>
            <w:r>
              <w:rPr>
                <w:noProof/>
                <w:webHidden/>
              </w:rPr>
              <w:fldChar w:fldCharType="separate"/>
            </w:r>
            <w:r>
              <w:rPr>
                <w:noProof/>
                <w:webHidden/>
              </w:rPr>
              <w:t>55</w:t>
            </w:r>
            <w:r>
              <w:rPr>
                <w:noProof/>
                <w:webHidden/>
              </w:rPr>
              <w:fldChar w:fldCharType="end"/>
            </w:r>
          </w:hyperlink>
        </w:p>
        <w:p w14:paraId="1BC208A0" w14:textId="6CBBC35E" w:rsidR="00C50695" w:rsidRDefault="00C50695">
          <w:pPr>
            <w:pStyle w:val="TOC2"/>
            <w:tabs>
              <w:tab w:val="right" w:leader="dot" w:pos="9350"/>
            </w:tabs>
            <w:rPr>
              <w:noProof/>
            </w:rPr>
          </w:pPr>
          <w:hyperlink w:anchor="_Toc225323411" w:history="1">
            <w:r w:rsidRPr="009759F7">
              <w:rPr>
                <w:rStyle w:val="Hyperlink"/>
                <w:noProof/>
              </w:rPr>
              <w:t>6.5 FPIC and Ongoing Consent</w:t>
            </w:r>
            <w:r>
              <w:rPr>
                <w:noProof/>
                <w:webHidden/>
              </w:rPr>
              <w:tab/>
            </w:r>
            <w:r>
              <w:rPr>
                <w:noProof/>
                <w:webHidden/>
              </w:rPr>
              <w:fldChar w:fldCharType="begin"/>
            </w:r>
            <w:r>
              <w:rPr>
                <w:noProof/>
                <w:webHidden/>
              </w:rPr>
              <w:instrText xml:space="preserve"> PAGEREF _Toc225323411 \h </w:instrText>
            </w:r>
            <w:r>
              <w:rPr>
                <w:noProof/>
                <w:webHidden/>
              </w:rPr>
            </w:r>
            <w:r>
              <w:rPr>
                <w:noProof/>
                <w:webHidden/>
              </w:rPr>
              <w:fldChar w:fldCharType="separate"/>
            </w:r>
            <w:r>
              <w:rPr>
                <w:noProof/>
                <w:webHidden/>
              </w:rPr>
              <w:t>57</w:t>
            </w:r>
            <w:r>
              <w:rPr>
                <w:noProof/>
                <w:webHidden/>
              </w:rPr>
              <w:fldChar w:fldCharType="end"/>
            </w:r>
          </w:hyperlink>
        </w:p>
        <w:p w14:paraId="7DD1978C" w14:textId="72428257" w:rsidR="00C50695" w:rsidRDefault="00C50695">
          <w:pPr>
            <w:pStyle w:val="TOC2"/>
            <w:tabs>
              <w:tab w:val="right" w:leader="dot" w:pos="9350"/>
            </w:tabs>
            <w:rPr>
              <w:noProof/>
            </w:rPr>
          </w:pPr>
          <w:hyperlink w:anchor="_Toc225323412" w:history="1">
            <w:r w:rsidRPr="009759F7">
              <w:rPr>
                <w:rStyle w:val="Hyperlink"/>
                <w:noProof/>
              </w:rPr>
              <w:t>6.6 Grievance Redress Mechanism</w:t>
            </w:r>
            <w:r>
              <w:rPr>
                <w:noProof/>
                <w:webHidden/>
              </w:rPr>
              <w:tab/>
            </w:r>
            <w:r>
              <w:rPr>
                <w:noProof/>
                <w:webHidden/>
              </w:rPr>
              <w:fldChar w:fldCharType="begin"/>
            </w:r>
            <w:r>
              <w:rPr>
                <w:noProof/>
                <w:webHidden/>
              </w:rPr>
              <w:instrText xml:space="preserve"> PAGEREF _Toc225323412 \h </w:instrText>
            </w:r>
            <w:r>
              <w:rPr>
                <w:noProof/>
                <w:webHidden/>
              </w:rPr>
            </w:r>
            <w:r>
              <w:rPr>
                <w:noProof/>
                <w:webHidden/>
              </w:rPr>
              <w:fldChar w:fldCharType="separate"/>
            </w:r>
            <w:r>
              <w:rPr>
                <w:noProof/>
                <w:webHidden/>
              </w:rPr>
              <w:t>57</w:t>
            </w:r>
            <w:r>
              <w:rPr>
                <w:noProof/>
                <w:webHidden/>
              </w:rPr>
              <w:fldChar w:fldCharType="end"/>
            </w:r>
          </w:hyperlink>
        </w:p>
        <w:p w14:paraId="6CAFC341" w14:textId="1C604E05" w:rsidR="00C50695" w:rsidRDefault="00C50695">
          <w:pPr>
            <w:pStyle w:val="TOC2"/>
            <w:tabs>
              <w:tab w:val="right" w:leader="dot" w:pos="9350"/>
            </w:tabs>
            <w:rPr>
              <w:noProof/>
            </w:rPr>
          </w:pPr>
          <w:hyperlink w:anchor="_Toc225323413" w:history="1">
            <w:r w:rsidRPr="009759F7">
              <w:rPr>
                <w:rStyle w:val="Hyperlink"/>
                <w:noProof/>
              </w:rPr>
              <w:t>6.7 Benefit-Sharing Transparency</w:t>
            </w:r>
            <w:r>
              <w:rPr>
                <w:noProof/>
                <w:webHidden/>
              </w:rPr>
              <w:tab/>
            </w:r>
            <w:r>
              <w:rPr>
                <w:noProof/>
                <w:webHidden/>
              </w:rPr>
              <w:fldChar w:fldCharType="begin"/>
            </w:r>
            <w:r>
              <w:rPr>
                <w:noProof/>
                <w:webHidden/>
              </w:rPr>
              <w:instrText xml:space="preserve"> PAGEREF _Toc225323413 \h </w:instrText>
            </w:r>
            <w:r>
              <w:rPr>
                <w:noProof/>
                <w:webHidden/>
              </w:rPr>
            </w:r>
            <w:r>
              <w:rPr>
                <w:noProof/>
                <w:webHidden/>
              </w:rPr>
              <w:fldChar w:fldCharType="separate"/>
            </w:r>
            <w:r>
              <w:rPr>
                <w:noProof/>
                <w:webHidden/>
              </w:rPr>
              <w:t>59</w:t>
            </w:r>
            <w:r>
              <w:rPr>
                <w:noProof/>
                <w:webHidden/>
              </w:rPr>
              <w:fldChar w:fldCharType="end"/>
            </w:r>
          </w:hyperlink>
        </w:p>
        <w:p w14:paraId="2DE275F2" w14:textId="05EBDE1F" w:rsidR="00C50695" w:rsidRDefault="00C50695">
          <w:pPr>
            <w:pStyle w:val="TOC2"/>
            <w:tabs>
              <w:tab w:val="right" w:leader="dot" w:pos="9350"/>
            </w:tabs>
            <w:rPr>
              <w:noProof/>
            </w:rPr>
          </w:pPr>
          <w:hyperlink w:anchor="_Toc225323414" w:history="1">
            <w:r w:rsidRPr="009759F7">
              <w:rPr>
                <w:rStyle w:val="Hyperlink"/>
                <w:noProof/>
              </w:rPr>
              <w:t>6.8 Site-Specific Governance Monitoring Priorities</w:t>
            </w:r>
            <w:r>
              <w:rPr>
                <w:noProof/>
                <w:webHidden/>
              </w:rPr>
              <w:tab/>
            </w:r>
            <w:r>
              <w:rPr>
                <w:noProof/>
                <w:webHidden/>
              </w:rPr>
              <w:fldChar w:fldCharType="begin"/>
            </w:r>
            <w:r>
              <w:rPr>
                <w:noProof/>
                <w:webHidden/>
              </w:rPr>
              <w:instrText xml:space="preserve"> PAGEREF _Toc225323414 \h </w:instrText>
            </w:r>
            <w:r>
              <w:rPr>
                <w:noProof/>
                <w:webHidden/>
              </w:rPr>
            </w:r>
            <w:r>
              <w:rPr>
                <w:noProof/>
                <w:webHidden/>
              </w:rPr>
              <w:fldChar w:fldCharType="separate"/>
            </w:r>
            <w:r>
              <w:rPr>
                <w:noProof/>
                <w:webHidden/>
              </w:rPr>
              <w:t>60</w:t>
            </w:r>
            <w:r>
              <w:rPr>
                <w:noProof/>
                <w:webHidden/>
              </w:rPr>
              <w:fldChar w:fldCharType="end"/>
            </w:r>
          </w:hyperlink>
        </w:p>
        <w:p w14:paraId="63D39CF4" w14:textId="7058166A" w:rsidR="00C50695" w:rsidRDefault="00C50695">
          <w:pPr>
            <w:pStyle w:val="TOC1"/>
            <w:tabs>
              <w:tab w:val="right" w:leader="dot" w:pos="9350"/>
            </w:tabs>
            <w:rPr>
              <w:noProof/>
            </w:rPr>
          </w:pPr>
          <w:hyperlink w:anchor="_Toc225323415" w:history="1">
            <w:r w:rsidRPr="009759F7">
              <w:rPr>
                <w:rStyle w:val="Hyperlink"/>
                <w:noProof/>
              </w:rPr>
              <w:t>Chapter 7: Wetland Ecosystem Monitoring (Keta and Ada)</w:t>
            </w:r>
            <w:r>
              <w:rPr>
                <w:noProof/>
                <w:webHidden/>
              </w:rPr>
              <w:tab/>
            </w:r>
            <w:r>
              <w:rPr>
                <w:noProof/>
                <w:webHidden/>
              </w:rPr>
              <w:fldChar w:fldCharType="begin"/>
            </w:r>
            <w:r>
              <w:rPr>
                <w:noProof/>
                <w:webHidden/>
              </w:rPr>
              <w:instrText xml:space="preserve"> PAGEREF _Toc225323415 \h </w:instrText>
            </w:r>
            <w:r>
              <w:rPr>
                <w:noProof/>
                <w:webHidden/>
              </w:rPr>
            </w:r>
            <w:r>
              <w:rPr>
                <w:noProof/>
                <w:webHidden/>
              </w:rPr>
              <w:fldChar w:fldCharType="separate"/>
            </w:r>
            <w:r>
              <w:rPr>
                <w:noProof/>
                <w:webHidden/>
              </w:rPr>
              <w:t>61</w:t>
            </w:r>
            <w:r>
              <w:rPr>
                <w:noProof/>
                <w:webHidden/>
              </w:rPr>
              <w:fldChar w:fldCharType="end"/>
            </w:r>
          </w:hyperlink>
        </w:p>
        <w:p w14:paraId="483926E4" w14:textId="62691C97" w:rsidR="00C50695" w:rsidRDefault="00C50695">
          <w:pPr>
            <w:pStyle w:val="TOC2"/>
            <w:tabs>
              <w:tab w:val="right" w:leader="dot" w:pos="9350"/>
            </w:tabs>
            <w:rPr>
              <w:noProof/>
            </w:rPr>
          </w:pPr>
          <w:hyperlink w:anchor="_Toc225323416" w:history="1">
            <w:r w:rsidRPr="009759F7">
              <w:rPr>
                <w:rStyle w:val="Hyperlink"/>
                <w:noProof/>
              </w:rPr>
              <w:t>7.1 Rationale for the Keta and Ada Monitoring Network</w:t>
            </w:r>
            <w:r>
              <w:rPr>
                <w:noProof/>
                <w:webHidden/>
              </w:rPr>
              <w:tab/>
            </w:r>
            <w:r>
              <w:rPr>
                <w:noProof/>
                <w:webHidden/>
              </w:rPr>
              <w:fldChar w:fldCharType="begin"/>
            </w:r>
            <w:r>
              <w:rPr>
                <w:noProof/>
                <w:webHidden/>
              </w:rPr>
              <w:instrText xml:space="preserve"> PAGEREF _Toc225323416 \h </w:instrText>
            </w:r>
            <w:r>
              <w:rPr>
                <w:noProof/>
                <w:webHidden/>
              </w:rPr>
            </w:r>
            <w:r>
              <w:rPr>
                <w:noProof/>
                <w:webHidden/>
              </w:rPr>
              <w:fldChar w:fldCharType="separate"/>
            </w:r>
            <w:r>
              <w:rPr>
                <w:noProof/>
                <w:webHidden/>
              </w:rPr>
              <w:t>61</w:t>
            </w:r>
            <w:r>
              <w:rPr>
                <w:noProof/>
                <w:webHidden/>
              </w:rPr>
              <w:fldChar w:fldCharType="end"/>
            </w:r>
          </w:hyperlink>
        </w:p>
        <w:p w14:paraId="5395C208" w14:textId="01421F56" w:rsidR="00C50695" w:rsidRDefault="00C50695">
          <w:pPr>
            <w:pStyle w:val="TOC2"/>
            <w:tabs>
              <w:tab w:val="right" w:leader="dot" w:pos="9350"/>
            </w:tabs>
            <w:rPr>
              <w:noProof/>
            </w:rPr>
          </w:pPr>
          <w:hyperlink w:anchor="_Toc225323417" w:history="1">
            <w:r w:rsidRPr="009759F7">
              <w:rPr>
                <w:rStyle w:val="Hyperlink"/>
                <w:noProof/>
              </w:rPr>
              <w:t>7.2 The Monitoring Station Network</w:t>
            </w:r>
            <w:r>
              <w:rPr>
                <w:noProof/>
                <w:webHidden/>
              </w:rPr>
              <w:tab/>
            </w:r>
            <w:r>
              <w:rPr>
                <w:noProof/>
                <w:webHidden/>
              </w:rPr>
              <w:fldChar w:fldCharType="begin"/>
            </w:r>
            <w:r>
              <w:rPr>
                <w:noProof/>
                <w:webHidden/>
              </w:rPr>
              <w:instrText xml:space="preserve"> PAGEREF _Toc225323417 \h </w:instrText>
            </w:r>
            <w:r>
              <w:rPr>
                <w:noProof/>
                <w:webHidden/>
              </w:rPr>
            </w:r>
            <w:r>
              <w:rPr>
                <w:noProof/>
                <w:webHidden/>
              </w:rPr>
              <w:fldChar w:fldCharType="separate"/>
            </w:r>
            <w:r>
              <w:rPr>
                <w:noProof/>
                <w:webHidden/>
              </w:rPr>
              <w:t>62</w:t>
            </w:r>
            <w:r>
              <w:rPr>
                <w:noProof/>
                <w:webHidden/>
              </w:rPr>
              <w:fldChar w:fldCharType="end"/>
            </w:r>
          </w:hyperlink>
        </w:p>
        <w:p w14:paraId="33419881" w14:textId="2C465362" w:rsidR="00C50695" w:rsidRDefault="00C50695">
          <w:pPr>
            <w:pStyle w:val="TOC2"/>
            <w:tabs>
              <w:tab w:val="right" w:leader="dot" w:pos="9350"/>
            </w:tabs>
            <w:rPr>
              <w:noProof/>
            </w:rPr>
          </w:pPr>
          <w:hyperlink w:anchor="_Toc225323418" w:history="1">
            <w:r w:rsidRPr="009759F7">
              <w:rPr>
                <w:rStyle w:val="Hyperlink"/>
                <w:noProof/>
              </w:rPr>
              <w:t>7.3 Water Quality Parameters</w:t>
            </w:r>
            <w:r>
              <w:rPr>
                <w:noProof/>
                <w:webHidden/>
              </w:rPr>
              <w:tab/>
            </w:r>
            <w:r>
              <w:rPr>
                <w:noProof/>
                <w:webHidden/>
              </w:rPr>
              <w:fldChar w:fldCharType="begin"/>
            </w:r>
            <w:r>
              <w:rPr>
                <w:noProof/>
                <w:webHidden/>
              </w:rPr>
              <w:instrText xml:space="preserve"> PAGEREF _Toc225323418 \h </w:instrText>
            </w:r>
            <w:r>
              <w:rPr>
                <w:noProof/>
                <w:webHidden/>
              </w:rPr>
            </w:r>
            <w:r>
              <w:rPr>
                <w:noProof/>
                <w:webHidden/>
              </w:rPr>
              <w:fldChar w:fldCharType="separate"/>
            </w:r>
            <w:r>
              <w:rPr>
                <w:noProof/>
                <w:webHidden/>
              </w:rPr>
              <w:t>64</w:t>
            </w:r>
            <w:r>
              <w:rPr>
                <w:noProof/>
                <w:webHidden/>
              </w:rPr>
              <w:fldChar w:fldCharType="end"/>
            </w:r>
          </w:hyperlink>
        </w:p>
        <w:p w14:paraId="76846068" w14:textId="24A25FDB" w:rsidR="00C50695" w:rsidRDefault="00C50695">
          <w:pPr>
            <w:pStyle w:val="TOC2"/>
            <w:tabs>
              <w:tab w:val="right" w:leader="dot" w:pos="9350"/>
            </w:tabs>
            <w:rPr>
              <w:noProof/>
            </w:rPr>
          </w:pPr>
          <w:hyperlink w:anchor="_Toc225323419" w:history="1">
            <w:r w:rsidRPr="009759F7">
              <w:rPr>
                <w:rStyle w:val="Hyperlink"/>
                <w:noProof/>
              </w:rPr>
              <w:t>7.4 Soil Parameters</w:t>
            </w:r>
            <w:r>
              <w:rPr>
                <w:noProof/>
                <w:webHidden/>
              </w:rPr>
              <w:tab/>
            </w:r>
            <w:r>
              <w:rPr>
                <w:noProof/>
                <w:webHidden/>
              </w:rPr>
              <w:fldChar w:fldCharType="begin"/>
            </w:r>
            <w:r>
              <w:rPr>
                <w:noProof/>
                <w:webHidden/>
              </w:rPr>
              <w:instrText xml:space="preserve"> PAGEREF _Toc225323419 \h </w:instrText>
            </w:r>
            <w:r>
              <w:rPr>
                <w:noProof/>
                <w:webHidden/>
              </w:rPr>
            </w:r>
            <w:r>
              <w:rPr>
                <w:noProof/>
                <w:webHidden/>
              </w:rPr>
              <w:fldChar w:fldCharType="separate"/>
            </w:r>
            <w:r>
              <w:rPr>
                <w:noProof/>
                <w:webHidden/>
              </w:rPr>
              <w:t>66</w:t>
            </w:r>
            <w:r>
              <w:rPr>
                <w:noProof/>
                <w:webHidden/>
              </w:rPr>
              <w:fldChar w:fldCharType="end"/>
            </w:r>
          </w:hyperlink>
        </w:p>
        <w:p w14:paraId="4F7363ED" w14:textId="44284E15" w:rsidR="00C50695" w:rsidRDefault="00C50695">
          <w:pPr>
            <w:pStyle w:val="TOC2"/>
            <w:tabs>
              <w:tab w:val="right" w:leader="dot" w:pos="9350"/>
            </w:tabs>
            <w:rPr>
              <w:noProof/>
            </w:rPr>
          </w:pPr>
          <w:hyperlink w:anchor="_Toc225323420" w:history="1">
            <w:r w:rsidRPr="009759F7">
              <w:rPr>
                <w:rStyle w:val="Hyperlink"/>
                <w:noProof/>
              </w:rPr>
              <w:t>7.5 Integration with the MRV Layers</w:t>
            </w:r>
            <w:r>
              <w:rPr>
                <w:noProof/>
                <w:webHidden/>
              </w:rPr>
              <w:tab/>
            </w:r>
            <w:r>
              <w:rPr>
                <w:noProof/>
                <w:webHidden/>
              </w:rPr>
              <w:fldChar w:fldCharType="begin"/>
            </w:r>
            <w:r>
              <w:rPr>
                <w:noProof/>
                <w:webHidden/>
              </w:rPr>
              <w:instrText xml:space="preserve"> PAGEREF _Toc225323420 \h </w:instrText>
            </w:r>
            <w:r>
              <w:rPr>
                <w:noProof/>
                <w:webHidden/>
              </w:rPr>
            </w:r>
            <w:r>
              <w:rPr>
                <w:noProof/>
                <w:webHidden/>
              </w:rPr>
              <w:fldChar w:fldCharType="separate"/>
            </w:r>
            <w:r>
              <w:rPr>
                <w:noProof/>
                <w:webHidden/>
              </w:rPr>
              <w:t>69</w:t>
            </w:r>
            <w:r>
              <w:rPr>
                <w:noProof/>
                <w:webHidden/>
              </w:rPr>
              <w:fldChar w:fldCharType="end"/>
            </w:r>
          </w:hyperlink>
        </w:p>
        <w:p w14:paraId="18CD558A" w14:textId="4928B590" w:rsidR="00C50695" w:rsidRDefault="00C50695">
          <w:pPr>
            <w:pStyle w:val="TOC2"/>
            <w:tabs>
              <w:tab w:val="right" w:leader="dot" w:pos="9350"/>
            </w:tabs>
            <w:rPr>
              <w:noProof/>
            </w:rPr>
          </w:pPr>
          <w:hyperlink w:anchor="_Toc225323421" w:history="1">
            <w:r w:rsidRPr="009759F7">
              <w:rPr>
                <w:rStyle w:val="Hyperlink"/>
                <w:noProof/>
              </w:rPr>
              <w:t>7.6 Reporting from the Monitoring Network</w:t>
            </w:r>
            <w:r>
              <w:rPr>
                <w:noProof/>
                <w:webHidden/>
              </w:rPr>
              <w:tab/>
            </w:r>
            <w:r>
              <w:rPr>
                <w:noProof/>
                <w:webHidden/>
              </w:rPr>
              <w:fldChar w:fldCharType="begin"/>
            </w:r>
            <w:r>
              <w:rPr>
                <w:noProof/>
                <w:webHidden/>
              </w:rPr>
              <w:instrText xml:space="preserve"> PAGEREF _Toc225323421 \h </w:instrText>
            </w:r>
            <w:r>
              <w:rPr>
                <w:noProof/>
                <w:webHidden/>
              </w:rPr>
            </w:r>
            <w:r>
              <w:rPr>
                <w:noProof/>
                <w:webHidden/>
              </w:rPr>
              <w:fldChar w:fldCharType="separate"/>
            </w:r>
            <w:r>
              <w:rPr>
                <w:noProof/>
                <w:webHidden/>
              </w:rPr>
              <w:t>70</w:t>
            </w:r>
            <w:r>
              <w:rPr>
                <w:noProof/>
                <w:webHidden/>
              </w:rPr>
              <w:fldChar w:fldCharType="end"/>
            </w:r>
          </w:hyperlink>
        </w:p>
        <w:p w14:paraId="18574BD4" w14:textId="1F347DAD" w:rsidR="00C50695" w:rsidRDefault="00C50695">
          <w:pPr>
            <w:pStyle w:val="TOC1"/>
            <w:tabs>
              <w:tab w:val="right" w:leader="dot" w:pos="9350"/>
            </w:tabs>
            <w:rPr>
              <w:noProof/>
            </w:rPr>
          </w:pPr>
          <w:hyperlink w:anchor="_Toc225323422" w:history="1">
            <w:r w:rsidRPr="009759F7">
              <w:rPr>
                <w:rStyle w:val="Hyperlink"/>
                <w:noProof/>
              </w:rPr>
              <w:t>Chapter 8: Digital Platform and Data Architecture</w:t>
            </w:r>
            <w:r>
              <w:rPr>
                <w:noProof/>
                <w:webHidden/>
              </w:rPr>
              <w:tab/>
            </w:r>
            <w:r>
              <w:rPr>
                <w:noProof/>
                <w:webHidden/>
              </w:rPr>
              <w:fldChar w:fldCharType="begin"/>
            </w:r>
            <w:r>
              <w:rPr>
                <w:noProof/>
                <w:webHidden/>
              </w:rPr>
              <w:instrText xml:space="preserve"> PAGEREF _Toc225323422 \h </w:instrText>
            </w:r>
            <w:r>
              <w:rPr>
                <w:noProof/>
                <w:webHidden/>
              </w:rPr>
            </w:r>
            <w:r>
              <w:rPr>
                <w:noProof/>
                <w:webHidden/>
              </w:rPr>
              <w:fldChar w:fldCharType="separate"/>
            </w:r>
            <w:r>
              <w:rPr>
                <w:noProof/>
                <w:webHidden/>
              </w:rPr>
              <w:t>71</w:t>
            </w:r>
            <w:r>
              <w:rPr>
                <w:noProof/>
                <w:webHidden/>
              </w:rPr>
              <w:fldChar w:fldCharType="end"/>
            </w:r>
          </w:hyperlink>
        </w:p>
        <w:p w14:paraId="6804BC6F" w14:textId="37F3203B" w:rsidR="00C50695" w:rsidRDefault="00C50695">
          <w:pPr>
            <w:pStyle w:val="TOC2"/>
            <w:tabs>
              <w:tab w:val="right" w:leader="dot" w:pos="9350"/>
            </w:tabs>
            <w:rPr>
              <w:noProof/>
            </w:rPr>
          </w:pPr>
          <w:hyperlink w:anchor="_Toc225323423" w:history="1">
            <w:r w:rsidRPr="009759F7">
              <w:rPr>
                <w:rStyle w:val="Hyperlink"/>
                <w:noProof/>
              </w:rPr>
              <w:t>8.1 Purpose of the Digital Platform</w:t>
            </w:r>
            <w:r>
              <w:rPr>
                <w:noProof/>
                <w:webHidden/>
              </w:rPr>
              <w:tab/>
            </w:r>
            <w:r>
              <w:rPr>
                <w:noProof/>
                <w:webHidden/>
              </w:rPr>
              <w:fldChar w:fldCharType="begin"/>
            </w:r>
            <w:r>
              <w:rPr>
                <w:noProof/>
                <w:webHidden/>
              </w:rPr>
              <w:instrText xml:space="preserve"> PAGEREF _Toc225323423 \h </w:instrText>
            </w:r>
            <w:r>
              <w:rPr>
                <w:noProof/>
                <w:webHidden/>
              </w:rPr>
            </w:r>
            <w:r>
              <w:rPr>
                <w:noProof/>
                <w:webHidden/>
              </w:rPr>
              <w:fldChar w:fldCharType="separate"/>
            </w:r>
            <w:r>
              <w:rPr>
                <w:noProof/>
                <w:webHidden/>
              </w:rPr>
              <w:t>71</w:t>
            </w:r>
            <w:r>
              <w:rPr>
                <w:noProof/>
                <w:webHidden/>
              </w:rPr>
              <w:fldChar w:fldCharType="end"/>
            </w:r>
          </w:hyperlink>
        </w:p>
        <w:p w14:paraId="18BDE5EA" w14:textId="73F13C8F" w:rsidR="00C50695" w:rsidRDefault="00C50695">
          <w:pPr>
            <w:pStyle w:val="TOC2"/>
            <w:tabs>
              <w:tab w:val="right" w:leader="dot" w:pos="9350"/>
            </w:tabs>
            <w:rPr>
              <w:noProof/>
            </w:rPr>
          </w:pPr>
          <w:hyperlink w:anchor="_Toc225323424" w:history="1">
            <w:r w:rsidRPr="009759F7">
              <w:rPr>
                <w:rStyle w:val="Hyperlink"/>
                <w:noProof/>
              </w:rPr>
              <w:t>8.2 Platform Architecture</w:t>
            </w:r>
            <w:r>
              <w:rPr>
                <w:noProof/>
                <w:webHidden/>
              </w:rPr>
              <w:tab/>
            </w:r>
            <w:r>
              <w:rPr>
                <w:noProof/>
                <w:webHidden/>
              </w:rPr>
              <w:fldChar w:fldCharType="begin"/>
            </w:r>
            <w:r>
              <w:rPr>
                <w:noProof/>
                <w:webHidden/>
              </w:rPr>
              <w:instrText xml:space="preserve"> PAGEREF _Toc225323424 \h </w:instrText>
            </w:r>
            <w:r>
              <w:rPr>
                <w:noProof/>
                <w:webHidden/>
              </w:rPr>
            </w:r>
            <w:r>
              <w:rPr>
                <w:noProof/>
                <w:webHidden/>
              </w:rPr>
              <w:fldChar w:fldCharType="separate"/>
            </w:r>
            <w:r>
              <w:rPr>
                <w:noProof/>
                <w:webHidden/>
              </w:rPr>
              <w:t>72</w:t>
            </w:r>
            <w:r>
              <w:rPr>
                <w:noProof/>
                <w:webHidden/>
              </w:rPr>
              <w:fldChar w:fldCharType="end"/>
            </w:r>
          </w:hyperlink>
        </w:p>
        <w:p w14:paraId="4829F196" w14:textId="7854DF38" w:rsidR="00C50695" w:rsidRDefault="00C50695">
          <w:pPr>
            <w:pStyle w:val="TOC2"/>
            <w:tabs>
              <w:tab w:val="right" w:leader="dot" w:pos="9350"/>
            </w:tabs>
            <w:rPr>
              <w:noProof/>
            </w:rPr>
          </w:pPr>
          <w:hyperlink w:anchor="_Toc225323425" w:history="1">
            <w:r w:rsidRPr="009759F7">
              <w:rPr>
                <w:rStyle w:val="Hyperlink"/>
                <w:noProof/>
              </w:rPr>
              <w:t>8.3 EOSDA Continuous Satellite Monitoring</w:t>
            </w:r>
            <w:r>
              <w:rPr>
                <w:noProof/>
                <w:webHidden/>
              </w:rPr>
              <w:tab/>
            </w:r>
            <w:r>
              <w:rPr>
                <w:noProof/>
                <w:webHidden/>
              </w:rPr>
              <w:fldChar w:fldCharType="begin"/>
            </w:r>
            <w:r>
              <w:rPr>
                <w:noProof/>
                <w:webHidden/>
              </w:rPr>
              <w:instrText xml:space="preserve"> PAGEREF _Toc225323425 \h </w:instrText>
            </w:r>
            <w:r>
              <w:rPr>
                <w:noProof/>
                <w:webHidden/>
              </w:rPr>
            </w:r>
            <w:r>
              <w:rPr>
                <w:noProof/>
                <w:webHidden/>
              </w:rPr>
              <w:fldChar w:fldCharType="separate"/>
            </w:r>
            <w:r>
              <w:rPr>
                <w:noProof/>
                <w:webHidden/>
              </w:rPr>
              <w:t>73</w:t>
            </w:r>
            <w:r>
              <w:rPr>
                <w:noProof/>
                <w:webHidden/>
              </w:rPr>
              <w:fldChar w:fldCharType="end"/>
            </w:r>
          </w:hyperlink>
        </w:p>
        <w:p w14:paraId="0C25EE72" w14:textId="233BD53A" w:rsidR="00C50695" w:rsidRDefault="00C50695">
          <w:pPr>
            <w:pStyle w:val="TOC2"/>
            <w:tabs>
              <w:tab w:val="right" w:leader="dot" w:pos="9350"/>
            </w:tabs>
            <w:rPr>
              <w:noProof/>
            </w:rPr>
          </w:pPr>
          <w:hyperlink w:anchor="_Toc225323426" w:history="1">
            <w:r w:rsidRPr="009759F7">
              <w:rPr>
                <w:rStyle w:val="Hyperlink"/>
                <w:noProof/>
              </w:rPr>
              <w:t>8.4 Year 0 Data Archiving</w:t>
            </w:r>
            <w:r>
              <w:rPr>
                <w:noProof/>
                <w:webHidden/>
              </w:rPr>
              <w:tab/>
            </w:r>
            <w:r>
              <w:rPr>
                <w:noProof/>
                <w:webHidden/>
              </w:rPr>
              <w:fldChar w:fldCharType="begin"/>
            </w:r>
            <w:r>
              <w:rPr>
                <w:noProof/>
                <w:webHidden/>
              </w:rPr>
              <w:instrText xml:space="preserve"> PAGEREF _Toc225323426 \h </w:instrText>
            </w:r>
            <w:r>
              <w:rPr>
                <w:noProof/>
                <w:webHidden/>
              </w:rPr>
            </w:r>
            <w:r>
              <w:rPr>
                <w:noProof/>
                <w:webHidden/>
              </w:rPr>
              <w:fldChar w:fldCharType="separate"/>
            </w:r>
            <w:r>
              <w:rPr>
                <w:noProof/>
                <w:webHidden/>
              </w:rPr>
              <w:t>74</w:t>
            </w:r>
            <w:r>
              <w:rPr>
                <w:noProof/>
                <w:webHidden/>
              </w:rPr>
              <w:fldChar w:fldCharType="end"/>
            </w:r>
          </w:hyperlink>
        </w:p>
        <w:p w14:paraId="263954EC" w14:textId="61C648D6" w:rsidR="00C50695" w:rsidRDefault="00C50695">
          <w:pPr>
            <w:pStyle w:val="TOC2"/>
            <w:tabs>
              <w:tab w:val="right" w:leader="dot" w:pos="9350"/>
            </w:tabs>
            <w:rPr>
              <w:noProof/>
            </w:rPr>
          </w:pPr>
          <w:hyperlink w:anchor="_Toc225323427" w:history="1">
            <w:r w:rsidRPr="009759F7">
              <w:rPr>
                <w:rStyle w:val="Hyperlink"/>
                <w:noProof/>
              </w:rPr>
              <w:t>8.5 User Roles and Data Flows</w:t>
            </w:r>
            <w:r>
              <w:rPr>
                <w:noProof/>
                <w:webHidden/>
              </w:rPr>
              <w:tab/>
            </w:r>
            <w:r>
              <w:rPr>
                <w:noProof/>
                <w:webHidden/>
              </w:rPr>
              <w:fldChar w:fldCharType="begin"/>
            </w:r>
            <w:r>
              <w:rPr>
                <w:noProof/>
                <w:webHidden/>
              </w:rPr>
              <w:instrText xml:space="preserve"> PAGEREF _Toc225323427 \h </w:instrText>
            </w:r>
            <w:r>
              <w:rPr>
                <w:noProof/>
                <w:webHidden/>
              </w:rPr>
            </w:r>
            <w:r>
              <w:rPr>
                <w:noProof/>
                <w:webHidden/>
              </w:rPr>
              <w:fldChar w:fldCharType="separate"/>
            </w:r>
            <w:r>
              <w:rPr>
                <w:noProof/>
                <w:webHidden/>
              </w:rPr>
              <w:t>75</w:t>
            </w:r>
            <w:r>
              <w:rPr>
                <w:noProof/>
                <w:webHidden/>
              </w:rPr>
              <w:fldChar w:fldCharType="end"/>
            </w:r>
          </w:hyperlink>
        </w:p>
        <w:p w14:paraId="007B9C7B" w14:textId="09C797C8" w:rsidR="00C50695" w:rsidRDefault="00C50695">
          <w:pPr>
            <w:pStyle w:val="TOC2"/>
            <w:tabs>
              <w:tab w:val="right" w:leader="dot" w:pos="9350"/>
            </w:tabs>
            <w:rPr>
              <w:noProof/>
            </w:rPr>
          </w:pPr>
          <w:hyperlink w:anchor="_Toc225323428" w:history="1">
            <w:r w:rsidRPr="009759F7">
              <w:rPr>
                <w:rStyle w:val="Hyperlink"/>
                <w:noProof/>
              </w:rPr>
              <w:t>8.6 Reporting Outputs from the Platform</w:t>
            </w:r>
            <w:r>
              <w:rPr>
                <w:noProof/>
                <w:webHidden/>
              </w:rPr>
              <w:tab/>
            </w:r>
            <w:r>
              <w:rPr>
                <w:noProof/>
                <w:webHidden/>
              </w:rPr>
              <w:fldChar w:fldCharType="begin"/>
            </w:r>
            <w:r>
              <w:rPr>
                <w:noProof/>
                <w:webHidden/>
              </w:rPr>
              <w:instrText xml:space="preserve"> PAGEREF _Toc225323428 \h </w:instrText>
            </w:r>
            <w:r>
              <w:rPr>
                <w:noProof/>
                <w:webHidden/>
              </w:rPr>
            </w:r>
            <w:r>
              <w:rPr>
                <w:noProof/>
                <w:webHidden/>
              </w:rPr>
              <w:fldChar w:fldCharType="separate"/>
            </w:r>
            <w:r>
              <w:rPr>
                <w:noProof/>
                <w:webHidden/>
              </w:rPr>
              <w:t>76</w:t>
            </w:r>
            <w:r>
              <w:rPr>
                <w:noProof/>
                <w:webHidden/>
              </w:rPr>
              <w:fldChar w:fldCharType="end"/>
            </w:r>
          </w:hyperlink>
        </w:p>
        <w:p w14:paraId="212EDDBF" w14:textId="7FFA78A4" w:rsidR="00C50695" w:rsidRDefault="00C50695">
          <w:pPr>
            <w:pStyle w:val="TOC2"/>
            <w:tabs>
              <w:tab w:val="right" w:leader="dot" w:pos="9350"/>
            </w:tabs>
            <w:rPr>
              <w:noProof/>
            </w:rPr>
          </w:pPr>
          <w:hyperlink w:anchor="_Toc225323429" w:history="1">
            <w:r w:rsidRPr="009759F7">
              <w:rPr>
                <w:rStyle w:val="Hyperlink"/>
                <w:noProof/>
              </w:rPr>
              <w:t>8.7 Current Development Status and Roadmap</w:t>
            </w:r>
            <w:r>
              <w:rPr>
                <w:noProof/>
                <w:webHidden/>
              </w:rPr>
              <w:tab/>
            </w:r>
            <w:r>
              <w:rPr>
                <w:noProof/>
                <w:webHidden/>
              </w:rPr>
              <w:fldChar w:fldCharType="begin"/>
            </w:r>
            <w:r>
              <w:rPr>
                <w:noProof/>
                <w:webHidden/>
              </w:rPr>
              <w:instrText xml:space="preserve"> PAGEREF _Toc225323429 \h </w:instrText>
            </w:r>
            <w:r>
              <w:rPr>
                <w:noProof/>
                <w:webHidden/>
              </w:rPr>
            </w:r>
            <w:r>
              <w:rPr>
                <w:noProof/>
                <w:webHidden/>
              </w:rPr>
              <w:fldChar w:fldCharType="separate"/>
            </w:r>
            <w:r>
              <w:rPr>
                <w:noProof/>
                <w:webHidden/>
              </w:rPr>
              <w:t>78</w:t>
            </w:r>
            <w:r>
              <w:rPr>
                <w:noProof/>
                <w:webHidden/>
              </w:rPr>
              <w:fldChar w:fldCharType="end"/>
            </w:r>
          </w:hyperlink>
        </w:p>
        <w:p w14:paraId="1DFDB1AC" w14:textId="79DDA9A9" w:rsidR="00C50695" w:rsidRDefault="00C50695">
          <w:pPr>
            <w:pStyle w:val="TOC1"/>
            <w:tabs>
              <w:tab w:val="right" w:leader="dot" w:pos="9350"/>
            </w:tabs>
            <w:rPr>
              <w:noProof/>
            </w:rPr>
          </w:pPr>
          <w:hyperlink w:anchor="_Toc225323430" w:history="1">
            <w:r w:rsidRPr="009759F7">
              <w:rPr>
                <w:rStyle w:val="Hyperlink"/>
                <w:noProof/>
              </w:rPr>
              <w:t>Chapter 9: Carbon Accounting Protocol</w:t>
            </w:r>
            <w:r>
              <w:rPr>
                <w:noProof/>
                <w:webHidden/>
              </w:rPr>
              <w:tab/>
            </w:r>
            <w:r>
              <w:rPr>
                <w:noProof/>
                <w:webHidden/>
              </w:rPr>
              <w:fldChar w:fldCharType="begin"/>
            </w:r>
            <w:r>
              <w:rPr>
                <w:noProof/>
                <w:webHidden/>
              </w:rPr>
              <w:instrText xml:space="preserve"> PAGEREF _Toc225323430 \h </w:instrText>
            </w:r>
            <w:r>
              <w:rPr>
                <w:noProof/>
                <w:webHidden/>
              </w:rPr>
            </w:r>
            <w:r>
              <w:rPr>
                <w:noProof/>
                <w:webHidden/>
              </w:rPr>
              <w:fldChar w:fldCharType="separate"/>
            </w:r>
            <w:r>
              <w:rPr>
                <w:noProof/>
                <w:webHidden/>
              </w:rPr>
              <w:t>79</w:t>
            </w:r>
            <w:r>
              <w:rPr>
                <w:noProof/>
                <w:webHidden/>
              </w:rPr>
              <w:fldChar w:fldCharType="end"/>
            </w:r>
          </w:hyperlink>
        </w:p>
        <w:p w14:paraId="2895C4D4" w14:textId="10A71FFF" w:rsidR="00C50695" w:rsidRDefault="00C50695">
          <w:pPr>
            <w:pStyle w:val="TOC2"/>
            <w:tabs>
              <w:tab w:val="right" w:leader="dot" w:pos="9350"/>
            </w:tabs>
            <w:rPr>
              <w:noProof/>
            </w:rPr>
          </w:pPr>
          <w:hyperlink w:anchor="_Toc225323431" w:history="1">
            <w:r w:rsidRPr="009759F7">
              <w:rPr>
                <w:rStyle w:val="Hyperlink"/>
                <w:noProof/>
              </w:rPr>
              <w:t>9.1 Carbon Market Alignment</w:t>
            </w:r>
            <w:r>
              <w:rPr>
                <w:noProof/>
                <w:webHidden/>
              </w:rPr>
              <w:tab/>
            </w:r>
            <w:r>
              <w:rPr>
                <w:noProof/>
                <w:webHidden/>
              </w:rPr>
              <w:fldChar w:fldCharType="begin"/>
            </w:r>
            <w:r>
              <w:rPr>
                <w:noProof/>
                <w:webHidden/>
              </w:rPr>
              <w:instrText xml:space="preserve"> PAGEREF _Toc225323431 \h </w:instrText>
            </w:r>
            <w:r>
              <w:rPr>
                <w:noProof/>
                <w:webHidden/>
              </w:rPr>
            </w:r>
            <w:r>
              <w:rPr>
                <w:noProof/>
                <w:webHidden/>
              </w:rPr>
              <w:fldChar w:fldCharType="separate"/>
            </w:r>
            <w:r>
              <w:rPr>
                <w:noProof/>
                <w:webHidden/>
              </w:rPr>
              <w:t>79</w:t>
            </w:r>
            <w:r>
              <w:rPr>
                <w:noProof/>
                <w:webHidden/>
              </w:rPr>
              <w:fldChar w:fldCharType="end"/>
            </w:r>
          </w:hyperlink>
        </w:p>
        <w:p w14:paraId="14ACB0BA" w14:textId="2066AEB8" w:rsidR="00C50695" w:rsidRDefault="00C50695">
          <w:pPr>
            <w:pStyle w:val="TOC2"/>
            <w:tabs>
              <w:tab w:val="right" w:leader="dot" w:pos="9350"/>
            </w:tabs>
            <w:rPr>
              <w:noProof/>
            </w:rPr>
          </w:pPr>
          <w:hyperlink w:anchor="_Toc225323432" w:history="1">
            <w:r w:rsidRPr="009759F7">
              <w:rPr>
                <w:rStyle w:val="Hyperlink"/>
                <w:noProof/>
              </w:rPr>
              <w:t>9.2 The Four Carbon Pools</w:t>
            </w:r>
            <w:r>
              <w:rPr>
                <w:noProof/>
                <w:webHidden/>
              </w:rPr>
              <w:tab/>
            </w:r>
            <w:r>
              <w:rPr>
                <w:noProof/>
                <w:webHidden/>
              </w:rPr>
              <w:fldChar w:fldCharType="begin"/>
            </w:r>
            <w:r>
              <w:rPr>
                <w:noProof/>
                <w:webHidden/>
              </w:rPr>
              <w:instrText xml:space="preserve"> PAGEREF _Toc225323432 \h </w:instrText>
            </w:r>
            <w:r>
              <w:rPr>
                <w:noProof/>
                <w:webHidden/>
              </w:rPr>
            </w:r>
            <w:r>
              <w:rPr>
                <w:noProof/>
                <w:webHidden/>
              </w:rPr>
              <w:fldChar w:fldCharType="separate"/>
            </w:r>
            <w:r>
              <w:rPr>
                <w:noProof/>
                <w:webHidden/>
              </w:rPr>
              <w:t>80</w:t>
            </w:r>
            <w:r>
              <w:rPr>
                <w:noProof/>
                <w:webHidden/>
              </w:rPr>
              <w:fldChar w:fldCharType="end"/>
            </w:r>
          </w:hyperlink>
        </w:p>
        <w:p w14:paraId="40049824" w14:textId="075DC2FF" w:rsidR="00C50695" w:rsidRDefault="00C50695">
          <w:pPr>
            <w:pStyle w:val="TOC2"/>
            <w:tabs>
              <w:tab w:val="right" w:leader="dot" w:pos="9350"/>
            </w:tabs>
            <w:rPr>
              <w:noProof/>
            </w:rPr>
          </w:pPr>
          <w:hyperlink w:anchor="_Toc225323433" w:history="1">
            <w:r w:rsidRPr="009759F7">
              <w:rPr>
                <w:rStyle w:val="Hyperlink"/>
                <w:noProof/>
              </w:rPr>
              <w:t>9.3 Baseline Carbon Stocks</w:t>
            </w:r>
            <w:r>
              <w:rPr>
                <w:noProof/>
                <w:webHidden/>
              </w:rPr>
              <w:tab/>
            </w:r>
            <w:r>
              <w:rPr>
                <w:noProof/>
                <w:webHidden/>
              </w:rPr>
              <w:fldChar w:fldCharType="begin"/>
            </w:r>
            <w:r>
              <w:rPr>
                <w:noProof/>
                <w:webHidden/>
              </w:rPr>
              <w:instrText xml:space="preserve"> PAGEREF _Toc225323433 \h </w:instrText>
            </w:r>
            <w:r>
              <w:rPr>
                <w:noProof/>
                <w:webHidden/>
              </w:rPr>
            </w:r>
            <w:r>
              <w:rPr>
                <w:noProof/>
                <w:webHidden/>
              </w:rPr>
              <w:fldChar w:fldCharType="separate"/>
            </w:r>
            <w:r>
              <w:rPr>
                <w:noProof/>
                <w:webHidden/>
              </w:rPr>
              <w:t>83</w:t>
            </w:r>
            <w:r>
              <w:rPr>
                <w:noProof/>
                <w:webHidden/>
              </w:rPr>
              <w:fldChar w:fldCharType="end"/>
            </w:r>
          </w:hyperlink>
        </w:p>
        <w:p w14:paraId="0B4D60A1" w14:textId="48631262" w:rsidR="00C50695" w:rsidRDefault="00C50695">
          <w:pPr>
            <w:pStyle w:val="TOC2"/>
            <w:tabs>
              <w:tab w:val="right" w:leader="dot" w:pos="9350"/>
            </w:tabs>
            <w:rPr>
              <w:noProof/>
            </w:rPr>
          </w:pPr>
          <w:hyperlink w:anchor="_Toc225323434" w:history="1">
            <w:r w:rsidRPr="009759F7">
              <w:rPr>
                <w:rStyle w:val="Hyperlink"/>
                <w:noProof/>
              </w:rPr>
              <w:t>9.4 Additionality</w:t>
            </w:r>
            <w:r>
              <w:rPr>
                <w:noProof/>
                <w:webHidden/>
              </w:rPr>
              <w:tab/>
            </w:r>
            <w:r>
              <w:rPr>
                <w:noProof/>
                <w:webHidden/>
              </w:rPr>
              <w:fldChar w:fldCharType="begin"/>
            </w:r>
            <w:r>
              <w:rPr>
                <w:noProof/>
                <w:webHidden/>
              </w:rPr>
              <w:instrText xml:space="preserve"> PAGEREF _Toc225323434 \h </w:instrText>
            </w:r>
            <w:r>
              <w:rPr>
                <w:noProof/>
                <w:webHidden/>
              </w:rPr>
            </w:r>
            <w:r>
              <w:rPr>
                <w:noProof/>
                <w:webHidden/>
              </w:rPr>
              <w:fldChar w:fldCharType="separate"/>
            </w:r>
            <w:r>
              <w:rPr>
                <w:noProof/>
                <w:webHidden/>
              </w:rPr>
              <w:t>84</w:t>
            </w:r>
            <w:r>
              <w:rPr>
                <w:noProof/>
                <w:webHidden/>
              </w:rPr>
              <w:fldChar w:fldCharType="end"/>
            </w:r>
          </w:hyperlink>
        </w:p>
        <w:p w14:paraId="3280BD7B" w14:textId="7111F888" w:rsidR="00C50695" w:rsidRDefault="00C50695">
          <w:pPr>
            <w:pStyle w:val="TOC2"/>
            <w:tabs>
              <w:tab w:val="right" w:leader="dot" w:pos="9350"/>
            </w:tabs>
            <w:rPr>
              <w:noProof/>
            </w:rPr>
          </w:pPr>
          <w:hyperlink w:anchor="_Toc225323435" w:history="1">
            <w:r w:rsidRPr="009759F7">
              <w:rPr>
                <w:rStyle w:val="Hyperlink"/>
                <w:noProof/>
              </w:rPr>
              <w:t>9.5 Permanence and Leakage</w:t>
            </w:r>
            <w:r>
              <w:rPr>
                <w:noProof/>
                <w:webHidden/>
              </w:rPr>
              <w:tab/>
            </w:r>
            <w:r>
              <w:rPr>
                <w:noProof/>
                <w:webHidden/>
              </w:rPr>
              <w:fldChar w:fldCharType="begin"/>
            </w:r>
            <w:r>
              <w:rPr>
                <w:noProof/>
                <w:webHidden/>
              </w:rPr>
              <w:instrText xml:space="preserve"> PAGEREF _Toc225323435 \h </w:instrText>
            </w:r>
            <w:r>
              <w:rPr>
                <w:noProof/>
                <w:webHidden/>
              </w:rPr>
            </w:r>
            <w:r>
              <w:rPr>
                <w:noProof/>
                <w:webHidden/>
              </w:rPr>
              <w:fldChar w:fldCharType="separate"/>
            </w:r>
            <w:r>
              <w:rPr>
                <w:noProof/>
                <w:webHidden/>
              </w:rPr>
              <w:t>86</w:t>
            </w:r>
            <w:r>
              <w:rPr>
                <w:noProof/>
                <w:webHidden/>
              </w:rPr>
              <w:fldChar w:fldCharType="end"/>
            </w:r>
          </w:hyperlink>
        </w:p>
        <w:p w14:paraId="0FF1EBFB" w14:textId="7D992A85" w:rsidR="00C50695" w:rsidRDefault="00C50695">
          <w:pPr>
            <w:pStyle w:val="TOC2"/>
            <w:tabs>
              <w:tab w:val="right" w:leader="dot" w:pos="9350"/>
            </w:tabs>
            <w:rPr>
              <w:noProof/>
            </w:rPr>
          </w:pPr>
          <w:hyperlink w:anchor="_Toc225323436" w:history="1">
            <w:r w:rsidRPr="009759F7">
              <w:rPr>
                <w:rStyle w:val="Hyperlink"/>
                <w:noProof/>
              </w:rPr>
              <w:t>9.6 Uncertainty and Conservative Accounting</w:t>
            </w:r>
            <w:r>
              <w:rPr>
                <w:noProof/>
                <w:webHidden/>
              </w:rPr>
              <w:tab/>
            </w:r>
            <w:r>
              <w:rPr>
                <w:noProof/>
                <w:webHidden/>
              </w:rPr>
              <w:fldChar w:fldCharType="begin"/>
            </w:r>
            <w:r>
              <w:rPr>
                <w:noProof/>
                <w:webHidden/>
              </w:rPr>
              <w:instrText xml:space="preserve"> PAGEREF _Toc225323436 \h </w:instrText>
            </w:r>
            <w:r>
              <w:rPr>
                <w:noProof/>
                <w:webHidden/>
              </w:rPr>
            </w:r>
            <w:r>
              <w:rPr>
                <w:noProof/>
                <w:webHidden/>
              </w:rPr>
              <w:fldChar w:fldCharType="separate"/>
            </w:r>
            <w:r>
              <w:rPr>
                <w:noProof/>
                <w:webHidden/>
              </w:rPr>
              <w:t>88</w:t>
            </w:r>
            <w:r>
              <w:rPr>
                <w:noProof/>
                <w:webHidden/>
              </w:rPr>
              <w:fldChar w:fldCharType="end"/>
            </w:r>
          </w:hyperlink>
        </w:p>
        <w:p w14:paraId="4EF6BCEC" w14:textId="5F3C60D2" w:rsidR="00C50695" w:rsidRDefault="00C50695">
          <w:pPr>
            <w:pStyle w:val="TOC2"/>
            <w:tabs>
              <w:tab w:val="right" w:leader="dot" w:pos="9350"/>
            </w:tabs>
            <w:rPr>
              <w:noProof/>
            </w:rPr>
          </w:pPr>
          <w:hyperlink w:anchor="_Toc225323437" w:history="1">
            <w:r w:rsidRPr="009759F7">
              <w:rPr>
                <w:rStyle w:val="Hyperlink"/>
                <w:noProof/>
              </w:rPr>
              <w:t>9.7 Credit Issuance Pathway</w:t>
            </w:r>
            <w:r>
              <w:rPr>
                <w:noProof/>
                <w:webHidden/>
              </w:rPr>
              <w:tab/>
            </w:r>
            <w:r>
              <w:rPr>
                <w:noProof/>
                <w:webHidden/>
              </w:rPr>
              <w:fldChar w:fldCharType="begin"/>
            </w:r>
            <w:r>
              <w:rPr>
                <w:noProof/>
                <w:webHidden/>
              </w:rPr>
              <w:instrText xml:space="preserve"> PAGEREF _Toc225323437 \h </w:instrText>
            </w:r>
            <w:r>
              <w:rPr>
                <w:noProof/>
                <w:webHidden/>
              </w:rPr>
            </w:r>
            <w:r>
              <w:rPr>
                <w:noProof/>
                <w:webHidden/>
              </w:rPr>
              <w:fldChar w:fldCharType="separate"/>
            </w:r>
            <w:r>
              <w:rPr>
                <w:noProof/>
                <w:webHidden/>
              </w:rPr>
              <w:t>90</w:t>
            </w:r>
            <w:r>
              <w:rPr>
                <w:noProof/>
                <w:webHidden/>
              </w:rPr>
              <w:fldChar w:fldCharType="end"/>
            </w:r>
          </w:hyperlink>
        </w:p>
        <w:p w14:paraId="6ABA812C" w14:textId="08D55FB2" w:rsidR="00C50695" w:rsidRDefault="00C50695">
          <w:pPr>
            <w:pStyle w:val="TOC1"/>
            <w:tabs>
              <w:tab w:val="right" w:leader="dot" w:pos="9350"/>
            </w:tabs>
            <w:rPr>
              <w:noProof/>
            </w:rPr>
          </w:pPr>
          <w:hyperlink w:anchor="_Toc225323438" w:history="1">
            <w:r w:rsidRPr="009759F7">
              <w:rPr>
                <w:rStyle w:val="Hyperlink"/>
                <w:noProof/>
              </w:rPr>
              <w:t>Chapter 10: Reporting Framework</w:t>
            </w:r>
            <w:r>
              <w:rPr>
                <w:noProof/>
                <w:webHidden/>
              </w:rPr>
              <w:tab/>
            </w:r>
            <w:r>
              <w:rPr>
                <w:noProof/>
                <w:webHidden/>
              </w:rPr>
              <w:fldChar w:fldCharType="begin"/>
            </w:r>
            <w:r>
              <w:rPr>
                <w:noProof/>
                <w:webHidden/>
              </w:rPr>
              <w:instrText xml:space="preserve"> PAGEREF _Toc225323438 \h </w:instrText>
            </w:r>
            <w:r>
              <w:rPr>
                <w:noProof/>
                <w:webHidden/>
              </w:rPr>
            </w:r>
            <w:r>
              <w:rPr>
                <w:noProof/>
                <w:webHidden/>
              </w:rPr>
              <w:fldChar w:fldCharType="separate"/>
            </w:r>
            <w:r>
              <w:rPr>
                <w:noProof/>
                <w:webHidden/>
              </w:rPr>
              <w:t>91</w:t>
            </w:r>
            <w:r>
              <w:rPr>
                <w:noProof/>
                <w:webHidden/>
              </w:rPr>
              <w:fldChar w:fldCharType="end"/>
            </w:r>
          </w:hyperlink>
        </w:p>
        <w:p w14:paraId="0FFA7437" w14:textId="2A83D425" w:rsidR="00C50695" w:rsidRDefault="00C50695">
          <w:pPr>
            <w:pStyle w:val="TOC2"/>
            <w:tabs>
              <w:tab w:val="right" w:leader="dot" w:pos="9350"/>
            </w:tabs>
            <w:rPr>
              <w:noProof/>
            </w:rPr>
          </w:pPr>
          <w:hyperlink w:anchor="_Toc225323439" w:history="1">
            <w:r w:rsidRPr="009759F7">
              <w:rPr>
                <w:rStyle w:val="Hyperlink"/>
                <w:noProof/>
              </w:rPr>
              <w:t>10.1 Purpose of the Reporting Framework</w:t>
            </w:r>
            <w:r>
              <w:rPr>
                <w:noProof/>
                <w:webHidden/>
              </w:rPr>
              <w:tab/>
            </w:r>
            <w:r>
              <w:rPr>
                <w:noProof/>
                <w:webHidden/>
              </w:rPr>
              <w:fldChar w:fldCharType="begin"/>
            </w:r>
            <w:r>
              <w:rPr>
                <w:noProof/>
                <w:webHidden/>
              </w:rPr>
              <w:instrText xml:space="preserve"> PAGEREF _Toc225323439 \h </w:instrText>
            </w:r>
            <w:r>
              <w:rPr>
                <w:noProof/>
                <w:webHidden/>
              </w:rPr>
            </w:r>
            <w:r>
              <w:rPr>
                <w:noProof/>
                <w:webHidden/>
              </w:rPr>
              <w:fldChar w:fldCharType="separate"/>
            </w:r>
            <w:r>
              <w:rPr>
                <w:noProof/>
                <w:webHidden/>
              </w:rPr>
              <w:t>92</w:t>
            </w:r>
            <w:r>
              <w:rPr>
                <w:noProof/>
                <w:webHidden/>
              </w:rPr>
              <w:fldChar w:fldCharType="end"/>
            </w:r>
          </w:hyperlink>
        </w:p>
        <w:p w14:paraId="164925CB" w14:textId="0B2BD374" w:rsidR="00C50695" w:rsidRDefault="00C50695">
          <w:pPr>
            <w:pStyle w:val="TOC2"/>
            <w:tabs>
              <w:tab w:val="right" w:leader="dot" w:pos="9350"/>
            </w:tabs>
            <w:rPr>
              <w:noProof/>
            </w:rPr>
          </w:pPr>
          <w:hyperlink w:anchor="_Toc225323440" w:history="1">
            <w:r w:rsidRPr="009759F7">
              <w:rPr>
                <w:rStyle w:val="Hyperlink"/>
                <w:noProof/>
              </w:rPr>
              <w:t>10.2 The Reporting Cycle</w:t>
            </w:r>
            <w:r>
              <w:rPr>
                <w:noProof/>
                <w:webHidden/>
              </w:rPr>
              <w:tab/>
            </w:r>
            <w:r>
              <w:rPr>
                <w:noProof/>
                <w:webHidden/>
              </w:rPr>
              <w:fldChar w:fldCharType="begin"/>
            </w:r>
            <w:r>
              <w:rPr>
                <w:noProof/>
                <w:webHidden/>
              </w:rPr>
              <w:instrText xml:space="preserve"> PAGEREF _Toc225323440 \h </w:instrText>
            </w:r>
            <w:r>
              <w:rPr>
                <w:noProof/>
                <w:webHidden/>
              </w:rPr>
            </w:r>
            <w:r>
              <w:rPr>
                <w:noProof/>
                <w:webHidden/>
              </w:rPr>
              <w:fldChar w:fldCharType="separate"/>
            </w:r>
            <w:r>
              <w:rPr>
                <w:noProof/>
                <w:webHidden/>
              </w:rPr>
              <w:t>92</w:t>
            </w:r>
            <w:r>
              <w:rPr>
                <w:noProof/>
                <w:webHidden/>
              </w:rPr>
              <w:fldChar w:fldCharType="end"/>
            </w:r>
          </w:hyperlink>
        </w:p>
        <w:p w14:paraId="0F3B9EFC" w14:textId="7C006CCE" w:rsidR="00C50695" w:rsidRDefault="00C50695">
          <w:pPr>
            <w:pStyle w:val="TOC2"/>
            <w:tabs>
              <w:tab w:val="right" w:leader="dot" w:pos="9350"/>
            </w:tabs>
            <w:rPr>
              <w:noProof/>
            </w:rPr>
          </w:pPr>
          <w:hyperlink w:anchor="_Toc225323441" w:history="1">
            <w:r w:rsidRPr="009759F7">
              <w:rPr>
                <w:rStyle w:val="Hyperlink"/>
                <w:noProof/>
              </w:rPr>
              <w:t>10.3 Reporting Audiences and Their Needs</w:t>
            </w:r>
            <w:r>
              <w:rPr>
                <w:noProof/>
                <w:webHidden/>
              </w:rPr>
              <w:tab/>
            </w:r>
            <w:r>
              <w:rPr>
                <w:noProof/>
                <w:webHidden/>
              </w:rPr>
              <w:fldChar w:fldCharType="begin"/>
            </w:r>
            <w:r>
              <w:rPr>
                <w:noProof/>
                <w:webHidden/>
              </w:rPr>
              <w:instrText xml:space="preserve"> PAGEREF _Toc225323441 \h </w:instrText>
            </w:r>
            <w:r>
              <w:rPr>
                <w:noProof/>
                <w:webHidden/>
              </w:rPr>
            </w:r>
            <w:r>
              <w:rPr>
                <w:noProof/>
                <w:webHidden/>
              </w:rPr>
              <w:fldChar w:fldCharType="separate"/>
            </w:r>
            <w:r>
              <w:rPr>
                <w:noProof/>
                <w:webHidden/>
              </w:rPr>
              <w:t>95</w:t>
            </w:r>
            <w:r>
              <w:rPr>
                <w:noProof/>
                <w:webHidden/>
              </w:rPr>
              <w:fldChar w:fldCharType="end"/>
            </w:r>
          </w:hyperlink>
        </w:p>
        <w:p w14:paraId="7D4EF2E6" w14:textId="3C4EAA35" w:rsidR="00C50695" w:rsidRDefault="00C50695">
          <w:pPr>
            <w:pStyle w:val="TOC2"/>
            <w:tabs>
              <w:tab w:val="right" w:leader="dot" w:pos="9350"/>
            </w:tabs>
            <w:rPr>
              <w:noProof/>
            </w:rPr>
          </w:pPr>
          <w:hyperlink w:anchor="_Toc225323442" w:history="1">
            <w:r w:rsidRPr="009759F7">
              <w:rPr>
                <w:rStyle w:val="Hyperlink"/>
                <w:noProof/>
              </w:rPr>
              <w:t>10.4 NDC Reporting Linkage</w:t>
            </w:r>
            <w:r>
              <w:rPr>
                <w:noProof/>
                <w:webHidden/>
              </w:rPr>
              <w:tab/>
            </w:r>
            <w:r>
              <w:rPr>
                <w:noProof/>
                <w:webHidden/>
              </w:rPr>
              <w:fldChar w:fldCharType="begin"/>
            </w:r>
            <w:r>
              <w:rPr>
                <w:noProof/>
                <w:webHidden/>
              </w:rPr>
              <w:instrText xml:space="preserve"> PAGEREF _Toc225323442 \h </w:instrText>
            </w:r>
            <w:r>
              <w:rPr>
                <w:noProof/>
                <w:webHidden/>
              </w:rPr>
            </w:r>
            <w:r>
              <w:rPr>
                <w:noProof/>
                <w:webHidden/>
              </w:rPr>
              <w:fldChar w:fldCharType="separate"/>
            </w:r>
            <w:r>
              <w:rPr>
                <w:noProof/>
                <w:webHidden/>
              </w:rPr>
              <w:t>97</w:t>
            </w:r>
            <w:r>
              <w:rPr>
                <w:noProof/>
                <w:webHidden/>
              </w:rPr>
              <w:fldChar w:fldCharType="end"/>
            </w:r>
          </w:hyperlink>
        </w:p>
        <w:p w14:paraId="58C95B16" w14:textId="4CF12D47" w:rsidR="00C50695" w:rsidRDefault="00C50695">
          <w:pPr>
            <w:pStyle w:val="TOC2"/>
            <w:tabs>
              <w:tab w:val="right" w:leader="dot" w:pos="9350"/>
            </w:tabs>
            <w:rPr>
              <w:noProof/>
            </w:rPr>
          </w:pPr>
          <w:hyperlink w:anchor="_Toc225323443" w:history="1">
            <w:r w:rsidRPr="009759F7">
              <w:rPr>
                <w:rStyle w:val="Hyperlink"/>
                <w:noProof/>
              </w:rPr>
              <w:t>10.5 Quality Assurance in Reporting</w:t>
            </w:r>
            <w:r>
              <w:rPr>
                <w:noProof/>
                <w:webHidden/>
              </w:rPr>
              <w:tab/>
            </w:r>
            <w:r>
              <w:rPr>
                <w:noProof/>
                <w:webHidden/>
              </w:rPr>
              <w:fldChar w:fldCharType="begin"/>
            </w:r>
            <w:r>
              <w:rPr>
                <w:noProof/>
                <w:webHidden/>
              </w:rPr>
              <w:instrText xml:space="preserve"> PAGEREF _Toc225323443 \h </w:instrText>
            </w:r>
            <w:r>
              <w:rPr>
                <w:noProof/>
                <w:webHidden/>
              </w:rPr>
            </w:r>
            <w:r>
              <w:rPr>
                <w:noProof/>
                <w:webHidden/>
              </w:rPr>
              <w:fldChar w:fldCharType="separate"/>
            </w:r>
            <w:r>
              <w:rPr>
                <w:noProof/>
                <w:webHidden/>
              </w:rPr>
              <w:t>98</w:t>
            </w:r>
            <w:r>
              <w:rPr>
                <w:noProof/>
                <w:webHidden/>
              </w:rPr>
              <w:fldChar w:fldCharType="end"/>
            </w:r>
          </w:hyperlink>
        </w:p>
        <w:p w14:paraId="3FB84CCF" w14:textId="77A04FBD" w:rsidR="00C50695" w:rsidRDefault="00C50695">
          <w:pPr>
            <w:pStyle w:val="TOC2"/>
            <w:tabs>
              <w:tab w:val="right" w:leader="dot" w:pos="9350"/>
            </w:tabs>
            <w:rPr>
              <w:noProof/>
            </w:rPr>
          </w:pPr>
          <w:hyperlink w:anchor="_Toc225323444" w:history="1">
            <w:r w:rsidRPr="009759F7">
              <w:rPr>
                <w:rStyle w:val="Hyperlink"/>
                <w:noProof/>
              </w:rPr>
              <w:t>10.6 Public Disclosure and Transparency</w:t>
            </w:r>
            <w:r>
              <w:rPr>
                <w:noProof/>
                <w:webHidden/>
              </w:rPr>
              <w:tab/>
            </w:r>
            <w:r>
              <w:rPr>
                <w:noProof/>
                <w:webHidden/>
              </w:rPr>
              <w:fldChar w:fldCharType="begin"/>
            </w:r>
            <w:r>
              <w:rPr>
                <w:noProof/>
                <w:webHidden/>
              </w:rPr>
              <w:instrText xml:space="preserve"> PAGEREF _Toc225323444 \h </w:instrText>
            </w:r>
            <w:r>
              <w:rPr>
                <w:noProof/>
                <w:webHidden/>
              </w:rPr>
            </w:r>
            <w:r>
              <w:rPr>
                <w:noProof/>
                <w:webHidden/>
              </w:rPr>
              <w:fldChar w:fldCharType="separate"/>
            </w:r>
            <w:r>
              <w:rPr>
                <w:noProof/>
                <w:webHidden/>
              </w:rPr>
              <w:t>99</w:t>
            </w:r>
            <w:r>
              <w:rPr>
                <w:noProof/>
                <w:webHidden/>
              </w:rPr>
              <w:fldChar w:fldCharType="end"/>
            </w:r>
          </w:hyperlink>
        </w:p>
        <w:p w14:paraId="1C6777AB" w14:textId="532EE560" w:rsidR="00C50695" w:rsidRDefault="00C50695">
          <w:pPr>
            <w:pStyle w:val="TOC1"/>
            <w:tabs>
              <w:tab w:val="right" w:leader="dot" w:pos="9350"/>
            </w:tabs>
            <w:rPr>
              <w:noProof/>
            </w:rPr>
          </w:pPr>
          <w:hyperlink w:anchor="_Toc225323445" w:history="1">
            <w:r w:rsidRPr="009759F7">
              <w:rPr>
                <w:rStyle w:val="Hyperlink"/>
                <w:noProof/>
              </w:rPr>
              <w:t>Chapter 11: Keta Pilot Implementation</w:t>
            </w:r>
            <w:r>
              <w:rPr>
                <w:noProof/>
                <w:webHidden/>
              </w:rPr>
              <w:tab/>
            </w:r>
            <w:r>
              <w:rPr>
                <w:noProof/>
                <w:webHidden/>
              </w:rPr>
              <w:fldChar w:fldCharType="begin"/>
            </w:r>
            <w:r>
              <w:rPr>
                <w:noProof/>
                <w:webHidden/>
              </w:rPr>
              <w:instrText xml:space="preserve"> PAGEREF _Toc225323445 \h </w:instrText>
            </w:r>
            <w:r>
              <w:rPr>
                <w:noProof/>
                <w:webHidden/>
              </w:rPr>
            </w:r>
            <w:r>
              <w:rPr>
                <w:noProof/>
                <w:webHidden/>
              </w:rPr>
              <w:fldChar w:fldCharType="separate"/>
            </w:r>
            <w:r>
              <w:rPr>
                <w:noProof/>
                <w:webHidden/>
              </w:rPr>
              <w:t>101</w:t>
            </w:r>
            <w:r>
              <w:rPr>
                <w:noProof/>
                <w:webHidden/>
              </w:rPr>
              <w:fldChar w:fldCharType="end"/>
            </w:r>
          </w:hyperlink>
        </w:p>
        <w:p w14:paraId="4866A620" w14:textId="483F7E02" w:rsidR="00C50695" w:rsidRDefault="00C50695">
          <w:pPr>
            <w:pStyle w:val="TOC2"/>
            <w:tabs>
              <w:tab w:val="right" w:leader="dot" w:pos="9350"/>
            </w:tabs>
            <w:rPr>
              <w:noProof/>
            </w:rPr>
          </w:pPr>
          <w:hyperlink w:anchor="_Toc225323446" w:history="1">
            <w:r w:rsidRPr="009759F7">
              <w:rPr>
                <w:rStyle w:val="Hyperlink"/>
                <w:noProof/>
              </w:rPr>
              <w:t>11.1 Why Keta Was Selected as the MRV Pilot Site</w:t>
            </w:r>
            <w:r>
              <w:rPr>
                <w:noProof/>
                <w:webHidden/>
              </w:rPr>
              <w:tab/>
            </w:r>
            <w:r>
              <w:rPr>
                <w:noProof/>
                <w:webHidden/>
              </w:rPr>
              <w:fldChar w:fldCharType="begin"/>
            </w:r>
            <w:r>
              <w:rPr>
                <w:noProof/>
                <w:webHidden/>
              </w:rPr>
              <w:instrText xml:space="preserve"> PAGEREF _Toc225323446 \h </w:instrText>
            </w:r>
            <w:r>
              <w:rPr>
                <w:noProof/>
                <w:webHidden/>
              </w:rPr>
            </w:r>
            <w:r>
              <w:rPr>
                <w:noProof/>
                <w:webHidden/>
              </w:rPr>
              <w:fldChar w:fldCharType="separate"/>
            </w:r>
            <w:r>
              <w:rPr>
                <w:noProof/>
                <w:webHidden/>
              </w:rPr>
              <w:t>101</w:t>
            </w:r>
            <w:r>
              <w:rPr>
                <w:noProof/>
                <w:webHidden/>
              </w:rPr>
              <w:fldChar w:fldCharType="end"/>
            </w:r>
          </w:hyperlink>
        </w:p>
        <w:p w14:paraId="24FFECA6" w14:textId="7C98BD6D" w:rsidR="00C50695" w:rsidRDefault="00C50695">
          <w:pPr>
            <w:pStyle w:val="TOC2"/>
            <w:tabs>
              <w:tab w:val="right" w:leader="dot" w:pos="9350"/>
            </w:tabs>
            <w:rPr>
              <w:noProof/>
            </w:rPr>
          </w:pPr>
          <w:hyperlink w:anchor="_Toc225323447" w:history="1">
            <w:r w:rsidRPr="009759F7">
              <w:rPr>
                <w:rStyle w:val="Hyperlink"/>
                <w:noProof/>
              </w:rPr>
              <w:t>11.2 The Landscape and Its Pressures</w:t>
            </w:r>
            <w:r>
              <w:rPr>
                <w:noProof/>
                <w:webHidden/>
              </w:rPr>
              <w:tab/>
            </w:r>
            <w:r>
              <w:rPr>
                <w:noProof/>
                <w:webHidden/>
              </w:rPr>
              <w:fldChar w:fldCharType="begin"/>
            </w:r>
            <w:r>
              <w:rPr>
                <w:noProof/>
                <w:webHidden/>
              </w:rPr>
              <w:instrText xml:space="preserve"> PAGEREF _Toc225323447 \h </w:instrText>
            </w:r>
            <w:r>
              <w:rPr>
                <w:noProof/>
                <w:webHidden/>
              </w:rPr>
            </w:r>
            <w:r>
              <w:rPr>
                <w:noProof/>
                <w:webHidden/>
              </w:rPr>
              <w:fldChar w:fldCharType="separate"/>
            </w:r>
            <w:r>
              <w:rPr>
                <w:noProof/>
                <w:webHidden/>
              </w:rPr>
              <w:t>102</w:t>
            </w:r>
            <w:r>
              <w:rPr>
                <w:noProof/>
                <w:webHidden/>
              </w:rPr>
              <w:fldChar w:fldCharType="end"/>
            </w:r>
          </w:hyperlink>
        </w:p>
        <w:p w14:paraId="092659AD" w14:textId="67041187" w:rsidR="00C50695" w:rsidRDefault="00C50695">
          <w:pPr>
            <w:pStyle w:val="TOC2"/>
            <w:tabs>
              <w:tab w:val="right" w:leader="dot" w:pos="9350"/>
            </w:tabs>
            <w:rPr>
              <w:noProof/>
            </w:rPr>
          </w:pPr>
          <w:hyperlink w:anchor="_Toc225323448" w:history="1">
            <w:r w:rsidRPr="009759F7">
              <w:rPr>
                <w:rStyle w:val="Hyperlink"/>
                <w:noProof/>
              </w:rPr>
              <w:t>11.3 The 57-Station Monitoring Network</w:t>
            </w:r>
            <w:r>
              <w:rPr>
                <w:noProof/>
                <w:webHidden/>
              </w:rPr>
              <w:tab/>
            </w:r>
            <w:r>
              <w:rPr>
                <w:noProof/>
                <w:webHidden/>
              </w:rPr>
              <w:fldChar w:fldCharType="begin"/>
            </w:r>
            <w:r>
              <w:rPr>
                <w:noProof/>
                <w:webHidden/>
              </w:rPr>
              <w:instrText xml:space="preserve"> PAGEREF _Toc225323448 \h </w:instrText>
            </w:r>
            <w:r>
              <w:rPr>
                <w:noProof/>
                <w:webHidden/>
              </w:rPr>
            </w:r>
            <w:r>
              <w:rPr>
                <w:noProof/>
                <w:webHidden/>
              </w:rPr>
              <w:fldChar w:fldCharType="separate"/>
            </w:r>
            <w:r>
              <w:rPr>
                <w:noProof/>
                <w:webHidden/>
              </w:rPr>
              <w:t>103</w:t>
            </w:r>
            <w:r>
              <w:rPr>
                <w:noProof/>
                <w:webHidden/>
              </w:rPr>
              <w:fldChar w:fldCharType="end"/>
            </w:r>
          </w:hyperlink>
        </w:p>
        <w:p w14:paraId="1F4AEC42" w14:textId="766CAD45" w:rsidR="00C50695" w:rsidRDefault="00C50695">
          <w:pPr>
            <w:pStyle w:val="TOC2"/>
            <w:tabs>
              <w:tab w:val="right" w:leader="dot" w:pos="9350"/>
            </w:tabs>
            <w:rPr>
              <w:noProof/>
            </w:rPr>
          </w:pPr>
          <w:hyperlink w:anchor="_Toc225323449" w:history="1">
            <w:r w:rsidRPr="009759F7">
              <w:rPr>
                <w:rStyle w:val="Hyperlink"/>
                <w:noProof/>
              </w:rPr>
              <w:t>11.4 Permanent Sample Plots</w:t>
            </w:r>
            <w:r>
              <w:rPr>
                <w:noProof/>
                <w:webHidden/>
              </w:rPr>
              <w:tab/>
            </w:r>
            <w:r>
              <w:rPr>
                <w:noProof/>
                <w:webHidden/>
              </w:rPr>
              <w:fldChar w:fldCharType="begin"/>
            </w:r>
            <w:r>
              <w:rPr>
                <w:noProof/>
                <w:webHidden/>
              </w:rPr>
              <w:instrText xml:space="preserve"> PAGEREF _Toc225323449 \h </w:instrText>
            </w:r>
            <w:r>
              <w:rPr>
                <w:noProof/>
                <w:webHidden/>
              </w:rPr>
            </w:r>
            <w:r>
              <w:rPr>
                <w:noProof/>
                <w:webHidden/>
              </w:rPr>
              <w:fldChar w:fldCharType="separate"/>
            </w:r>
            <w:r>
              <w:rPr>
                <w:noProof/>
                <w:webHidden/>
              </w:rPr>
              <w:t>105</w:t>
            </w:r>
            <w:r>
              <w:rPr>
                <w:noProof/>
                <w:webHidden/>
              </w:rPr>
              <w:fldChar w:fldCharType="end"/>
            </w:r>
          </w:hyperlink>
        </w:p>
        <w:p w14:paraId="1856727A" w14:textId="34EFE893" w:rsidR="00C50695" w:rsidRDefault="00C50695">
          <w:pPr>
            <w:pStyle w:val="TOC2"/>
            <w:tabs>
              <w:tab w:val="right" w:leader="dot" w:pos="9350"/>
            </w:tabs>
            <w:rPr>
              <w:noProof/>
            </w:rPr>
          </w:pPr>
          <w:hyperlink w:anchor="_Toc225323450" w:history="1">
            <w:r w:rsidRPr="009759F7">
              <w:rPr>
                <w:rStyle w:val="Hyperlink"/>
                <w:noProof/>
              </w:rPr>
              <w:t>11.5 The Dzita Early Action Hub</w:t>
            </w:r>
            <w:r>
              <w:rPr>
                <w:noProof/>
                <w:webHidden/>
              </w:rPr>
              <w:tab/>
            </w:r>
            <w:r>
              <w:rPr>
                <w:noProof/>
                <w:webHidden/>
              </w:rPr>
              <w:fldChar w:fldCharType="begin"/>
            </w:r>
            <w:r>
              <w:rPr>
                <w:noProof/>
                <w:webHidden/>
              </w:rPr>
              <w:instrText xml:space="preserve"> PAGEREF _Toc225323450 \h </w:instrText>
            </w:r>
            <w:r>
              <w:rPr>
                <w:noProof/>
                <w:webHidden/>
              </w:rPr>
            </w:r>
            <w:r>
              <w:rPr>
                <w:noProof/>
                <w:webHidden/>
              </w:rPr>
              <w:fldChar w:fldCharType="separate"/>
            </w:r>
            <w:r>
              <w:rPr>
                <w:noProof/>
                <w:webHidden/>
              </w:rPr>
              <w:t>106</w:t>
            </w:r>
            <w:r>
              <w:rPr>
                <w:noProof/>
                <w:webHidden/>
              </w:rPr>
              <w:fldChar w:fldCharType="end"/>
            </w:r>
          </w:hyperlink>
        </w:p>
        <w:p w14:paraId="47726545" w14:textId="68463E4B" w:rsidR="00C50695" w:rsidRDefault="00C50695">
          <w:pPr>
            <w:pStyle w:val="TOC2"/>
            <w:tabs>
              <w:tab w:val="right" w:leader="dot" w:pos="9350"/>
            </w:tabs>
            <w:rPr>
              <w:noProof/>
            </w:rPr>
          </w:pPr>
          <w:hyperlink w:anchor="_Toc225323451" w:history="1">
            <w:r w:rsidRPr="009759F7">
              <w:rPr>
                <w:rStyle w:val="Hyperlink"/>
                <w:noProof/>
              </w:rPr>
              <w:t>11.6 Restoration Monitoring at Keta</w:t>
            </w:r>
            <w:r>
              <w:rPr>
                <w:noProof/>
                <w:webHidden/>
              </w:rPr>
              <w:tab/>
            </w:r>
            <w:r>
              <w:rPr>
                <w:noProof/>
                <w:webHidden/>
              </w:rPr>
              <w:fldChar w:fldCharType="begin"/>
            </w:r>
            <w:r>
              <w:rPr>
                <w:noProof/>
                <w:webHidden/>
              </w:rPr>
              <w:instrText xml:space="preserve"> PAGEREF _Toc225323451 \h </w:instrText>
            </w:r>
            <w:r>
              <w:rPr>
                <w:noProof/>
                <w:webHidden/>
              </w:rPr>
            </w:r>
            <w:r>
              <w:rPr>
                <w:noProof/>
                <w:webHidden/>
              </w:rPr>
              <w:fldChar w:fldCharType="separate"/>
            </w:r>
            <w:r>
              <w:rPr>
                <w:noProof/>
                <w:webHidden/>
              </w:rPr>
              <w:t>108</w:t>
            </w:r>
            <w:r>
              <w:rPr>
                <w:noProof/>
                <w:webHidden/>
              </w:rPr>
              <w:fldChar w:fldCharType="end"/>
            </w:r>
          </w:hyperlink>
        </w:p>
        <w:p w14:paraId="0AA3F5B1" w14:textId="0412DC10" w:rsidR="00C50695" w:rsidRDefault="00C50695">
          <w:pPr>
            <w:pStyle w:val="TOC2"/>
            <w:tabs>
              <w:tab w:val="right" w:leader="dot" w:pos="9350"/>
            </w:tabs>
            <w:rPr>
              <w:noProof/>
            </w:rPr>
          </w:pPr>
          <w:hyperlink w:anchor="_Toc225323452" w:history="1">
            <w:r w:rsidRPr="009759F7">
              <w:rPr>
                <w:rStyle w:val="Hyperlink"/>
                <w:noProof/>
              </w:rPr>
              <w:t>11.7 Lessons from Keta for National Rollout</w:t>
            </w:r>
            <w:r>
              <w:rPr>
                <w:noProof/>
                <w:webHidden/>
              </w:rPr>
              <w:tab/>
            </w:r>
            <w:r>
              <w:rPr>
                <w:noProof/>
                <w:webHidden/>
              </w:rPr>
              <w:fldChar w:fldCharType="begin"/>
            </w:r>
            <w:r>
              <w:rPr>
                <w:noProof/>
                <w:webHidden/>
              </w:rPr>
              <w:instrText xml:space="preserve"> PAGEREF _Toc225323452 \h </w:instrText>
            </w:r>
            <w:r>
              <w:rPr>
                <w:noProof/>
                <w:webHidden/>
              </w:rPr>
            </w:r>
            <w:r>
              <w:rPr>
                <w:noProof/>
                <w:webHidden/>
              </w:rPr>
              <w:fldChar w:fldCharType="separate"/>
            </w:r>
            <w:r>
              <w:rPr>
                <w:noProof/>
                <w:webHidden/>
              </w:rPr>
              <w:t>110</w:t>
            </w:r>
            <w:r>
              <w:rPr>
                <w:noProof/>
                <w:webHidden/>
              </w:rPr>
              <w:fldChar w:fldCharType="end"/>
            </w:r>
          </w:hyperlink>
        </w:p>
        <w:p w14:paraId="4F1530CF" w14:textId="718D2DA7" w:rsidR="00C50695" w:rsidRDefault="00C50695">
          <w:pPr>
            <w:pStyle w:val="TOC1"/>
            <w:tabs>
              <w:tab w:val="right" w:leader="dot" w:pos="9350"/>
            </w:tabs>
            <w:rPr>
              <w:noProof/>
            </w:rPr>
          </w:pPr>
          <w:hyperlink w:anchor="_Toc225323453" w:history="1">
            <w:r w:rsidRPr="009759F7">
              <w:rPr>
                <w:rStyle w:val="Hyperlink"/>
                <w:noProof/>
              </w:rPr>
              <w:t>Chapter 12: Implementation Maturity Assessment</w:t>
            </w:r>
            <w:r>
              <w:rPr>
                <w:noProof/>
                <w:webHidden/>
              </w:rPr>
              <w:tab/>
            </w:r>
            <w:r>
              <w:rPr>
                <w:noProof/>
                <w:webHidden/>
              </w:rPr>
              <w:fldChar w:fldCharType="begin"/>
            </w:r>
            <w:r>
              <w:rPr>
                <w:noProof/>
                <w:webHidden/>
              </w:rPr>
              <w:instrText xml:space="preserve"> PAGEREF _Toc225323453 \h </w:instrText>
            </w:r>
            <w:r>
              <w:rPr>
                <w:noProof/>
                <w:webHidden/>
              </w:rPr>
            </w:r>
            <w:r>
              <w:rPr>
                <w:noProof/>
                <w:webHidden/>
              </w:rPr>
              <w:fldChar w:fldCharType="separate"/>
            </w:r>
            <w:r>
              <w:rPr>
                <w:noProof/>
                <w:webHidden/>
              </w:rPr>
              <w:t>112</w:t>
            </w:r>
            <w:r>
              <w:rPr>
                <w:noProof/>
                <w:webHidden/>
              </w:rPr>
              <w:fldChar w:fldCharType="end"/>
            </w:r>
          </w:hyperlink>
        </w:p>
        <w:p w14:paraId="7AFE6729" w14:textId="128EF8C7" w:rsidR="00C50695" w:rsidRDefault="00C50695">
          <w:pPr>
            <w:pStyle w:val="TOC2"/>
            <w:tabs>
              <w:tab w:val="right" w:leader="dot" w:pos="9350"/>
            </w:tabs>
            <w:rPr>
              <w:noProof/>
            </w:rPr>
          </w:pPr>
          <w:hyperlink w:anchor="_Toc225323454" w:history="1">
            <w:r w:rsidRPr="009759F7">
              <w:rPr>
                <w:rStyle w:val="Hyperlink"/>
                <w:noProof/>
              </w:rPr>
              <w:t>12.1 Purpose of the Maturity Assessment</w:t>
            </w:r>
            <w:r>
              <w:rPr>
                <w:noProof/>
                <w:webHidden/>
              </w:rPr>
              <w:tab/>
            </w:r>
            <w:r>
              <w:rPr>
                <w:noProof/>
                <w:webHidden/>
              </w:rPr>
              <w:fldChar w:fldCharType="begin"/>
            </w:r>
            <w:r>
              <w:rPr>
                <w:noProof/>
                <w:webHidden/>
              </w:rPr>
              <w:instrText xml:space="preserve"> PAGEREF _Toc225323454 \h </w:instrText>
            </w:r>
            <w:r>
              <w:rPr>
                <w:noProof/>
                <w:webHidden/>
              </w:rPr>
            </w:r>
            <w:r>
              <w:rPr>
                <w:noProof/>
                <w:webHidden/>
              </w:rPr>
              <w:fldChar w:fldCharType="separate"/>
            </w:r>
            <w:r>
              <w:rPr>
                <w:noProof/>
                <w:webHidden/>
              </w:rPr>
              <w:t>112</w:t>
            </w:r>
            <w:r>
              <w:rPr>
                <w:noProof/>
                <w:webHidden/>
              </w:rPr>
              <w:fldChar w:fldCharType="end"/>
            </w:r>
          </w:hyperlink>
        </w:p>
        <w:p w14:paraId="0CC89AAA" w14:textId="72D2A7CB" w:rsidR="00C50695" w:rsidRDefault="00C50695">
          <w:pPr>
            <w:pStyle w:val="TOC2"/>
            <w:tabs>
              <w:tab w:val="right" w:leader="dot" w:pos="9350"/>
            </w:tabs>
            <w:rPr>
              <w:noProof/>
            </w:rPr>
          </w:pPr>
          <w:hyperlink w:anchor="_Toc225323455" w:history="1">
            <w:r w:rsidRPr="009759F7">
              <w:rPr>
                <w:rStyle w:val="Hyperlink"/>
                <w:noProof/>
              </w:rPr>
              <w:t>12.2 Maturity Assessment — By Institutional Tier</w:t>
            </w:r>
            <w:r>
              <w:rPr>
                <w:noProof/>
                <w:webHidden/>
              </w:rPr>
              <w:tab/>
            </w:r>
            <w:r>
              <w:rPr>
                <w:noProof/>
                <w:webHidden/>
              </w:rPr>
              <w:fldChar w:fldCharType="begin"/>
            </w:r>
            <w:r>
              <w:rPr>
                <w:noProof/>
                <w:webHidden/>
              </w:rPr>
              <w:instrText xml:space="preserve"> PAGEREF _Toc225323455 \h </w:instrText>
            </w:r>
            <w:r>
              <w:rPr>
                <w:noProof/>
                <w:webHidden/>
              </w:rPr>
            </w:r>
            <w:r>
              <w:rPr>
                <w:noProof/>
                <w:webHidden/>
              </w:rPr>
              <w:fldChar w:fldCharType="separate"/>
            </w:r>
            <w:r>
              <w:rPr>
                <w:noProof/>
                <w:webHidden/>
              </w:rPr>
              <w:t>113</w:t>
            </w:r>
            <w:r>
              <w:rPr>
                <w:noProof/>
                <w:webHidden/>
              </w:rPr>
              <w:fldChar w:fldCharType="end"/>
            </w:r>
          </w:hyperlink>
        </w:p>
        <w:p w14:paraId="06E22E86" w14:textId="2FBA6EEC" w:rsidR="00C50695" w:rsidRDefault="00C50695">
          <w:pPr>
            <w:pStyle w:val="TOC2"/>
            <w:tabs>
              <w:tab w:val="right" w:leader="dot" w:pos="9350"/>
            </w:tabs>
            <w:rPr>
              <w:noProof/>
            </w:rPr>
          </w:pPr>
          <w:hyperlink w:anchor="_Toc225323456" w:history="1">
            <w:r w:rsidRPr="009759F7">
              <w:rPr>
                <w:rStyle w:val="Hyperlink"/>
                <w:noProof/>
              </w:rPr>
              <w:t>12.3 Maturity Assessment — By Functional Layer</w:t>
            </w:r>
            <w:r>
              <w:rPr>
                <w:noProof/>
                <w:webHidden/>
              </w:rPr>
              <w:tab/>
            </w:r>
            <w:r>
              <w:rPr>
                <w:noProof/>
                <w:webHidden/>
              </w:rPr>
              <w:fldChar w:fldCharType="begin"/>
            </w:r>
            <w:r>
              <w:rPr>
                <w:noProof/>
                <w:webHidden/>
              </w:rPr>
              <w:instrText xml:space="preserve"> PAGEREF _Toc225323456 \h </w:instrText>
            </w:r>
            <w:r>
              <w:rPr>
                <w:noProof/>
                <w:webHidden/>
              </w:rPr>
            </w:r>
            <w:r>
              <w:rPr>
                <w:noProof/>
                <w:webHidden/>
              </w:rPr>
              <w:fldChar w:fldCharType="separate"/>
            </w:r>
            <w:r>
              <w:rPr>
                <w:noProof/>
                <w:webHidden/>
              </w:rPr>
              <w:t>117</w:t>
            </w:r>
            <w:r>
              <w:rPr>
                <w:noProof/>
                <w:webHidden/>
              </w:rPr>
              <w:fldChar w:fldCharType="end"/>
            </w:r>
          </w:hyperlink>
        </w:p>
        <w:p w14:paraId="2E1F7816" w14:textId="505EE97B" w:rsidR="00C50695" w:rsidRDefault="00C50695">
          <w:pPr>
            <w:pStyle w:val="TOC2"/>
            <w:tabs>
              <w:tab w:val="right" w:leader="dot" w:pos="9350"/>
            </w:tabs>
            <w:rPr>
              <w:noProof/>
            </w:rPr>
          </w:pPr>
          <w:hyperlink w:anchor="_Toc225323457" w:history="1">
            <w:r w:rsidRPr="009759F7">
              <w:rPr>
                <w:rStyle w:val="Hyperlink"/>
                <w:noProof/>
              </w:rPr>
              <w:t>12.4 Priorities for the Next 12 Months</w:t>
            </w:r>
            <w:r>
              <w:rPr>
                <w:noProof/>
                <w:webHidden/>
              </w:rPr>
              <w:tab/>
            </w:r>
            <w:r>
              <w:rPr>
                <w:noProof/>
                <w:webHidden/>
              </w:rPr>
              <w:fldChar w:fldCharType="begin"/>
            </w:r>
            <w:r>
              <w:rPr>
                <w:noProof/>
                <w:webHidden/>
              </w:rPr>
              <w:instrText xml:space="preserve"> PAGEREF _Toc225323457 \h </w:instrText>
            </w:r>
            <w:r>
              <w:rPr>
                <w:noProof/>
                <w:webHidden/>
              </w:rPr>
            </w:r>
            <w:r>
              <w:rPr>
                <w:noProof/>
                <w:webHidden/>
              </w:rPr>
              <w:fldChar w:fldCharType="separate"/>
            </w:r>
            <w:r>
              <w:rPr>
                <w:noProof/>
                <w:webHidden/>
              </w:rPr>
              <w:t>119</w:t>
            </w:r>
            <w:r>
              <w:rPr>
                <w:noProof/>
                <w:webHidden/>
              </w:rPr>
              <w:fldChar w:fldCharType="end"/>
            </w:r>
          </w:hyperlink>
        </w:p>
        <w:p w14:paraId="084EC0AF" w14:textId="203342C6" w:rsidR="00C50695" w:rsidRDefault="00C50695">
          <w:pPr>
            <w:pStyle w:val="TOC2"/>
            <w:tabs>
              <w:tab w:val="right" w:leader="dot" w:pos="9350"/>
            </w:tabs>
            <w:rPr>
              <w:noProof/>
            </w:rPr>
          </w:pPr>
          <w:hyperlink w:anchor="_Toc225323458" w:history="1">
            <w:r w:rsidRPr="009759F7">
              <w:rPr>
                <w:rStyle w:val="Hyperlink"/>
                <w:noProof/>
              </w:rPr>
              <w:t>12.5 The MRV System’s Long-Term Trajectory</w:t>
            </w:r>
            <w:r>
              <w:rPr>
                <w:noProof/>
                <w:webHidden/>
              </w:rPr>
              <w:tab/>
            </w:r>
            <w:r>
              <w:rPr>
                <w:noProof/>
                <w:webHidden/>
              </w:rPr>
              <w:fldChar w:fldCharType="begin"/>
            </w:r>
            <w:r>
              <w:rPr>
                <w:noProof/>
                <w:webHidden/>
              </w:rPr>
              <w:instrText xml:space="preserve"> PAGEREF _Toc225323458 \h </w:instrText>
            </w:r>
            <w:r>
              <w:rPr>
                <w:noProof/>
                <w:webHidden/>
              </w:rPr>
            </w:r>
            <w:r>
              <w:rPr>
                <w:noProof/>
                <w:webHidden/>
              </w:rPr>
              <w:fldChar w:fldCharType="separate"/>
            </w:r>
            <w:r>
              <w:rPr>
                <w:noProof/>
                <w:webHidden/>
              </w:rPr>
              <w:t>121</w:t>
            </w:r>
            <w:r>
              <w:rPr>
                <w:noProof/>
                <w:webHidden/>
              </w:rPr>
              <w:fldChar w:fldCharType="end"/>
            </w:r>
          </w:hyperlink>
        </w:p>
        <w:p w14:paraId="1055056F" w14:textId="5042A123" w:rsidR="00EB2F85" w:rsidRDefault="00772CAE">
          <w:r>
            <w:fldChar w:fldCharType="end"/>
          </w:r>
        </w:p>
      </w:sdtContent>
    </w:sdt>
    <w:p w14:paraId="10550570" w14:textId="77777777" w:rsidR="00EB2F85" w:rsidRDefault="00772CAE">
      <w:pPr>
        <w:pStyle w:val="Heading1"/>
      </w:pPr>
      <w:bookmarkStart w:id="0" w:name="executive-summary"/>
      <w:bookmarkStart w:id="1" w:name="_Toc225323369"/>
      <w:r>
        <w:t>Executive Summary</w:t>
      </w:r>
      <w:bookmarkEnd w:id="0"/>
      <w:bookmarkEnd w:id="1"/>
    </w:p>
    <w:p w14:paraId="10550571" w14:textId="77777777" w:rsidR="00EB2F85" w:rsidRDefault="00000000">
      <w:r>
        <w:pict w14:anchorId="1055082A">
          <v:rect id="_x0000_i1025" style="width:0;height:1.5pt" o:hralign="center" o:hrstd="t" o:hr="t"/>
        </w:pict>
      </w:r>
    </w:p>
    <w:p w14:paraId="10550572" w14:textId="135156A4" w:rsidR="00EB2F85" w:rsidRDefault="00772CAE">
      <w:pPr>
        <w:pStyle w:val="FirstParagraph"/>
      </w:pPr>
      <w:r>
        <w:t xml:space="preserve">Ghana’s 2025 national blue carbon baseline has produced </w:t>
      </w:r>
      <w:r w:rsidR="0048233C">
        <w:t xml:space="preserve">one of </w:t>
      </w:r>
      <w:r>
        <w:t xml:space="preserve">the most accurate </w:t>
      </w:r>
      <w:r w:rsidR="005A2E01">
        <w:t>accounts</w:t>
      </w:r>
      <w:r>
        <w:t xml:space="preserve"> of the country’s coastal mangrove resource ever assembled, and its central finding is both an opportunity and an obligation. The assessment, conducted by Ecological Nest Ltd under the West Africa Coastal Areas Resilience Investment Project (WACA ResIP 2, World Bank Project P175625, approved December 2022), mapped a national coastal mangrove extent of 30,025 hectares using harmonised Sentinel-2 satellite imagery at 10–20 metre resolution, classified through a Random Forest algorithm on Google Earth Engine (GEE) and validated against 319 participatory ground-truth reference points. This figure — 2.81% of the total 1,068,361.48-hectare </w:t>
      </w:r>
      <w:r>
        <w:lastRenderedPageBreak/>
        <w:t xml:space="preserve">coastal landscape across 35 districts and 550 kilometres of coastline — is substantially larger than any previous national estimate, which ranged from 7,240 hectares in 2013 to 18,100 hectares in 1980. The discrepancy is methodological, not ecological: the fringing stands and small fragmented patches that earlier Landsat-based analyses missed at 30-metre resolution are real forests, holding real carbon, and generating real climate obligations. </w:t>
      </w:r>
      <w:r w:rsidR="00141F64">
        <w:t xml:space="preserve">The communities played a key role in </w:t>
      </w:r>
      <w:r w:rsidR="002926A7">
        <w:t>identifying and pointing the GIS Teams to locations the current global li</w:t>
      </w:r>
      <w:r w:rsidR="007A593D">
        <w:t xml:space="preserve">terature does not support. Through this study, </w:t>
      </w:r>
      <w:r>
        <w:t>Ghana now has a number it can defend.</w:t>
      </w:r>
    </w:p>
    <w:p w14:paraId="10550573" w14:textId="77777777" w:rsidR="00EB2F85" w:rsidRDefault="00772CAE">
      <w:pPr>
        <w:pStyle w:val="BodyText"/>
      </w:pPr>
      <w:r>
        <w:t>The strategic significance of that number is sharpened dramatically by its spatial distribution. The Keta Lagoon Complex Ramsar Site, in the Volta Region, holds 20,717.95 hectares — approximately 69% of the national mangrove total. No equivalent landscape exists elsewhere on the Ghanaian coast. The Songor Ramsar Site and UNESCO Biosphere Reserve, in the Ada East District, retains only 465.76 hectares of mangrove, distributed as fragmented patches across a landscape where salt pan expansion has progressively replaced wetland vegetation over decades. The Muni-Pomadze Ramsar Site, in the Central Region, carries mangrove cover so ecologically insignificant that it is characterised not as a conservation site but as a restoration landscape. This distribution means that the fate of Ghana’s blue carbon strategy is, in functional terms, the fate of the Keta Lagoon Complex. Blue carbon ecosystems store up to ten times more carbon per hectare than terrestrial forests, owing to the accumulation of organic matter in permanently anaerobic soils that resist decomposition at rates terrestrial systems cannot approach. Applied to the Keta estate, this relationship concentrates an outsized share of Ghana’s national climate potential in a single landscape whose integrity must be protected as a matter of national strategic priority, not merely local conservation interest.</w:t>
      </w:r>
    </w:p>
    <w:p w14:paraId="10550574" w14:textId="77777777" w:rsidR="00EB2F85" w:rsidRDefault="00772CAE">
      <w:pPr>
        <w:pStyle w:val="BodyText"/>
      </w:pPr>
      <w:r>
        <w:t xml:space="preserve">That landscape is under serious, multi-front pressure. At Keta, the fish-smoking industry — an industry dominated by women in communities including Agbatsivi, Galotse, Bomigo, Salo, and Dzita, and built on the processing and sale of fish harvested from the very lagoon the mangroves sustain — drives intensive demand for </w:t>
      </w:r>
      <w:r>
        <w:rPr>
          <w:i/>
        </w:rPr>
        <w:t>Rhizophora racemosa</w:t>
      </w:r>
      <w:r>
        <w:t xml:space="preserve"> fuelwood, preferred by kilns across the lagoon fringe for its heat output and the distinctive flavour it imparts to smoked fish. This creates what the baseline characterises as a social-ecological trap: the livelihoods that the ecosystem makes possible depend on consuming the ecosystem that supports them, progressively degrading the nursery habitat that sustains fish stocks and the mangrove canopy that supplies the fuel to process them. Approximately 70% of the natural mangrove cover around the Keta Lagoon has already been degraded or fragmented, with the most severe losses near settlements like Bomigo, Galo, and Sota. Superimposed on this livelihood-driven pressure is a structural geophysical risk that no community governance mechanism can reverse: the Akosombo Dam, constructed in 1964 sixty kilometres upstream on the Volta River, traps more than 90% of the river’s natural sediment load, starving the narrow coastal sandspit that separates the Keta Lagoon from the Atlantic Ocean of the material it needs to hold its position. The delta has shifted from a prograding system to an eroding one, exposing the mangrove estate to increasing wave energy and saltwater stress as the barrier thins. The measured consequence is a historical deforestation rate of 2.15% per year at Keta — a trajectory that, if </w:t>
      </w:r>
      <w:r>
        <w:lastRenderedPageBreak/>
        <w:t>uninterrupted, represents the loss of approximately 445 hectares of mangrove annually from Ghana’s most important carbon store.</w:t>
      </w:r>
    </w:p>
    <w:p w14:paraId="10550575" w14:textId="77777777" w:rsidR="00EB2F85" w:rsidRDefault="00772CAE">
      <w:pPr>
        <w:pStyle w:val="BodyText"/>
      </w:pPr>
      <w:r>
        <w:t>At Songor, the degradation profile is categorically different and, in important respects, further advanced. The 465.76 hectares of mangrove that survive at Songor are the remnant of a landscape largely converted to salt pan infrastructure by industrial and artisanal mining operations concentrated around Elavanyo and Obane. Communities at Totope and Azizanya have experienced direct coastal erosion as mangrove buffering has been removed; field teams documented residential displacement at Totope attributed to shoreline retreat that mangrove loss has accelerated. The land tenure disputes between private salt companies, the Ada Traditional Council, and traditional fishing communities create a governance environment so fractured that CREMA — Community Resource Management Area — formation at the focal community of Pute requires conflict mediation as a prerequisite, not a parallel process. At Muni-Pomadze, where charcoal production and agricultural encroachment at communities including Bewadze have reduced mangrove to ecological insignificance, the contribution to Ghana’s carbon programme will come entirely from future restoration at the early action hub of Sankor, a community whose exceptionally high social cohesion and strong women’s groups represent the most promising governance starting conditions of the three sites.</w:t>
      </w:r>
    </w:p>
    <w:p w14:paraId="10550576" w14:textId="77777777" w:rsidR="00EB2F85" w:rsidRDefault="00772CAE">
      <w:pPr>
        <w:pStyle w:val="BodyText"/>
      </w:pPr>
      <w:r>
        <w:t>Ghana’s National Blue Carbon Monitoring, Reporting, and Verification (MRV) Framework was designed with full knowledge of these pressures, not in ignorance of them. The system operates across four institutional tiers — Community (CREMAs and Community Change Agents, or CCAs), District (Metropolitan, Municipal, and District Assemblies and the Wildlife Division of the Forestry Commission), National Technical (the Ministry of Lands and Natural Resources — MLNR — and the Ministry of Environment, Science, Technology and Innovation — MESTI), and Independent Review — and three functional layers: Layer I, Ecological and Carbon Integrity, which tracks mangrove extent, carbon stocks at Permanent Sample Plots (PSPs), and restoration performance; Layer II, Environmental Pressure Surveillance, which detects degradation drivers — fuelwood harvesting pressure, salt pan expansion, charcoal production, land tenure conflict — before they produce irreversible carbon loss; and Layer III, Governance and Safeguard Assurance, which monitors the institutional health of CREMAs, the implementation of Free, Prior, and Informed Consent (FPIC) requirements, the functioning of Grievance Redress Mechanisms (GRMs), and benefit-sharing transparency. These layers are integrated rather than parallel: governance instability as measured in Layer III is treated as a leading indicator of carbon permanence risk; pressure signals in Layer II are cross-referenced against PSP locations to determine whether field re-measurement should be accelerated; and ecological deterioration detected in Layer I is traced back through the pressure and governance layers to identify its institutional cause. The framework was designed for institutional permanence beyond the WACA programme cycle, with MLNR and MESTI as its national custodians and CREMAs as its community-level operational backbone, because Ghana’s obligation to monitor its coastal blue carbon resource does not expire with a project disbursement period.</w:t>
      </w:r>
    </w:p>
    <w:p w14:paraId="10550577" w14:textId="77777777" w:rsidR="00EB2F85" w:rsidRDefault="00772CAE">
      <w:pPr>
        <w:pStyle w:val="BodyText"/>
      </w:pPr>
      <w:r>
        <w:lastRenderedPageBreak/>
        <w:t xml:space="preserve">The 2025 baseline assessment phase has established Ghana’s Year 0 MRV foundation with a depth that places the country at the frontier of national blue carbon programme development on the African continent. The geospatial baseline is complete, covering 30,025 hectares with the methodological rigour that the Verified Carbon Standard (Verra/VCS), Gold Standard, and Plan Vivo standards require as a precondition for project registration. Carbon inventories have been conducted and the Salo Permanent Sample Plot 1 in the Keta Lagoon Complex has been established, providing the biomass and soil organic carbon anchor against which all future stock changes will be measured on a three-to-five year re-measurement cycle. The 57-station wetland monitoring network at Keta and the 23-station network at Ada are operational, providing quarterly water quality and soil chemistry data across a parameter suite — pH, salinity, dissolved oxygen, conductivity, humus content, and six additional indicators — that gives Ghana’s principal blue carbon site a real-time ecological surveillance capacity unique in the national programme. The digital platform, developed by GAB Climate Smart Investment Ltd on a Next.js/Supabase architecture at </w:t>
      </w:r>
      <w:r>
        <w:rPr>
          <w:rStyle w:val="VerbatimChar"/>
        </w:rPr>
        <w:t>blue-carbon-mrv-green.vercel.app</w:t>
      </w:r>
      <w:r>
        <w:t>, provides the connective infrastructure through which monitoring data from all four institutional tiers flows to national reporting. The three early action hubs — Dzita in the Keta Lagoon Complex, Pute in the Songor Ramsar Site, and Sankor in the Muni-Pomadze Ramsar Site — have been selected, their social readiness validated, and CCAs trained and field-deployed during the December 2025 baseline assessment. CREMA formation is in active progress across all three sites, most advanced at Sankor where community cohesion is highest, in the process of boundary demarcation at the Dzita–Agbatsivi cluster at Keta, and dependent on prior conflict mediation at Pute.</w:t>
      </w:r>
    </w:p>
    <w:p w14:paraId="10550578" w14:textId="77777777" w:rsidR="00EB2F85" w:rsidRDefault="00772CAE">
      <w:pPr>
        <w:pStyle w:val="BodyText"/>
      </w:pPr>
      <w:r>
        <w:t>What remains is the transition from a completed baseline to a routinely operating monitoring system. The most consequential enabling action is the finalisation and Parliamentary passage of the CREMA Legislative Instrument, whose absence creates legal uncertainty that blocks CREMA gazettement and bylaw enforcement at every site. The priorities for the next twelve months are clear: completing formal CREMA constitution and registration at all three sites, with minimum 40% female executive leadership as the governance standard that the Anloga district’s 46.2% female-headed household rate makes empirically necessary rather than aspirational; operationalising the quarterly CCA monitoring cycle at Dzita, Pute, and Sankor as a standing community practice rather than an assessment-period activity; completing the digital platform build to support field data submission, district validation, and national archive access; completing EOSDA satellite monitoring configuration for continuous mangrove change detection; and producing Ghana’s first Annual National Blue Carbon MRV Report. When these steps are taken, Ghana will possess one of the most operationally mature national blue carbon MRV systems on the African continent — one grounded in a methodologically defensible baseline, anchored in national institutional authority, and capable of generating the credible, verifiable carbon accounting that both compliance reporting under the Nationally Determined Contribution (NDC) and voluntary carbon market participation require.</w:t>
      </w:r>
    </w:p>
    <w:p w14:paraId="10550579" w14:textId="77777777" w:rsidR="00EB2F85" w:rsidRDefault="00000000">
      <w:r>
        <w:pict w14:anchorId="1055082B">
          <v:rect id="_x0000_i1026" style="width:0;height:1.5pt" o:hralign="center" o:hrstd="t" o:hr="t"/>
        </w:pict>
      </w:r>
    </w:p>
    <w:p w14:paraId="1055057A" w14:textId="77777777" w:rsidR="00EB2F85" w:rsidRDefault="00772CAE">
      <w:pPr>
        <w:pStyle w:val="FirstParagraph"/>
      </w:pPr>
      <w:r>
        <w:rPr>
          <w:i/>
        </w:rPr>
        <w:lastRenderedPageBreak/>
        <w:t>Executive Summary — MRV Standalone Report: Assessment of Blue Carbon Ecosystem Potentials of Ghana. Delivered to MESTI and MLNR under World Bank WACA ResIP 2 (P175625). Authored by Ecological Nest Ltd, March 2026.</w:t>
      </w:r>
    </w:p>
    <w:p w14:paraId="1055057B" w14:textId="77777777" w:rsidR="00EB2F85" w:rsidRDefault="00000000">
      <w:r>
        <w:pict w14:anchorId="1055082C">
          <v:rect id="_x0000_i1027" style="width:0;height:1.5pt" o:hralign="center" o:hrstd="t" o:hr="t"/>
        </w:pict>
      </w:r>
    </w:p>
    <w:p w14:paraId="1055057C" w14:textId="77777777" w:rsidR="00EB2F85" w:rsidRDefault="00772CAE">
      <w:pPr>
        <w:pStyle w:val="Heading1"/>
      </w:pPr>
      <w:bookmarkStart w:id="2" w:name="chapter-1-introduction"/>
      <w:bookmarkStart w:id="3" w:name="_Toc225323370"/>
      <w:r>
        <w:t>Chapter 1: Introduction</w:t>
      </w:r>
      <w:bookmarkEnd w:id="2"/>
      <w:bookmarkEnd w:id="3"/>
    </w:p>
    <w:p w14:paraId="1055057D" w14:textId="77777777" w:rsidR="00EB2F85" w:rsidRDefault="00000000">
      <w:r>
        <w:pict w14:anchorId="1055082D">
          <v:rect id="_x0000_i1028" style="width:0;height:1.5pt" o:hralign="center" o:hrstd="t" o:hr="t"/>
        </w:pict>
      </w:r>
    </w:p>
    <w:p w14:paraId="1055057E" w14:textId="77777777" w:rsidR="00EB2F85" w:rsidRDefault="00772CAE">
      <w:pPr>
        <w:pStyle w:val="Heading2"/>
      </w:pPr>
      <w:bookmarkStart w:id="4" w:name="the-waca-blue-carbon-assignment"/>
      <w:bookmarkStart w:id="5" w:name="_Toc225323371"/>
      <w:r>
        <w:t>1.1 The WACA Blue Carbon Assignment</w:t>
      </w:r>
      <w:bookmarkEnd w:id="4"/>
      <w:bookmarkEnd w:id="5"/>
    </w:p>
    <w:p w14:paraId="1055057F" w14:textId="77777777" w:rsidR="00EB2F85" w:rsidRDefault="00772CAE">
      <w:pPr>
        <w:pStyle w:val="FirstParagraph"/>
      </w:pPr>
      <w:r>
        <w:t>Ghana’s engagement with blue carbon science and management is rooted in a formal international commitment. The West Africa Coastal Areas Resilience Investment Project (WACA ResIP 2), financed by the World Bank under project number P175625 and approved in December 2022, was designed in direct response to the accelerating loss of coastal ecological and economic assets across the sub-region. Coastal erosion, recurrent flooding, marine pollution, and the progressive degradation of ecosystems that sustain millions of livelihoods had reached a scale that no single country could address in isolation. WACA ResIP 2 was therefore constructed as a regional platform, with Ghana, the Gambia, and Guinea-Bissau as the three beneficiary countries, each advancing site-specific investments within a shared framework of coastal resilience.</w:t>
      </w:r>
    </w:p>
    <w:p w14:paraId="10550580" w14:textId="77777777" w:rsidR="00EB2F85" w:rsidRDefault="00772CAE">
      <w:pPr>
        <w:pStyle w:val="BodyText"/>
      </w:pPr>
      <w:r>
        <w:t>In Ghana, WACA ResIP 2 is led by the Ministry of Environment, Science, Technology and Innovation (MESTI), which holds the primary mandate for climate and environment policy at the national level. Implementation is supported by the Ministry of Lands and Natural Resources (MLNR) through its Focal Point Unit, which provides technical oversight of the assessment workstream; the Wildlife Division of the Forestry Commission, which carries statutory responsibility for wetland and wildlife management; the Ministry of Works and Housing together with the Ghana Hydrological Authority (GHA), responsible for coastal infrastructure; and the Environmental Protection Agency (EPA), which anchors the regulatory and compliance dimensions of project activities. This multi-ministry structure was not incidental to the design — it reflects the cross-sectoral character of blue carbon governance, in which land tenure, ecosystem management, water resources, and environmental regulation must operate in concert if monitoring and restoration outcomes are to be sustained beyond the project cycle.</w:t>
      </w:r>
    </w:p>
    <w:p w14:paraId="10550581" w14:textId="77777777" w:rsidR="00EB2F85" w:rsidRDefault="00772CAE">
      <w:pPr>
        <w:pStyle w:val="BodyText"/>
      </w:pPr>
      <w:r>
        <w:t xml:space="preserve">The technical assessment work at the heart of this report was awarded to Ecological Nest Ltd under the Consulting Service for the Assessment of Blue Carbon Ecosystem Potentials of Ghana (Mangrove and Tidal Salt Marsh). The consultancy was charged with a specific and consequential objective: to assess and prioritise Ghana’s blue carbon ecosystem potential and to produce the baseline data necessary to develop blue carbon projects that meet both compliance and voluntary carbon market standards. That objective is not simply a technical exercise. It places Ghana at the frontier of a global movement in which coastal ecosystem management generates measurable, verifiable carbon outcomes that can attract climate finance, discharge treaty obligations, and sustain the communities that depend on mangroves and salt marshes for their </w:t>
      </w:r>
      <w:r>
        <w:lastRenderedPageBreak/>
        <w:t>livelihoods. This report is the primary technical instrument through which those outcomes will be tracked, reported, and verified.</w:t>
      </w:r>
    </w:p>
    <w:p w14:paraId="10550582" w14:textId="77777777" w:rsidR="00EB2F85" w:rsidRDefault="00000000">
      <w:r>
        <w:pict w14:anchorId="1055082E">
          <v:rect id="_x0000_i1029" style="width:0;height:1.5pt" o:hralign="center" o:hrstd="t" o:hr="t"/>
        </w:pict>
      </w:r>
    </w:p>
    <w:p w14:paraId="10550583" w14:textId="77777777" w:rsidR="00EB2F85" w:rsidRDefault="00772CAE">
      <w:pPr>
        <w:pStyle w:val="Heading2"/>
      </w:pPr>
      <w:bookmarkStart w:id="6" w:name="ghanas-policy-context"/>
      <w:bookmarkStart w:id="7" w:name="_Toc225323372"/>
      <w:r>
        <w:t>1.2 Ghana’s Policy Context</w:t>
      </w:r>
      <w:bookmarkEnd w:id="6"/>
      <w:bookmarkEnd w:id="7"/>
    </w:p>
    <w:p w14:paraId="10550584" w14:textId="77777777" w:rsidR="00EB2F85" w:rsidRDefault="00772CAE">
      <w:pPr>
        <w:pStyle w:val="FirstParagraph"/>
      </w:pPr>
      <w:r>
        <w:t>Ghana’s commitment to blue carbon management is not aspirational — it is formally obligated under three distinct international frameworks, each of which creates measurable reporting requirements that this Monitoring, Reporting, and Verification (MRV) system is designed to fulfil.</w:t>
      </w:r>
    </w:p>
    <w:p w14:paraId="10550585" w14:textId="77777777" w:rsidR="00EB2F85" w:rsidRDefault="00772CAE">
      <w:pPr>
        <w:pStyle w:val="BodyText"/>
      </w:pPr>
      <w:r>
        <w:t>As a signatory to the Paris Agreement, Ghana submitted a Nationally Determined Contribution (NDC) that identifies the land sector as the country’s largest source of potential CO₂ removals. While energy-sector emissions dominate Ghana’s greenhouse gas profile, it is the land sector — forests, wetlands, and coastal ecosystems — that holds the greatest national capacity to draw carbon out of the atmosphere and retain it at scale. Blue carbon ecosystems occupy a disproportionately large role within this potential: mangroves and tidal salt marshes store up to ten times more carbon per hectare than terrestrial forests, owing to the exceptional accumulation rates of below-ground organic matter in permanently waterlogged soils and the sustained absence of decomposition that oxygen deprivation creates. The translation of this ecological fact into NDC-aligned policy reporting is a direct purpose of the MRV framework this report describes.</w:t>
      </w:r>
    </w:p>
    <w:p w14:paraId="10550586" w14:textId="77777777" w:rsidR="00EB2F85" w:rsidRDefault="00772CAE">
      <w:pPr>
        <w:pStyle w:val="BodyText"/>
      </w:pPr>
      <w:r>
        <w:t>Ghana’s obligations under the Convention on Biological Diversity (CBD) and the Kunming-Montreal Global Biodiversity Framework (GBF), adopted in December 2022, add a second layer of formal accountability. The GBF’s 30×30 target — requiring thirty percent of the world’s land and ocean to be effectively protected by 2030 — places Ghana’s three Ramsar-listed coastal wetland complexes at the centre of its biodiversity reporting commitments. The Keta Lagoon Complex Ramsar Site, the Songor Ramsar Site and UNESCO Biosphere Reserve, and the Muni-Pomadze Ramsar Site are not peripheral policy objects; they are designated sites at which the Ghanaian government has made formal international commitments to sustain ecological integrity. Any carbon project or monitoring system operating within or adjacent to these landscapes must demonstrate, not merely assert, compliance with Ramsar Convention obligations.</w:t>
      </w:r>
    </w:p>
    <w:p w14:paraId="10550587" w14:textId="77777777" w:rsidR="00EB2F85" w:rsidRDefault="00772CAE">
      <w:pPr>
        <w:pStyle w:val="BodyText"/>
      </w:pPr>
      <w:r>
        <w:t>The third frame of obligation is the Ramsar Convention itself, which requires contracting parties to maintain the ecological character of listed wetlands and to report on threats and changes. All three of Ghana’s coastal Ramsar sites fall within the assessment landscape covered by this consultancy. That these sites are simultaneously subject to intense and growing anthropogenic pressure — from fuelwood harvesting at Keta, salt pan expansion at Songor, and agricultural encroachment at Muni-Pomadze — makes the MRV system not an optional addition to conservation planning, but the primary instrument through which Ghana demonstrates that it is meeting its Ramsar commitments with evidence rather than assertion. The policy imperative, taken together across these three frameworks, creates an obligation structure that this MRV system was specifically built to serve.</w:t>
      </w:r>
    </w:p>
    <w:p w14:paraId="10550588" w14:textId="77777777" w:rsidR="00EB2F85" w:rsidRDefault="00000000">
      <w:r>
        <w:lastRenderedPageBreak/>
        <w:pict w14:anchorId="1055082F">
          <v:rect id="_x0000_i1030" style="width:0;height:1.5pt" o:hralign="center" o:hrstd="t" o:hr="t"/>
        </w:pict>
      </w:r>
    </w:p>
    <w:p w14:paraId="10550589" w14:textId="77777777" w:rsidR="00EB2F85" w:rsidRDefault="00772CAE">
      <w:pPr>
        <w:pStyle w:val="Heading2"/>
      </w:pPr>
      <w:bookmarkStart w:id="8" w:name="the-seven-phase-work-programme"/>
      <w:bookmarkStart w:id="9" w:name="_Toc225323373"/>
      <w:r>
        <w:t>1.3 The Seven-Phase Work Programme</w:t>
      </w:r>
      <w:bookmarkEnd w:id="8"/>
      <w:bookmarkEnd w:id="9"/>
    </w:p>
    <w:p w14:paraId="1055058A" w14:textId="77777777" w:rsidR="00EB2F85" w:rsidRDefault="00772CAE">
      <w:pPr>
        <w:pStyle w:val="FirstParagraph"/>
      </w:pPr>
      <w:r>
        <w:t>The consultancy was structured around seven sequential phases, each producing a discrete output that built the analytical foundation for the next. This structure was not bureaucratic formality; it reflects the genuine logical dependencies of rigorous blue carbon assessment, in which field measurement cannot precede ecological characterisation, and monitoring protocol design cannot precede the inventory whose outputs it will track.</w:t>
      </w:r>
    </w:p>
    <w:p w14:paraId="1055058B" w14:textId="77777777" w:rsidR="00EB2F85" w:rsidRDefault="00772CAE">
      <w:pPr>
        <w:pStyle w:val="BodyText"/>
      </w:pPr>
      <w:r>
        <w:t>Phase 1, Project Inception, established the governance and operational foundations of the assignment. Through the inception meeting convened jointly by the MESTI Project Implementation Unit and the MLNR Focal Point Unit, the consultancy confirmed methodology, agreed timelines, and documented decisions that would govern the entire subsequent programme. The inception report produced in this phase set the framework within which all later outputs would be validated.</w:t>
      </w:r>
    </w:p>
    <w:p w14:paraId="1055058C" w14:textId="77777777" w:rsidR="00EB2F85" w:rsidRDefault="00772CAE">
      <w:pPr>
        <w:pStyle w:val="BodyText"/>
      </w:pPr>
      <w:r>
        <w:t>Phase 2, the Literature Review, provided the secondary baseline on which all field assessment would be calibrated. The review documented the history of blue carbon ecosystem degradation in Ghana — including rates of mangrove loss, drivers of ecosystem change, and the carbon science underpinning mangrove and salt marsh valuation — giving the assessment team the contextual foundation necessary to design field protocols appropriate to Ghana’s specific coastal conditions.</w:t>
      </w:r>
    </w:p>
    <w:p w14:paraId="1055058D" w14:textId="77777777" w:rsidR="00EB2F85" w:rsidRDefault="00772CAE">
      <w:pPr>
        <w:pStyle w:val="BodyText"/>
      </w:pPr>
      <w:r>
        <w:t>Phase 3, Generation of a National Blue Carbon Ecosystem Cover Map, moved from secondary evidence to primary spatial data. Using harmonised Sentinel-2 satellite imagery at 10–20 metre resolution, processed through a Random Forest classification algorithm on Google Earth Engine (GEE) and validated with 319 participatory ground-truth reference points, the consultancy produced the most rigorous mangrove extent baseline Ghana has yet assembled, covering the national coastline and quantifying current ecosystem extent at each priority landscape.</w:t>
      </w:r>
    </w:p>
    <w:p w14:paraId="1055058E" w14:textId="77777777" w:rsidR="00EB2F85" w:rsidRDefault="00772CAE">
      <w:pPr>
        <w:pStyle w:val="BodyText"/>
      </w:pPr>
      <w:r>
        <w:t>Phase 4, the Blue Carbon Inventory, translated the spatial mapping into carbon accounting. Permanent Sample Plots (PSPs) established at priority sites enabled the measurement of above-ground biomass (AGB), below-ground biomass (BGB), deadwood, and soil organic carbon (SOC) to one hundred centimetres depth, following the methodology of the Intergovernmental Panel on Climate Change (IPCC) Wetlands Supplement. This inventory provides the baseline carbon stocks against which all future change will be measured.</w:t>
      </w:r>
    </w:p>
    <w:p w14:paraId="1055058F" w14:textId="77777777" w:rsidR="00EB2F85" w:rsidRDefault="00772CAE">
      <w:pPr>
        <w:pStyle w:val="BodyText"/>
      </w:pPr>
      <w:r>
        <w:t>Phase 5, Development of a Monitoring Protocol, built directly on the inventory results to specify what would be measured, how frequently, by whom, and using what equipment at each ecosystem type. The protocol bridges the technical measurement framework of the inventory with the institutional architecture of the MRV system, specifying the roles of community monitors, district Wildlife Division officers, and national technical teams in sustaining the data collection that carbon market and policy reporting require.</w:t>
      </w:r>
    </w:p>
    <w:p w14:paraId="10550590" w14:textId="77777777" w:rsidR="00EB2F85" w:rsidRDefault="00772CAE">
      <w:pPr>
        <w:pStyle w:val="BodyText"/>
      </w:pPr>
      <w:r>
        <w:lastRenderedPageBreak/>
        <w:t>Phase 6, the Strategy for Mangrove and Salt Marsh Restoration, identified priority areas for ecological recovery, assessed restoration feasibility and methods, and recommended the institutional arrangements necessary to govern restoration programmes at scale. Grounded in the drivers of degradation documented in earlier phases, the strategy connects ecological diagnosis to practical recovery action.</w:t>
      </w:r>
    </w:p>
    <w:p w14:paraId="10550591" w14:textId="77777777" w:rsidR="00EB2F85" w:rsidRDefault="00772CAE">
      <w:pPr>
        <w:pStyle w:val="BodyText"/>
      </w:pPr>
      <w:r>
        <w:t>Phase 7, Assignment Completion and Final Report, consolidates findings across all phases into the integrated deliverable package required by MESTI and MLNR. The Final Report establishes the spatial prioritisation of blue carbon ecosystems for protection, restoration, and monitoring; provides the policy and management advice required under the Terms of Reference; and creates the evidence base on which follow-on carbon project development and long-term monitoring can be built.</w:t>
      </w:r>
    </w:p>
    <w:p w14:paraId="10550592" w14:textId="77777777" w:rsidR="00EB2F85" w:rsidRDefault="00000000">
      <w:r>
        <w:pict w14:anchorId="10550830">
          <v:rect id="_x0000_i1031" style="width:0;height:1.5pt" o:hralign="center" o:hrstd="t" o:hr="t"/>
        </w:pict>
      </w:r>
    </w:p>
    <w:p w14:paraId="10550593" w14:textId="77777777" w:rsidR="00EB2F85" w:rsidRDefault="00772CAE">
      <w:pPr>
        <w:pStyle w:val="Heading2"/>
      </w:pPr>
      <w:bookmarkStart w:id="10" w:name="purpose-of-this-standalone-mrv-report"/>
      <w:bookmarkStart w:id="11" w:name="_Toc225323374"/>
      <w:r>
        <w:t>1.4 Purpose of This Standalone MRV Report</w:t>
      </w:r>
      <w:bookmarkEnd w:id="10"/>
      <w:bookmarkEnd w:id="11"/>
    </w:p>
    <w:p w14:paraId="10550594" w14:textId="77777777" w:rsidR="00EB2F85" w:rsidRDefault="00772CAE">
      <w:pPr>
        <w:pStyle w:val="FirstParagraph"/>
      </w:pPr>
      <w:r>
        <w:t>This Standalone MRV Report serves three distinct and non-overlapping purposes, each of which shapes its design and content.</w:t>
      </w:r>
    </w:p>
    <w:p w14:paraId="10550595" w14:textId="77777777" w:rsidR="00EB2F85" w:rsidRDefault="00772CAE">
      <w:pPr>
        <w:pStyle w:val="BodyText"/>
      </w:pPr>
      <w:r>
        <w:t>The first is government delivery. MESTI and MLNR require a standalone operational reference that Ghana’s environmental institutions can use to implement, manage, and oversee the national MRV system independently of the consultancy that designed it. The report is written accordingly — in full, authored prose, with complete institutional guidance, indicator specifications, and procedural detail — so that it can function as a governing document for the national MRV system without reference to any external technical file. It is addressed to the government institutions that will own and operate the system, and it is written to be used, not merely consulted.</w:t>
      </w:r>
    </w:p>
    <w:p w14:paraId="10550596" w14:textId="77777777" w:rsidR="00EB2F85" w:rsidRDefault="00772CAE">
      <w:pPr>
        <w:pStyle w:val="BodyText"/>
      </w:pPr>
      <w:r>
        <w:t>The second purpose is to serve as source material for the Final Report. The Final Report synthesises findings across all six baseline workstreams — geospatial mapping, carbon inventory, ecosystem health, environmental pressures, governance readiness, and socio-economic profiling — into a single integrated deliverable. The MRV Standalone Report provides the monitoring and verification architecture chapter of that synthesis: a technically complete account of how Ghana will track carbon outcomes, detect ecosystem change, maintain governance integrity, and report to national and international audiences. Where the Final Report summarises the MRV architecture, this report provides the full technical basis.</w:t>
      </w:r>
    </w:p>
    <w:p w14:paraId="10550597" w14:textId="77777777" w:rsidR="00EB2F85" w:rsidRDefault="00772CAE">
      <w:pPr>
        <w:pStyle w:val="BodyText"/>
      </w:pPr>
      <w:r>
        <w:t>The third purpose is to function as a technical reference for carbon market engagement and third-party verification. Whether Ghana’s blue carbon assets are advanced through the voluntary carbon market under standards such as Verra’s Verified Carbon Standard (VCS) or Plan Vivo, or through compliance mechanisms aligned with Article 6 of the Paris Agreement, independent verifiers will need to assess whether the monitoring architecture is methodologically sound, institutionally grounded, and operationally realistic. This report is designed to satisfy that scrutiny. It provides the methodological justifications, institutional arrangements, data flow specifications, and quality assurance protocols that verification bodies require, in a format that carbon market reviewers can assess directly.</w:t>
      </w:r>
    </w:p>
    <w:p w14:paraId="10550598" w14:textId="77777777" w:rsidR="00EB2F85" w:rsidRDefault="00772CAE">
      <w:pPr>
        <w:pStyle w:val="BodyText"/>
      </w:pPr>
      <w:r>
        <w:lastRenderedPageBreak/>
        <w:t>These three purposes create a document that is simultaneously operational guidance, synthesis input, and technical evidence. The MRV Standalone Report is not a planning framework or a concept note. It describes a system that has been designed, partially deployed, and grounded in the specific ecological and institutional realities of Ghana’s coastal landscape.</w:t>
      </w:r>
    </w:p>
    <w:p w14:paraId="10550599" w14:textId="77777777" w:rsidR="00EB2F85" w:rsidRDefault="00000000">
      <w:r>
        <w:pict w14:anchorId="10550831">
          <v:rect id="_x0000_i1032" style="width:0;height:1.5pt" o:hralign="center" o:hrstd="t" o:hr="t"/>
        </w:pict>
      </w:r>
    </w:p>
    <w:p w14:paraId="1055059A" w14:textId="77777777" w:rsidR="00EB2F85" w:rsidRDefault="00772CAE">
      <w:pPr>
        <w:pStyle w:val="Heading2"/>
      </w:pPr>
      <w:bookmarkStart w:id="12" w:name="geographic-scope"/>
      <w:bookmarkStart w:id="13" w:name="_Toc225323375"/>
      <w:r>
        <w:t>1.5 Geographic Scope</w:t>
      </w:r>
      <w:bookmarkEnd w:id="12"/>
      <w:bookmarkEnd w:id="13"/>
    </w:p>
    <w:p w14:paraId="1055059B" w14:textId="77777777" w:rsidR="00EB2F85" w:rsidRDefault="00772CAE">
      <w:pPr>
        <w:pStyle w:val="FirstParagraph"/>
      </w:pPr>
      <w:r>
        <w:t>The assessment covers a national coastal landscape of 1,068,361.48 hectares, encompassing 35 coastal districts along Ghana’s 550-kilometre coastline from the Ghanaian-Ivorian border in the west to the Ghanaian-Togolese border in the east. This is not a sample or a selected sub-region; it is the full extent of Ghana’s coastal zone, assessed at the national level for mangrove and tidal salt marsh distribution, and examined in site-specific depth at the three internationally designated Ramsar wetland complexes that contain the country’s ecologically significant blue carbon resources.</w:t>
      </w:r>
    </w:p>
    <w:p w14:paraId="1055059C" w14:textId="77777777" w:rsidR="00EB2F85" w:rsidRDefault="00772CAE">
      <w:pPr>
        <w:pStyle w:val="BodyText"/>
      </w:pPr>
      <w:r>
        <w:t>The three Ramsar sites anchor the assessment landscape. The Keta Lagoon Complex Ramsar Site, in the Volta Region, holds 20,717.95 hectares of mangroves — approximately 69 percent of the national total — and represents Ghana’s principal blue carbon asset. Its ecological integrity is threatened by a combination of fuelwood harvesting driven by fish-smoking demand in communities including Dzita, Salo, Agbatsivi, Bomigo, Galotse, and Sota; by the progressive sediment starvation of the Volta delta caused by the trapping of more than 90 percent of the Volta River’s sediment load upstream at the Akosombo Dam following its construction in 1964; and by a historical deforestation rate of 2.15 percent per year that has compressed the mangrove estate dramatically over recent decades. The Keta Lagoon Complex is the primary pilot implementation site for the national MRV system, and the full depth of the monitoring infrastructure described in this report is deployed there first.</w:t>
      </w:r>
    </w:p>
    <w:p w14:paraId="1055059D" w14:textId="77777777" w:rsidR="00EB2F85" w:rsidRDefault="00772CAE">
      <w:pPr>
        <w:pStyle w:val="BodyText"/>
      </w:pPr>
      <w:r>
        <w:t>The Songor Ramsar Site and UNESCO Biosphere Reserve, located in the Ada East District, holds only 465.76 hectares of mangroves — approximately 2 percent of the national total — distributed as fragmented patches across a landscape dominated by industrial and artisanal salt production centred on Elavanyo, Obane, Totope, and Azizanya. Songor is a landscape of active conflict between competing land uses, where salt pan expansion has progressively displaced mangrove and salt marsh habitat and where Community Resource Management Area (CREMA) formation remains contested. It is a priority for restoration planning and governance development.</w:t>
      </w:r>
    </w:p>
    <w:p w14:paraId="1055059E" w14:textId="77777777" w:rsidR="00EB2F85" w:rsidRDefault="00772CAE">
      <w:pPr>
        <w:pStyle w:val="BodyText"/>
      </w:pPr>
      <w:r>
        <w:t>The Muni-Pomadze Ramsar Site, in the Central Region, carries ecologically insignificant mangrove cover and is characterised not as a carbon stock conservation site but as a restoration and ecosystem re-establishment landscape. The community of Sankor, which has demonstrated strong interest in CREMA formation and exhibits a high degree of social cohesion around natural resource management, represents the primary community-level entry point for restoration programming at Muni-Pomadze.</w:t>
      </w:r>
    </w:p>
    <w:p w14:paraId="1055059F" w14:textId="77777777" w:rsidR="00EB2F85" w:rsidRDefault="00772CAE">
      <w:pPr>
        <w:pStyle w:val="BodyText"/>
      </w:pPr>
      <w:r>
        <w:t xml:space="preserve">The geographic scope of this MRV report operates at two levels simultaneously. At the national framework level, it provides the monitoring architecture, institutional </w:t>
      </w:r>
      <w:r>
        <w:lastRenderedPageBreak/>
        <w:t>arrangements, reporting cycle, and carbon accounting protocol that apply to all blue carbon ecosystems along Ghana’s coastline. At the pilot implementation level, it describes in operational detail the specific monitoring infrastructure, station network, and field protocols deployed at Keta — the site where the deepest layered baseline, the most complete PSP network, and the most advanced governance structures make full MRV system deployment possible within the current project cycle.</w:t>
      </w:r>
    </w:p>
    <w:p w14:paraId="105505A0" w14:textId="77777777" w:rsidR="00EB2F85" w:rsidRDefault="00000000">
      <w:r>
        <w:pict w14:anchorId="10550832">
          <v:rect id="_x0000_i1033" style="width:0;height:1.5pt" o:hralign="center" o:hrstd="t" o:hr="t"/>
        </w:pict>
      </w:r>
    </w:p>
    <w:p w14:paraId="105505A1" w14:textId="77777777" w:rsidR="00EB2F85" w:rsidRDefault="00772CAE">
      <w:pPr>
        <w:pStyle w:val="Heading2"/>
      </w:pPr>
      <w:bookmarkStart w:id="14" w:name="X080728a9f7c02e10eb2136f4ab687ec7eebfa90"/>
      <w:bookmarkStart w:id="15" w:name="_Toc225323376"/>
      <w:r>
        <w:t>1.6 Relationship to the Wider Baseline Package</w:t>
      </w:r>
      <w:bookmarkEnd w:id="14"/>
      <w:bookmarkEnd w:id="15"/>
    </w:p>
    <w:p w14:paraId="105505A2" w14:textId="77777777" w:rsidR="00EB2F85" w:rsidRDefault="00772CAE">
      <w:pPr>
        <w:pStyle w:val="FirstParagraph"/>
      </w:pPr>
      <w:r>
        <w:t>The MRV Framework described in this report was designed to draw on, and give operational coherence to, six distinct baseline workstreams that were developed in parallel across the consultancy programme. Each workstream generated a standalone technical output; the MRV Framework is the instrument through which those outputs are operationalised as a functioning monitoring system.</w:t>
      </w:r>
    </w:p>
    <w:p w14:paraId="105505A3" w14:textId="77777777" w:rsidR="00EB2F85" w:rsidRDefault="00772CAE">
      <w:pPr>
        <w:pStyle w:val="BodyText"/>
      </w:pPr>
      <w:r>
        <w:t>The Geospatial Mangrove Extent Mapping workstream produced the spatial baseline — a land cover map of Ghana’s mangrove and tidal salt marsh ecosystems, validated with 319 ground-truth reference points, that establishes the area boundaries against which all future change in ecosystem extent will be detected. The MRV Framework uses this spatial baseline as the reference layer for annual mangrove extent monitoring via Sentinel-2 satellite imagery processed on GEE, triggering field verification when the automated change detection identifies area loss or degradation above defined thresholds.</w:t>
      </w:r>
    </w:p>
    <w:p w14:paraId="105505A4" w14:textId="77777777" w:rsidR="00EB2F85" w:rsidRDefault="00772CAE">
      <w:pPr>
        <w:pStyle w:val="BodyText"/>
      </w:pPr>
      <w:r>
        <w:t>The Carbon Inventory workstream established the carbon stock baseline — the measured quantities of above-ground biomass, below-ground biomass, deadwood, and soil organic carbon at each priority site — from which emission reductions and carbon sequestration increments will be calculated. The MRV Framework specifies the PSP re-measurement cycle, the carbon accounting methodology, and the data quality protocols that maintain the scientific credibility of stock change estimates over time.</w:t>
      </w:r>
    </w:p>
    <w:p w14:paraId="105505A5" w14:textId="77777777" w:rsidR="00EB2F85" w:rsidRDefault="00772CAE">
      <w:pPr>
        <w:pStyle w:val="BodyText"/>
      </w:pPr>
      <w:r>
        <w:t>The Ecosystem Health Assessment workstream provided site-level diagnostic data on vegetation condition, species composition, water quality, and structural integrity at Keta and Ada. These findings inform the ecological indicators tracked within Layer I of the MRV system — the Ecological and Carbon Integrity Layer — and provide the ecological context that distinguishes between carbon changes attributable to project activities and those driven by background environmental change.</w:t>
      </w:r>
    </w:p>
    <w:p w14:paraId="105505A6" w14:textId="77777777" w:rsidR="00EB2F85" w:rsidRDefault="00772CAE">
      <w:pPr>
        <w:pStyle w:val="BodyText"/>
      </w:pPr>
      <w:r>
        <w:t>The Environmental Pressure and Community Dependency Assessment documented the human drivers of ecosystem degradation — fuelwood harvesting, salt pan expansion, coastal erosion, agricultural encroachment, pollution — and quantified the degree to which communities at each site depend on mangrove and salt marsh resources for their economic survival. This workstream feeds directly into Layer II of the MRV system, the Environmental Pressure Surveillance Layer, which monitors pressure indicators at each site and triggers escalation responses when pressure signals exceed defined thresholds.</w:t>
      </w:r>
    </w:p>
    <w:p w14:paraId="105505A7" w14:textId="77777777" w:rsidR="00EB2F85" w:rsidRDefault="00772CAE">
      <w:pPr>
        <w:pStyle w:val="BodyText"/>
      </w:pPr>
      <w:r>
        <w:lastRenderedPageBreak/>
        <w:t>The Governance Readiness Evaluation assessed the institutional capacity of existing community governance structures — CREMAs, traditional authority systems, and district management institutions — to participate meaningfully in monitoring, benefit-sharing, and grievance management. Its findings determine the calibration of Layer III, the Governance and Safeguard Assurance Layer, which tracks the health of governance institutions over time and flags risks of elite capture, exclusion, and benefit-sharing failure before they undermine the integrity of the carbon programme.</w:t>
      </w:r>
    </w:p>
    <w:p w14:paraId="105505A8" w14:textId="77777777" w:rsidR="00EB2F85" w:rsidRDefault="00772CAE">
      <w:pPr>
        <w:pStyle w:val="BodyText"/>
      </w:pPr>
      <w:r>
        <w:t>The Socio-Economic Profiling workstream characterised the livelihood systems, demographic profiles, and economic dependencies of the 37 communities assessed across the three Ramsar landscapes, establishing the social baseline against which changes in community welfare — for better or worse — attributable to the blue carbon programme will be tracked. More than 70 percent of households in the assessed communities depend on mangrove-linked activities for their primary livelihoods, a dependency that makes the social integrity of the MRV system not a secondary governance concern but a condition of the programme’s operational sustainability.</w:t>
      </w:r>
    </w:p>
    <w:p w14:paraId="105505A9" w14:textId="77777777" w:rsidR="00EB2F85" w:rsidRDefault="00772CAE">
      <w:pPr>
        <w:pStyle w:val="BodyText"/>
      </w:pPr>
      <w:r>
        <w:t>The MRV Framework does not summarise these workstreams; it consumes them. Each layer of the monitoring architecture is populated with indicators, thresholds, and escalation protocols that are grounded specifically in what those six baselines revealed about Ghana’s coastal landscape.</w:t>
      </w:r>
    </w:p>
    <w:p w14:paraId="105505AA" w14:textId="77777777" w:rsidR="00EB2F85" w:rsidRDefault="00000000">
      <w:r>
        <w:pict w14:anchorId="10550833">
          <v:rect id="_x0000_i1034" style="width:0;height:1.5pt" o:hralign="center" o:hrstd="t" o:hr="t"/>
        </w:pict>
      </w:r>
    </w:p>
    <w:p w14:paraId="105505AB" w14:textId="77777777" w:rsidR="00EB2F85" w:rsidRDefault="00772CAE">
      <w:pPr>
        <w:pStyle w:val="Heading2"/>
      </w:pPr>
      <w:bookmarkStart w:id="16" w:name="structure-of-this-report"/>
      <w:bookmarkStart w:id="17" w:name="_Toc225323377"/>
      <w:r>
        <w:t>1.7 Structure of This Report</w:t>
      </w:r>
      <w:bookmarkEnd w:id="16"/>
      <w:bookmarkEnd w:id="17"/>
    </w:p>
    <w:p w14:paraId="105505AC" w14:textId="77777777" w:rsidR="00EB2F85" w:rsidRDefault="00772CAE">
      <w:pPr>
        <w:pStyle w:val="FirstParagraph"/>
      </w:pPr>
      <w:r>
        <w:t>The twelve chapters that follow are organised to move the reader from strategic context and system architecture through to operational implementation and maturity assessment, building sequentially on each layer of the MRV system before describing how those layers function in practice at the Keta pilot site.</w:t>
      </w:r>
    </w:p>
    <w:p w14:paraId="105505AD" w14:textId="77777777" w:rsidR="00EB2F85" w:rsidRDefault="00772CAE">
      <w:pPr>
        <w:pStyle w:val="BodyText"/>
      </w:pPr>
      <w:r>
        <w:t>Chapter 2, Strategic Context and National Purpose, grounds the MRV system in Ghana’s policy and treaty environment, explaining precisely how the monitoring architecture serves Ghana’s NDC commitments, Ramsar Convention obligations, CBD/GBF reporting requirements, and the national blue economy agenda. It establishes why MRV is not a technical add-on to restoration planning but the mechanism through which the policy commitments made at international level translate into verifiable domestic action.</w:t>
      </w:r>
    </w:p>
    <w:p w14:paraId="105505AE" w14:textId="77777777" w:rsidR="00EB2F85" w:rsidRDefault="00772CAE">
      <w:pPr>
        <w:pStyle w:val="BodyText"/>
      </w:pPr>
      <w:r>
        <w:t>Chapter 3, National MRV Architecture, describes the full structure of the MRV system — its four institutional tiers (community, district, national technical, and independent review) and its three functional layers (Ecological and Carbon Integrity, Environmental Pressure Surveillance, and Governance and Safeguard Assurance) — explaining the logic behind each design decision and how the tiers and layers interact to create a system that is simultaneously sensitive to ecosystem change and resilient to institutional disruption.</w:t>
      </w:r>
    </w:p>
    <w:p w14:paraId="105505AF" w14:textId="77777777" w:rsidR="00EB2F85" w:rsidRDefault="00772CAE">
      <w:pPr>
        <w:pStyle w:val="BodyText"/>
      </w:pPr>
      <w:r>
        <w:t xml:space="preserve">Chapter 4, Ecological and Carbon Integrity Layer, provides the detailed specification of Layer I — the monitoring of carbon stocks, ecosystem extent, and restoration </w:t>
      </w:r>
      <w:r>
        <w:lastRenderedPageBreak/>
        <w:t>performance that forms the scientific core of the MRV system. It describes the PSP network, carbon pool measurement protocols, remote sensing cadence, and the methodological alignment with the IPCC Wetlands Supplement that qualifies the system for both national reporting and carbon market verification.</w:t>
      </w:r>
    </w:p>
    <w:p w14:paraId="105505B0" w14:textId="77777777" w:rsidR="00EB2F85" w:rsidRDefault="00772CAE">
      <w:pPr>
        <w:pStyle w:val="BodyText"/>
      </w:pPr>
      <w:r>
        <w:t>Chapter 5, Environmental Pressure Surveillance, describes Layer II — the monitoring of the human drivers of ecosystem degradation that the baseline documented in granular site-specific detail. It explains how surveillance of fuelwood harvesting pressure at Keta, salt pan dynamics at Songor, and agricultural encroachment at Muni-Pomadze is operationalised as a set of leading indicators that the system tracks ahead of carbon stock change, enabling management response before irreversible degradation occurs.</w:t>
      </w:r>
    </w:p>
    <w:p w14:paraId="105505B1" w14:textId="77777777" w:rsidR="00EB2F85" w:rsidRDefault="00772CAE">
      <w:pPr>
        <w:pStyle w:val="BodyText"/>
      </w:pPr>
      <w:r>
        <w:t>Chapter 6, Governance and Safeguard Assurance, describes Layer III — the monitoring of the institutional health of CREMAs, the implementation of Free, Prior, and Informed Consent (FPIC) requirements, the functioning of Grievance Redress Mechanisms (GRMs), gender inclusion standards, and benefit-sharing transparency. It explains how the system tracks governance integrity as a precondition for the social and environmental legitimacy of carbon credits.</w:t>
      </w:r>
    </w:p>
    <w:p w14:paraId="105505B2" w14:textId="77777777" w:rsidR="00EB2F85" w:rsidRDefault="00772CAE">
      <w:pPr>
        <w:pStyle w:val="BodyText"/>
      </w:pPr>
      <w:r>
        <w:t>Chapter 7, Wetland Ecosystem Monitoring (Keta and Ada), describes the physical monitoring station network — 57 stations at Keta and 23 at Ada — including the water and soil parameter suites measured at quarterly intervals, the operational protocols for field teams, and how the station network integrates with the three MRV functional layers.</w:t>
      </w:r>
    </w:p>
    <w:p w14:paraId="105505B3" w14:textId="77777777" w:rsidR="00EB2F85" w:rsidRDefault="00772CAE">
      <w:pPr>
        <w:pStyle w:val="BodyText"/>
      </w:pPr>
      <w:r>
        <w:t>Chapter 8, Digital Platform and Data Architecture, describes the web-based platform developed to aggregate MRV data, support institutional reporting, and provide accessible dashboards for MESTI, MLNR, the Forestry Commission, and development partners. It covers the current state of the platform, the hosting and satellite monitoring arrangements, and the data governance protocols that protect the integrity of data flows from community monitors through to national reporting.</w:t>
      </w:r>
    </w:p>
    <w:p w14:paraId="105505B4" w14:textId="77777777" w:rsidR="00EB2F85" w:rsidRDefault="00772CAE">
      <w:pPr>
        <w:pStyle w:val="BodyText"/>
      </w:pPr>
      <w:r>
        <w:t>Chapter 9, Carbon Accounting Protocol, provides the full methodological specification for calculating carbon stock changes, attributing emission reductions, managing permanence and leakage risks, and producing credit-ready accounting outputs aligned with the requirements of the Verra Verified Carbon Standard, Plan Vivo, and Article 6 compliance mechanisms.</w:t>
      </w:r>
    </w:p>
    <w:p w14:paraId="105505B5" w14:textId="77777777" w:rsidR="00EB2F85" w:rsidRDefault="00772CAE">
      <w:pPr>
        <w:pStyle w:val="BodyText"/>
      </w:pPr>
      <w:r>
        <w:t>Chapter 10, Reporting Framework, describes the full reporting cycle — quarterly field data reporting, annual National Blue Carbon MRV Reports, five-year comprehensive reviews, and the linkage between internal national reporting and the external reporting obligations to the World Bank, carbon market verifiers, and international convention bodies.</w:t>
      </w:r>
    </w:p>
    <w:p w14:paraId="105505B6" w14:textId="77777777" w:rsidR="00EB2F85" w:rsidRDefault="00772CAE">
      <w:pPr>
        <w:pStyle w:val="BodyText"/>
      </w:pPr>
      <w:r>
        <w:t xml:space="preserve">Chapter 11, Keta Pilot Implementation, describes in operational detail what the MRV system looks like in practice at Ghana’s principal blue carbon site — the 57-station monitoring network, the PSP locations including Salo, the early action hub at Dzita, the CREMA formation status, and the specific landscape risks from Akosombo Dam </w:t>
      </w:r>
      <w:r>
        <w:lastRenderedPageBreak/>
        <w:t>sediment starvation and fuelwood pressure that make Keta both the most important monitoring priority and the most demanding stress test for the MRV design.</w:t>
      </w:r>
    </w:p>
    <w:p w14:paraId="105505B7" w14:textId="77777777" w:rsidR="00EB2F85" w:rsidRDefault="00772CAE">
      <w:pPr>
        <w:pStyle w:val="BodyText"/>
      </w:pPr>
      <w:r>
        <w:t>Chapter 12, Implementation Maturity Assessment, provides an honest, evidence-grounded account of where the MRV system currently stands — what has been built, what is partially operational, what remains to be resourced and commissioned — and what institutional and financial conditions must be met to move from a well-designed framework to a fully functioning national monitoring system. The chapter distinguishes between the completeness of the MRV framework design and the progress of MRV system operationalisation, giving MESTI and MLNR a clear map of the investments required to cross that threshold.</w:t>
      </w:r>
    </w:p>
    <w:p w14:paraId="105505B8" w14:textId="77777777" w:rsidR="00EB2F85" w:rsidRDefault="00772CAE">
      <w:pPr>
        <w:pStyle w:val="BodyText"/>
      </w:pPr>
      <w:r>
        <w:t>The Annexes provide the technical reference material that supports but does not appear in the main chapters: detailed indicator tables, data dictionaries, field protocol summaries, and the spatial data that anchors the monitoring network to specific coordinates within the assessed landscape.</w:t>
      </w:r>
    </w:p>
    <w:p w14:paraId="105505B9" w14:textId="77777777" w:rsidR="00EB2F85" w:rsidRDefault="00000000">
      <w:r>
        <w:pict w14:anchorId="10550834">
          <v:rect id="_x0000_i1035" style="width:0;height:1.5pt" o:hralign="center" o:hrstd="t" o:hr="t"/>
        </w:pict>
      </w:r>
    </w:p>
    <w:p w14:paraId="105505BA" w14:textId="77777777" w:rsidR="00EB2F85" w:rsidRDefault="00772CAE">
      <w:pPr>
        <w:pStyle w:val="FirstParagraph"/>
      </w:pPr>
      <w:r>
        <w:rPr>
          <w:i/>
        </w:rPr>
        <w:t>Chapter 1 — Introduction. MRV Standalone Report: Assessment of Blue Carbon Ecosystem Potentials of Ghana. Delivered to MESTI and MLNR under World Bank WACA ResIP 2 (P175625). Authored by Ecological Nest Ltd, March 2026.</w:t>
      </w:r>
    </w:p>
    <w:p w14:paraId="105505BB" w14:textId="77777777" w:rsidR="00EB2F85" w:rsidRDefault="00000000">
      <w:r>
        <w:pict w14:anchorId="10550835">
          <v:rect id="_x0000_i1036" style="width:0;height:1.5pt" o:hralign="center" o:hrstd="t" o:hr="t"/>
        </w:pict>
      </w:r>
    </w:p>
    <w:p w14:paraId="105505BC" w14:textId="77777777" w:rsidR="00EB2F85" w:rsidRDefault="00772CAE">
      <w:pPr>
        <w:pStyle w:val="Heading1"/>
      </w:pPr>
      <w:bookmarkStart w:id="18" w:name="X03388363acea9b16ad216565a4ebc67be554795"/>
      <w:bookmarkStart w:id="19" w:name="_Toc225323378"/>
      <w:r>
        <w:t>Chapter 2: Strategic Context and National Purpose</w:t>
      </w:r>
      <w:bookmarkEnd w:id="18"/>
      <w:bookmarkEnd w:id="19"/>
    </w:p>
    <w:p w14:paraId="105505BD" w14:textId="77777777" w:rsidR="00EB2F85" w:rsidRDefault="00000000">
      <w:r>
        <w:pict w14:anchorId="10550836">
          <v:rect id="_x0000_i1037" style="width:0;height:1.5pt" o:hralign="center" o:hrstd="t" o:hr="t"/>
        </w:pict>
      </w:r>
    </w:p>
    <w:p w14:paraId="105505BE" w14:textId="77777777" w:rsidR="00EB2F85" w:rsidRDefault="00772CAE">
      <w:pPr>
        <w:pStyle w:val="Heading2"/>
      </w:pPr>
      <w:bookmarkStart w:id="20" w:name="X653db0dd81bea20555485d3f9ebd04ba8e93f9a"/>
      <w:bookmarkStart w:id="21" w:name="_Toc225323379"/>
      <w:r>
        <w:t>2.1 West Africa’s Coastal Crisis and Ghana’s National Response</w:t>
      </w:r>
      <w:bookmarkEnd w:id="20"/>
      <w:bookmarkEnd w:id="21"/>
    </w:p>
    <w:p w14:paraId="105505BF" w14:textId="77777777" w:rsidR="00EB2F85" w:rsidRDefault="00772CAE">
      <w:pPr>
        <w:pStyle w:val="FirstParagraph"/>
      </w:pPr>
      <w:r>
        <w:t>Ghana’s 550-kilometre coastline is one of the most ecologically productive and economically vital stretches of the West African littoral, yet it is also one of the most threatened. Over recent decades, the combined pressures of coastal erosion, recurrent flooding, marine and lagoon pollution, and the progressive degradation of mangrove, salt marsh, and wetland ecosystems have reached a scale that measurably undermines the livelihoods, food security, and physical safety of the communities that depend on them. These are not isolated incidents of localised environmental stress. They are symptoms of a systemic failure to manage the interface between a growing population, intensifying resource extraction, and a coastal landscape whose capacity to absorb pressure has been diminishing without replacement.</w:t>
      </w:r>
    </w:p>
    <w:p w14:paraId="105505C0" w14:textId="77777777" w:rsidR="00EB2F85" w:rsidRDefault="00772CAE">
      <w:pPr>
        <w:pStyle w:val="BodyText"/>
      </w:pPr>
      <w:r>
        <w:t xml:space="preserve">It was this recognition — shared across the sub-region — that motivated the design of the West Africa Coastal Areas Resilience Investment Project (WACA ResIP 2). Approved by the World Bank in December 2022 under project number P175625, WACA ResIP 2 is a regional platform operating across three beneficiary countries: Ghana, the Gambia, and Guinea-Bissau. It was built on the premise that the scale of coastal degradation in West Africa exceeds what any single government or development partner can finance or effectively address in isolation, and that a regional framework </w:t>
      </w:r>
      <w:r>
        <w:lastRenderedPageBreak/>
        <w:t>combining national investments with shared knowledge and coordinated reporting offers a materially more durable response than country-by-country projects operating independently.</w:t>
      </w:r>
    </w:p>
    <w:p w14:paraId="105505C1" w14:textId="77777777" w:rsidR="00EB2F85" w:rsidRDefault="00772CAE">
      <w:pPr>
        <w:pStyle w:val="BodyText"/>
      </w:pPr>
      <w:r>
        <w:t>In Ghana, the project objective is specifically to strengthen the resilience of coastal communities by restoring and protecting the critical coastal ecosystems that provide essential services — storm buffering, fisheries nursery habitat, carbon sequestration, and livelihood support — to the millions of people who live within and adjacent to these landscapes. Responsibility for implementation rests with the Ministry of Environment, Science, Technology and Innovation (MESTI), which holds the primary mandate for climate and environmental governance at the national level. MESTI is supported by the Ministry of Lands and Natural Resources (MLNR) through its Focal Point Unit, which provides technical oversight of the assessment workstreams; by the Wildlife Division of the Forestry Commission, which carries statutory responsibility for managing the Ramsar-listed wetland complexes at the core of the blue carbon landscape; by the Ministry of Works and Housing and the Ghana Hydrological Authority (GHA), responsible for coastal engineering and hydrological management; and by the Environmental Protection Agency (EPA), which anchors regulatory compliance. This multi-ministry structure is not an administrative convenience. It reflects the genuine cross-sectoral character of coastal governance, in which land tenure decisions, ecosystem management authority, hydrological regulation, and environmental oversight all intersect in the same landscape, and all must be aligned for monitoring and restoration outcomes to persist beyond any single project cycle.</w:t>
      </w:r>
    </w:p>
    <w:p w14:paraId="105505C2" w14:textId="77777777" w:rsidR="00EB2F85" w:rsidRDefault="00772CAE">
      <w:pPr>
        <w:pStyle w:val="BodyText"/>
      </w:pPr>
      <w:r>
        <w:t>Blue carbon ecosystems — mangroves, tidal salt marshes, and seagrasses — occupy a distinctive position within this response framework precisely because they deliver simultaneously across three dimensions that coastal resilience programmes most often treat separately. They are climate mitigation assets, storing and sequestering carbon at rates that make them irreplaceable in national emissions accounting. They are biodiversity infrastructure, providing nursery habitat, foraging grounds, and ecological connectivity that sustain coastal fisheries and the livelihoods built around them. And they are community economic assets, supplying the fuelwood, fishing grounds, non-timber forest products, and storm protection that millions of households in Ghana’s coastal zone depend on for their daily subsistence. The capacity to deliver across these three dimensions from a single landscape — rather than trading off mitigation against livelihoods or biodiversity against economic use — is what makes the strategic management of Ghana’s blue carbon ecosystems a national priority, not merely an environmental one.</w:t>
      </w:r>
    </w:p>
    <w:p w14:paraId="105505C3" w14:textId="77777777" w:rsidR="00EB2F85" w:rsidRDefault="00000000">
      <w:r>
        <w:pict w14:anchorId="10550837">
          <v:rect id="_x0000_i1038" style="width:0;height:1.5pt" o:hralign="center" o:hrstd="t" o:hr="t"/>
        </w:pict>
      </w:r>
    </w:p>
    <w:p w14:paraId="105505C4" w14:textId="77777777" w:rsidR="00EB2F85" w:rsidRDefault="00772CAE">
      <w:pPr>
        <w:pStyle w:val="Heading2"/>
      </w:pPr>
      <w:bookmarkStart w:id="22" w:name="the-scale-of-ghanas-blue-carbon-resource"/>
      <w:bookmarkStart w:id="23" w:name="_Toc225323380"/>
      <w:r>
        <w:t>2.2 The Scale of Ghana’s Blue Carbon Resource</w:t>
      </w:r>
      <w:bookmarkEnd w:id="22"/>
      <w:bookmarkEnd w:id="23"/>
    </w:p>
    <w:p w14:paraId="105505C5" w14:textId="77777777" w:rsidR="00EB2F85" w:rsidRDefault="00772CAE">
      <w:pPr>
        <w:pStyle w:val="FirstParagraph"/>
      </w:pPr>
      <w:r>
        <w:t>Understanding the strategic stakes of the WACA Blue Carbon Assessment requires a clear account of what the 2025 baseline revealed about the scale of Ghana’s coastal mangrove resource — and why that account represents a fundamental revision of previous understanding.</w:t>
      </w:r>
    </w:p>
    <w:p w14:paraId="105505C6" w14:textId="77777777" w:rsidR="00EB2F85" w:rsidRDefault="00772CAE">
      <w:pPr>
        <w:pStyle w:val="BodyText"/>
      </w:pPr>
      <w:r>
        <w:lastRenderedPageBreak/>
        <w:t>Prior to this assessment, estimates of Ghana’s national mangrove extent ranged widely and inconsistently, from 7,240 hectares in a 2013 assessment to 18,100 hectares in a 1980 baseline. This variability was not evidence of ecosystem instability; it was evidence of methodological limitation. Coarser satellite imagery, lower-resolution land cover classification, and the absence of systematic participatory ground-truthing meant that previous assessments missed or misclassified the smaller, fragmented, and fringing mangrove stands that, in aggregate, constitute a substantial share of Ghana’s actual resource.</w:t>
      </w:r>
    </w:p>
    <w:p w14:paraId="105505C7" w14:textId="77777777" w:rsidR="00EB2F85" w:rsidRDefault="00772CAE">
      <w:pPr>
        <w:pStyle w:val="BodyText"/>
      </w:pPr>
      <w:r>
        <w:t>The 2025 assessment resolved this ambiguity. Using harmonised Sentinel-2 multispectral imagery at 10–20 metre spatial resolution — a significant advance over the 30-metre Landsat data on which most historical estimates were based — and applying a Random Forest classification algorithm processed entirely on Google Earth Engine (GEE), the assessment produced a new national mangrove extent figure of 30,025 hectares, equivalent to 2.81 percent of Ghana’s total coastal landscape area of 1,068,361.48 hectares, spanning 35 coastal districts. The classification model was trained and validated against 319 reference data points collected through a participatory ground-truthing process involving field visits with local community members and technical officers, supplemented by interpretation of very high-resolution imagery for areas inaccessible on foot. This was not merely a statistical exercise: community participants in the ground-truthing process identified previously undocumented mangrove stands that had been missed entirely by earlier global and regional datasets. The new figure of 30,025 hectares should therefore be read as the first accurate national count, not as evidence of a recent expansion.</w:t>
      </w:r>
    </w:p>
    <w:p w14:paraId="105505C8" w14:textId="77777777" w:rsidR="00EB2F85" w:rsidRDefault="00772CAE">
      <w:pPr>
        <w:pStyle w:val="BodyText"/>
      </w:pPr>
      <w:r>
        <w:t>The strategic importance of this revised figure lies not only in its size, but in the carbon implication of each hectare. Blue carbon ecosystems store up to ten times more carbon per hectare than terrestrial forests, owing to the exceptional accumulation of below-ground organic matter in permanently waterlogged soils and the sustained absence of aerobic decomposition that tidal inundation creates. Unlike a terrestrial forest, where much of the stored carbon turns over rapidly through decomposition, a healthy mangrove or tidal salt marsh holds centuries of accumulated carbon in its sediment profile. The corollary is stark: each hectare of mangrove lost to clearance, conversion, or degradation does not simply stop sequestering — it releases a disproportionately large pulse of previously sequestered carbon, drawing down a carbon stock that took generations to accumulate. This is why the 2025 national baseline is a matter of strategic national importance, not just ecological interest. Ghana’s carbon market credibility, its NDC reporting obligations, and its capacity to attract blue carbon finance are all grounded, ultimately, in the credibility of this number and the rigour of the methodology behind it.</w:t>
      </w:r>
    </w:p>
    <w:p w14:paraId="105505C9" w14:textId="77777777" w:rsidR="00EB2F85" w:rsidRDefault="00000000">
      <w:r>
        <w:pict w14:anchorId="10550838">
          <v:rect id="_x0000_i1039" style="width:0;height:1.5pt" o:hralign="center" o:hrstd="t" o:hr="t"/>
        </w:pict>
      </w:r>
    </w:p>
    <w:p w14:paraId="105505CA" w14:textId="77777777" w:rsidR="00EB2F85" w:rsidRDefault="00772CAE">
      <w:pPr>
        <w:pStyle w:val="Heading2"/>
      </w:pPr>
      <w:bookmarkStart w:id="24" w:name="X3ee2b5dbd2a5bdb8d97a96c48ec326a01845cb3"/>
      <w:bookmarkStart w:id="25" w:name="_Toc225323381"/>
      <w:r>
        <w:t>2.3 The Landscape Concentration Risk: Keta, Songor, and Muni-Pomadze</w:t>
      </w:r>
      <w:bookmarkEnd w:id="24"/>
      <w:bookmarkEnd w:id="25"/>
    </w:p>
    <w:p w14:paraId="105505CB" w14:textId="77777777" w:rsidR="00EB2F85" w:rsidRDefault="00772CAE">
      <w:pPr>
        <w:pStyle w:val="FirstParagraph"/>
      </w:pPr>
      <w:r>
        <w:t xml:space="preserve">The national figure of 30,025 hectares distributes across Ghana’s coastline in a pattern that is analytically more important than the headline number itself: it is not spread evenly, and it is not spread across many sites of comparable significance. The </w:t>
      </w:r>
      <w:r>
        <w:lastRenderedPageBreak/>
        <w:t>distribution is concentrated to a degree that creates a specific kind of strategic risk that must be understood before any monitoring or management system can be designed with adequate ambition.</w:t>
      </w:r>
    </w:p>
    <w:p w14:paraId="105505CC" w14:textId="77777777" w:rsidR="00EB2F85" w:rsidRDefault="00772CAE">
      <w:pPr>
        <w:pStyle w:val="BodyText"/>
      </w:pPr>
      <w:r>
        <w:t>The Keta Lagoon Complex Ramsar Site, in the Volta Region, holds 20,717.95 hectares of mangroves — approximately 69 percent of Ghana’s entire national coastal mangrove resource. This is not a site of local importance that happens to be large. It is the central pillar of Ghana’s national blue carbon strategy. The spatial distribution within the site is characterised by large, continuous stretches of mangrove across the areas between the main lagoon body and the Volta River estuary, a configuration that supports both Red Mangrove (</w:t>
      </w:r>
      <w:r>
        <w:rPr>
          <w:i/>
        </w:rPr>
        <w:t>Rhizophora racemosa</w:t>
      </w:r>
      <w:r>
        <w:t>) and Black Mangrove (</w:t>
      </w:r>
      <w:r>
        <w:rPr>
          <w:i/>
        </w:rPr>
        <w:t>Avicennia germinans</w:t>
      </w:r>
      <w:r>
        <w:t>) across a landscape of exceptional ecological integrity relative to the rest of the national coastline. The scale and continuity of this resource explain the deep-seated socio-economic reliance of the surrounding communities — Dzita, Salo, Agbatsivi, Bomigo, Galotse, Sota, and Galo among them — and it equally explains why any deterioration of this single ecosystem is not a local environmental event but a national carbon accounting crisis. If the Keta Lagoon Complex loses mangrove cover at any significant rate, Ghana loses the majority of its blue carbon asset. There is no equivalent landscape elsewhere on the coast to absorb that loss.</w:t>
      </w:r>
    </w:p>
    <w:p w14:paraId="105505CD" w14:textId="77777777" w:rsidR="00EB2F85" w:rsidRDefault="00772CAE">
      <w:pPr>
        <w:pStyle w:val="BodyText"/>
      </w:pPr>
      <w:r>
        <w:t>In stark contrast, the Songor Ramsar Site and UNESCO Biosphere Reserve, located in the Ada East District of Greater Accra Region, holds only 465.76 hectares of mangroves — a mere 2 percent of the national total, distributed as small, fragmented patches across a landscape that the 2025 land cover map depicts as overwhelmingly dominated by salt pans and grassland. This is not the Songor of historical record; it is the Songor of decades of documented degradation, in which the systematic expansion of industrial and artisanal salt mining centred on Elavanyo, Obane, Totope, and Azizanya has progressively displaced mangrove and tidal flat habitat. The 465.76-hectare remnant provides quantitative confirmation of what community consultations had long described: a landscape whose mangrove ecosystem has been largely replaced by a competing land use, leaving only isolated fragments where once there was connected forest. Songor is accordingly framed not as a carbon stock conservation site but as a restoration and land-use planning priority, where governance-level resolution of the conflict between salt production and traditional ecosystem-dependent livelihoods is a precondition for ecological recovery.</w:t>
      </w:r>
    </w:p>
    <w:p w14:paraId="105505CE" w14:textId="77777777" w:rsidR="00EB2F85" w:rsidRDefault="00772CAE">
      <w:pPr>
        <w:pStyle w:val="BodyText"/>
      </w:pPr>
      <w:r>
        <w:t xml:space="preserve">The Muni-Pomadze Ramsar Site, in the Central Region near Winneba, presents a third and distinct condition. The 2025 assessment found the mangrove extent at Muni-Pomadze to be ecologically insignificant — small, degraded fringes that do not form a mappable, functional ecosystem at the scale of the national assessment. This finding does not diminish the site’s cultural, biodiversity, or tidal wetland value, which remains substantial and is reflected in its Ramsar designation. But it reframes the site’s role entirely within the blue carbon programme. Muni-Pomadze is a restoration landscape, not a conservation one. Its contribution to the national blue carbon account will come from the re-establishment of an ecosystem rather than from the protection of an existing carbon stock. The community of Sankor, which has demonstrated high social cohesion, active women’s groups, and ongoing locally led mangrove nursery efforts supported by </w:t>
      </w:r>
      <w:r>
        <w:lastRenderedPageBreak/>
        <w:t>A Rocha Ghana, is the primary community-level entry point for restoration programming at this site.</w:t>
      </w:r>
    </w:p>
    <w:p w14:paraId="105505CF" w14:textId="77777777" w:rsidR="00EB2F85" w:rsidRDefault="00772CAE">
      <w:pPr>
        <w:pStyle w:val="BodyText"/>
      </w:pPr>
      <w:r>
        <w:t>The concentration of 69 percent of the national resource in a single site at Keta creates a vulnerability that any credible MRV system must be designed around, not simply noted. A monitoring architecture that treats the three Ramsar sites as equivalent in strategic weight — allocating equivalent attention and resources to Keta, Songor, and Muni-Pomadze — would misallocate the surveillance capacity the country has. The design of the national MRV system described in this report reflects the asymmetry explicitly: Keta receives the deepest monitoring infrastructure, the most complete field station network, and the first full MRV pilot deployment. Songor and Muni-Pomadze receive monitoring proportionate to their respective roles as a restoration governance site and a restoration re-establishment site, with the explicit intention of progressively deepening the monitoring architecture at each as CREMA structures and restoration programmes mature.</w:t>
      </w:r>
    </w:p>
    <w:p w14:paraId="105505D0" w14:textId="77777777" w:rsidR="00EB2F85" w:rsidRDefault="00000000">
      <w:r>
        <w:pict w14:anchorId="10550839">
          <v:rect id="_x0000_i1040" style="width:0;height:1.5pt" o:hralign="center" o:hrstd="t" o:hr="t"/>
        </w:pict>
      </w:r>
    </w:p>
    <w:p w14:paraId="105505D1" w14:textId="77777777" w:rsidR="00EB2F85" w:rsidRDefault="00772CAE">
      <w:pPr>
        <w:pStyle w:val="Heading2"/>
      </w:pPr>
      <w:bookmarkStart w:id="26" w:name="the-drivers-of-degradation"/>
      <w:bookmarkStart w:id="27" w:name="_Toc225323382"/>
      <w:r>
        <w:t>2.4 The Drivers of Degradation</w:t>
      </w:r>
      <w:bookmarkEnd w:id="26"/>
      <w:bookmarkEnd w:id="27"/>
    </w:p>
    <w:p w14:paraId="105505D2" w14:textId="77777777" w:rsidR="00EB2F85" w:rsidRDefault="00772CAE">
      <w:pPr>
        <w:pStyle w:val="FirstParagraph"/>
      </w:pPr>
      <w:r>
        <w:t>The condition of Ghana’s blue carbon ecosystems — degraded at Songor, ecologically absent at Muni-Pomadze, and under sustained pressure even at the nationally dominant Keta — is not the outcome of natural processes operating in the absence of human activity. It is the outcome of specific, documented human decisions made under specific economic and social pressures, compounded in the case of Keta by a large-scale hydrological disruption that long precedes the current project and continues to operate at a landscape scale far beyond the reach of community-level management.</w:t>
      </w:r>
    </w:p>
    <w:p w14:paraId="105505D3" w14:textId="77777777" w:rsidR="00EB2F85" w:rsidRDefault="00772CAE">
      <w:pPr>
        <w:pStyle w:val="BodyText"/>
      </w:pPr>
      <w:r>
        <w:t xml:space="preserve">Across the 37 communities profiled in the 2025 socio-economic assessment, more than 70 percent of households reported livelihood dependency on mangrove-linked activities — principally fish smoking and fuelwood harvesting, salt production, and artisanal fishing. This is not a uniform national figure; it is driven by the immediate proximity of the majority of profiled communities to the extensive mangrove stands of the Keta Lagoon Complex, where the resource has historically supported a tightly integrated social-ecological economy. Men fish the lagoon’s waters; women smoke the catch for sale in local and regional markets; and the fuel that powers thousands of smoking kilns operating in communities including Agbatsivi, Galotse, Bomigo, Salo, and Dzita is overwhelmingly mangrove wood, with </w:t>
      </w:r>
      <w:r>
        <w:rPr>
          <w:i/>
        </w:rPr>
        <w:t>Rhizophora racemosa</w:t>
      </w:r>
      <w:r>
        <w:t xml:space="preserve"> preferred for its burning characteristics.</w:t>
      </w:r>
    </w:p>
    <w:p w14:paraId="105505D4" w14:textId="77777777" w:rsidR="00EB2F85" w:rsidRDefault="00772CAE">
      <w:pPr>
        <w:pStyle w:val="BodyText"/>
      </w:pPr>
      <w:r>
        <w:t xml:space="preserve">This creates what the baseline analysis identifies as a social-ecological trap: the practices required to maintain livelihoods progressively undermine the ecological foundations that make those livelihoods possible. The artisanal fishing industry depends on healthy mangrove nursery habitat to sustain fish stocks; the fish-smoking industry depends on the same mangroves for fuel to process those stocks; and the combined demand for fuelwood from thousands of households is the primary driver of the mangrove degradation that reduces both the nursery habitat and the future fuel supply. Field assessments confirmed that approximately 70 percent of the natural mangrove </w:t>
      </w:r>
      <w:r>
        <w:lastRenderedPageBreak/>
        <w:t>cover around the Keta Lagoon Complex is already degraded or fragmented, with particularly severe losses recorded near Bomigo, Galo, and Sota since the year 2000. The feedback loop does not resolve itself through individual action; it deepens with each harvest cycle.</w:t>
      </w:r>
    </w:p>
    <w:p w14:paraId="105505D5" w14:textId="77777777" w:rsidR="00EB2F85" w:rsidRDefault="00772CAE">
      <w:pPr>
        <w:pStyle w:val="BodyText"/>
      </w:pPr>
      <w:r>
        <w:t>Compounding the livelihood-driven pressure on the Keta Lagoon is a landscape-level hydrological disruption whose origin dates to 1964, the year of Akosombo Dam construction 60 kilometres upstream on the Volta River. The dam traps more than 90 percent of the river’s natural sediment load, effectively starving the Volta delta of the sand and silt required to build and maintain the narrow coastal sandspit that separates the Keta Lagoon from the Atlantic Ocean. The consequence has been a documented regime shift from a river-dominated, prograding delta system to a wave-dominated, eroding one, producing significant and continuing coastal retreat along the sandspit and exposing the lagoon’s mangroves to wave energy and saltwater intrusion at increasing rates. This sediment starvation cannot be reversed by project-level intervention; it is the persistent consequence of a permanent hydrological infrastructure change. What can be managed are the knock-on effects: the historical deforestation rate at Keta has been measured at 2.15 percent per year, a trajectory that, if sustained, would compress the national blue carbon estate significantly within a generation and foreclose the carbon market opportunities that the 2025 baseline has established. The MRV system is designed in part to detect whether that deforestation rate is accelerating, decelerating, or being reversed by management interventions, and to provide the evidence base for adaptive responses.</w:t>
      </w:r>
    </w:p>
    <w:p w14:paraId="105505D6" w14:textId="77777777" w:rsidR="00EB2F85" w:rsidRDefault="00772CAE">
      <w:pPr>
        <w:pStyle w:val="BodyText"/>
      </w:pPr>
      <w:r>
        <w:t>At the Songor Ramsar Site, the dominant degradation driver is categorically different: land conversion for salt pan expansion, a process driven by industrial and artisanal salt mining operations concentrated around Elavanyo and Obane. Unlike the Keta situation — where degradation accumulates through the cumulative impact of thousands of individual fuelwood decisions — Songor’s mangrove loss is the direct and geographically legible outcome of systematic land-use conversion. The 2025 land cover map provides quantitative confirmation of what communities at Totope, Pute, and Azizanya have described in qualitative terms for decades: the near-complete replacement of mangrove and tidal flat habitat by salt production infrastructure. Communities including Totope and Obane remain almost entirely dependent on mangrove wood for fuel during the dry season, creating an additional extraction pressure on what little forest cover remains, and the loss of mangrove buffering has left these communities acutely exposed to the coastal erosion that direct observations confirmed at Azizanya and Totope.</w:t>
      </w:r>
    </w:p>
    <w:p w14:paraId="105505D7" w14:textId="77777777" w:rsidR="00EB2F85" w:rsidRDefault="00772CAE">
      <w:pPr>
        <w:pStyle w:val="BodyText"/>
      </w:pPr>
      <w:r>
        <w:t xml:space="preserve">At Muni-Pomadze, where mangrove cover has effectively ceased to function as an intact ecosystem, the degradation drivers are agricultural encroachment and charcoal production, concentrated heavily in the transition forests and wetland edges near communities including Bewadze and Mankoadze. A distinctive feature of Muni-Pomadze is that long-standing spiritual taboos and traditional governance structures have preserved the integrity of sacred groves — including in communities like Bomigo and Sankor — creating pockets of ecological resilience that persist despite the pressures operating on the broader landscape. But the buffer zones surrounding these groves are being actively degraded by the same communities that uphold the taboos, a </w:t>
      </w:r>
      <w:r>
        <w:lastRenderedPageBreak/>
        <w:t>paradox that the assessment characterises as cultural resilience acting as a fragile shield whose edges are eroding under modern economic pressures.</w:t>
      </w:r>
    </w:p>
    <w:p w14:paraId="105505D8" w14:textId="77777777" w:rsidR="00EB2F85" w:rsidRDefault="00000000">
      <w:r>
        <w:pict w14:anchorId="1055083A">
          <v:rect id="_x0000_i1041" style="width:0;height:1.5pt" o:hralign="center" o:hrstd="t" o:hr="t"/>
        </w:pict>
      </w:r>
    </w:p>
    <w:p w14:paraId="105505D9" w14:textId="77777777" w:rsidR="00EB2F85" w:rsidRDefault="00772CAE">
      <w:pPr>
        <w:pStyle w:val="Heading2"/>
      </w:pPr>
      <w:bookmarkStart w:id="28" w:name="Xedcd597382502abc84e28ba7a44267384b88efa"/>
      <w:bookmarkStart w:id="29" w:name="_Toc225323383"/>
      <w:r>
        <w:t>2.5 Ghana’s Climate, Biodiversity, and Carbon Market Obligations</w:t>
      </w:r>
      <w:bookmarkEnd w:id="28"/>
      <w:bookmarkEnd w:id="29"/>
    </w:p>
    <w:p w14:paraId="105505DA" w14:textId="77777777" w:rsidR="00EB2F85" w:rsidRDefault="00772CAE">
      <w:pPr>
        <w:pStyle w:val="FirstParagraph"/>
      </w:pPr>
      <w:r>
        <w:t>Ghana’s engagement with blue carbon management is not elective. It is structured by a set of formal international obligations that create specific, measurable reporting requirements — and that place the management of the three Ramsar-listed coastal wetland complexes at the intersection of the country’s most consequential environmental commitments.</w:t>
      </w:r>
    </w:p>
    <w:p w14:paraId="105505DB" w14:textId="77777777" w:rsidR="00EB2F85" w:rsidRDefault="00772CAE">
      <w:pPr>
        <w:pStyle w:val="BodyText"/>
      </w:pPr>
      <w:r>
        <w:t>Under the Paris Agreement, Ghana submitted a Nationally Determined Contribution (NDC) that identifies the land sector as the country’s largest potential source of carbon dioxide removals. While energy-sector emissions dominate Ghana’s greenhouse gas profile, the land sector — forests, coastal ecosystems, and wetlands — holds the greatest national capacity to draw carbon from the atmosphere and retain it at the scale required to offset other emission sources. Blue carbon ecosystems occupy an outsized position within this potential, precisely because their per-hectare sequestration and storage rates are so much higher than those of terrestrial forests. The translation of this ecological potential into NDC-aligned carbon accounting and reporting is a direct function of the MRV system described in this report. Without a rigorous, evidence-based system for tracking changes in mangrove extent, carbon stock, and ecosystem condition, Ghana cannot credibly report its land-sector removals — and cannot access the climate finance that credible NDC implementation is increasingly designed to unlock.</w:t>
      </w:r>
    </w:p>
    <w:p w14:paraId="105505DC" w14:textId="77777777" w:rsidR="00EB2F85" w:rsidRDefault="00772CAE">
      <w:pPr>
        <w:pStyle w:val="BodyText"/>
      </w:pPr>
      <w:r>
        <w:t>Ghana’s obligations under the Convention on Biological Diversity (CBD) and the Kunming-Montreal Global Biodiversity Framework (GBF), adopted in December 2022 — the same year WACA ResIP 2 was approved — add a second formal layer of accountability. The GBF’s 30×30 commitment, which requires that thirty percent of land and ocean area be effectively protected by 2030, places the Keta Lagoon Complex Ramsar Site, the Songor Ramsar Site, and the Muni-Pomadze Ramsar Site at the centre of Ghana’s biodiversity reporting architecture. These are not peripheral sites; they are internationally designated landscapes at which the government has made formal commitments to sustain ecological integrity. The MRV system provides the evidence base on which those commitments can be assessed — moving Ghana’s biodiversity reporting from assertion to verification.</w:t>
      </w:r>
    </w:p>
    <w:p w14:paraId="105505DD" w14:textId="77777777" w:rsidR="00EB2F85" w:rsidRDefault="00772CAE">
      <w:pPr>
        <w:pStyle w:val="BodyText"/>
      </w:pPr>
      <w:r>
        <w:t xml:space="preserve">The Ramsar Convention itself imposes a third set of obligations. As a contracting party, Ghana is required to maintain the ecological character of its listed wetlands and to report to the Ramsar Secretariat on threats, changes, and management responses. All three Ramsar sites fall within the assessment landscape, and all three are subject to the pressures documented in this baseline. The MRV system operationalises Ghana’s Ramsar reporting obligations by providing, for the first time, a systematic, quantitative mechanism for tracking changes in ecological character at each site — replacing the ad </w:t>
      </w:r>
      <w:r>
        <w:lastRenderedPageBreak/>
        <w:t>hoc reporting that has characterised Ghana’s wetland management oversight in previous cycles.</w:t>
      </w:r>
    </w:p>
    <w:p w14:paraId="105505DE" w14:textId="77777777" w:rsidR="00EB2F85" w:rsidRDefault="00772CAE">
      <w:pPr>
        <w:pStyle w:val="BodyText"/>
      </w:pPr>
      <w:r>
        <w:t>Beyond treaty obligations, the 2025 baseline was explicitly designed to meet the foundational data requirements of the principal voluntary carbon market standards. Verra’s Verified Carbon Standard (VCS), the Gold Standard, and Plan Vivo each require, as a precondition for project registration, a robust, independently verifiable baseline that establishes current ecosystem extent, carbon stocks, degradation rates, and socio-economic conditions at the project start. The 2025 national baseline — integrating high-resolution geospatial mapping, carbon inventory through Permanent Sample Plots (PSPs), ecosystem health assessment, environmental pressure profiling, governance readiness analysis, and socio-economic community profiling — constitutes exactly that foundational dataset. The 319 participatory ground-truth reference points that validate the geospatial classification, the community-level participatory resource mapping that was cross-referenced with satellite data, and the explicit attention to Free, Prior, and Informed Consent (FPIC) throughout the field programme collectively ensure that the baseline meets the participatory and social standards that Plan Vivo and the Verra Climate, Community and Biodiversity Standards require. Ghana is therefore positioned, at the close of the 2025 baseline programme, to proceed to carbon project design on a technically credible, market-compliant foundation — a position that was not available before this work was done.</w:t>
      </w:r>
    </w:p>
    <w:p w14:paraId="105505DF" w14:textId="77777777" w:rsidR="00EB2F85" w:rsidRDefault="00000000">
      <w:r>
        <w:pict w14:anchorId="1055083B">
          <v:rect id="_x0000_i1042" style="width:0;height:1.5pt" o:hralign="center" o:hrstd="t" o:hr="t"/>
        </w:pict>
      </w:r>
    </w:p>
    <w:p w14:paraId="105505E0" w14:textId="77777777" w:rsidR="00EB2F85" w:rsidRDefault="00772CAE">
      <w:pPr>
        <w:pStyle w:val="Heading2"/>
      </w:pPr>
      <w:bookmarkStart w:id="30" w:name="X3b4e62895b4479c8be4075d1293db125419863f"/>
      <w:bookmarkStart w:id="31" w:name="_Toc225323384"/>
      <w:r>
        <w:t>2.6 The 2025 National Baseline as the Year 0 Foundation</w:t>
      </w:r>
      <w:bookmarkEnd w:id="30"/>
      <w:bookmarkEnd w:id="31"/>
    </w:p>
    <w:p w14:paraId="105505E1" w14:textId="77777777" w:rsidR="00EB2F85" w:rsidRDefault="00772CAE">
      <w:pPr>
        <w:pStyle w:val="FirstParagraph"/>
      </w:pPr>
      <w:r>
        <w:t>The six baseline workstreams completed between June and August 2025 by Ecological Nest Ltd, under the WACA Blue Carbon Assessment commissioned by MESTI and MLNR, collectively constitute the Year 0 reference for Ghana’s national blue carbon monitoring, reporting, and verification (MRV) system. Every future measurement of carbon stock change, every assessment of restoration progress, and every report submitted against Ghana’s climate and biodiversity obligations will be benchmarked against what was found and documented during this programme. The integrity of that benchmarking depends entirely on the integrity of the baseline from which it begins.</w:t>
      </w:r>
    </w:p>
    <w:p w14:paraId="105505E2" w14:textId="77777777" w:rsidR="00EB2F85" w:rsidRDefault="00772CAE">
      <w:pPr>
        <w:pStyle w:val="BodyText"/>
      </w:pPr>
      <w:r>
        <w:t>The six workstreams were: geospatial mangrove extent mapping, which produced the national land cover baseline validated with 319 participatory ground-truth reference points; the carbon inventory, which established above-ground biomass (AGB), below-ground biomass (BGB), deadwood, and soil organic carbon (SOC) stocks at Permanent Sample Plots across the priority landscapes; ecosystem health assessment, which characterised the physical and biological condition of the wetland systems at Keta and Ada across 57 monitoring stations at Keta and 23 at Ada; environmental pressure profiling, which documented the degradation drivers, community dependency patterns, and livelihood-pressure feedback loops across 37 profiled communities; governance readiness analysis, which assessed the institutional landscape — formal, customary, and emerging — within which a co-management system could be built; and socio-economic profiling, which established the demographic, livelihood, and social vulnerability context for benefit-sharing design and safeguard planning.</w:t>
      </w:r>
    </w:p>
    <w:p w14:paraId="105505E3" w14:textId="77777777" w:rsidR="00EB2F85" w:rsidRDefault="00772CAE">
      <w:pPr>
        <w:pStyle w:val="BodyText"/>
      </w:pPr>
      <w:r>
        <w:lastRenderedPageBreak/>
        <w:t>These workstreams were not parallel projects that arrived at separate conclusions. They were designed as an integrated baseline package in which each workstream’s outputs cross-validate and contextualise the others. The geospatial mapping that found only 465.76 hectares of mangrove at Songor is validated by the environmental pressure assessment’s documentation of salt pan expansion at Elavanyo and Obane. The carbon inventory’s PSP network at Keta is calibrated against the ecosystem health monitoring station data at those 57 stations. The community dependency rate of more than 70 percent reported in the socio-economic profiling is geospatially validated by the spatial correlation between the highest-dependency communities — Dzita, Salo, Agbatsivi, Bomigo, Galotse — and the densest mangrove stands in the Keta land cover map. The whole is designed to be more than the sum of its parts, and its design logic is the logic of a credible MRV system: any claim about carbon stocks, ecosystem change, or community impact can be traced to multiple independent lines of evidence.</w:t>
      </w:r>
    </w:p>
    <w:p w14:paraId="105505E4" w14:textId="77777777" w:rsidR="00EB2F85" w:rsidRDefault="00772CAE">
      <w:pPr>
        <w:pStyle w:val="BodyText"/>
      </w:pPr>
      <w:r>
        <w:t>This baseline is the Year 0 reference in a precise technical sense. It establishes the area boundaries, carbon stock values, ecosystem condition metrics, pressure indicators, governance arrangements, and community profiles against which all subsequent MRV cycles will measure change. The date of the baseline — completed August 2025 — is the start date from which additionality will be demonstrated for any carbon project operating within the assessment landscape. Any restoration activity, any conservation intervention, and any change in mangrove extent, biomass, or soil carbon will be reported as a departure from what was documented in these six workstreams. The rigour with which the baseline was assembled — its methodological transparency, its participatory validation, its multi-workstream cross-referencing — is therefore not merely a quality standard for the 2025 programme. It is the precondition for the credibility of every carbon and biodiversity report that Ghana will produce from this landscape for years to come.</w:t>
      </w:r>
    </w:p>
    <w:p w14:paraId="105505E5" w14:textId="77777777" w:rsidR="00EB2F85" w:rsidRDefault="00000000">
      <w:r>
        <w:pict w14:anchorId="1055083C">
          <v:rect id="_x0000_i1043" style="width:0;height:1.5pt" o:hralign="center" o:hrstd="t" o:hr="t"/>
        </w:pict>
      </w:r>
    </w:p>
    <w:p w14:paraId="105505E6" w14:textId="77777777" w:rsidR="00EB2F85" w:rsidRDefault="00000000">
      <w:r>
        <w:pict w14:anchorId="1055083D">
          <v:rect id="_x0000_i1044" style="width:0;height:1.5pt" o:hralign="center" o:hrstd="t" o:hr="t"/>
        </w:pict>
      </w:r>
    </w:p>
    <w:p w14:paraId="105505E7" w14:textId="77777777" w:rsidR="00EB2F85" w:rsidRDefault="00772CAE">
      <w:pPr>
        <w:pStyle w:val="Heading1"/>
      </w:pPr>
      <w:bookmarkStart w:id="32" w:name="chapter-3-national-mrv-architecture"/>
      <w:bookmarkStart w:id="33" w:name="_Toc225323385"/>
      <w:r>
        <w:t>Chapter 3: National MRV Architecture</w:t>
      </w:r>
      <w:bookmarkEnd w:id="32"/>
      <w:bookmarkEnd w:id="33"/>
    </w:p>
    <w:p w14:paraId="105505E8" w14:textId="77777777" w:rsidR="00EB2F85" w:rsidRDefault="00000000">
      <w:r>
        <w:pict w14:anchorId="1055083E">
          <v:rect id="_x0000_i1045" style="width:0;height:1.5pt" o:hralign="center" o:hrstd="t" o:hr="t"/>
        </w:pict>
      </w:r>
    </w:p>
    <w:p w14:paraId="105505E9" w14:textId="77777777" w:rsidR="00EB2F85" w:rsidRDefault="00772CAE">
      <w:pPr>
        <w:pStyle w:val="Heading2"/>
      </w:pPr>
      <w:bookmarkStart w:id="34" w:name="design-philosophy"/>
      <w:bookmarkStart w:id="35" w:name="_Toc225323386"/>
      <w:r>
        <w:t>3.1 Design Philosophy</w:t>
      </w:r>
      <w:bookmarkEnd w:id="34"/>
      <w:bookmarkEnd w:id="35"/>
    </w:p>
    <w:p w14:paraId="105505EA" w14:textId="77777777" w:rsidR="00EB2F85" w:rsidRDefault="00772CAE">
      <w:pPr>
        <w:pStyle w:val="FirstParagraph"/>
      </w:pPr>
      <w:r>
        <w:t>Ghana’s National Blue Carbon Monitoring, Reporting, and Verification (MRV) Framework was not designed to serve the life of a project. It was designed to serve the life of a coastline.</w:t>
      </w:r>
    </w:p>
    <w:p w14:paraId="105505EB" w14:textId="77777777" w:rsidR="00EB2F85" w:rsidRDefault="00772CAE">
      <w:pPr>
        <w:pStyle w:val="BodyText"/>
      </w:pPr>
      <w:r>
        <w:t xml:space="preserve">The WACA ResIP 2 programme (World Bank Project P175625), approved in December 2022, provides the investment foundation for the baseline assessment, the monitoring network, and the institutional capacity-building that the MRV system requires. But WACA funding is time-limited. The programme has a defined disbursement period, a defined set of deliverables, and a defined end point. Ghana’s obligation to monitor 30,025 hectares of coastal mangroves and wetlands — to account for their carbon </w:t>
      </w:r>
      <w:r>
        <w:lastRenderedPageBreak/>
        <w:t>stocks, to detect threats to their integrity, and to report on their condition against its Nationally Determined Contribution (NDC) commitments — is indefinite. The architecture of the MRV Framework was shaped by this fundamental asymmetry between project duration and national obligation.</w:t>
      </w:r>
    </w:p>
    <w:p w14:paraId="105505EC" w14:textId="77777777" w:rsidR="00EB2F85" w:rsidRDefault="00772CAE">
      <w:pPr>
        <w:pStyle w:val="BodyText"/>
      </w:pPr>
      <w:r>
        <w:t>This is why institutional permanence is the first design principle of the system. Every element of the Framework — the tiered institutional structure, the field monitoring protocols, the digital platform, the reporting cadence — has been designed to be operated by Ghanaian government institutions and communities using Ghanaian institutional authority and capacity, not by the consultancy team that established it. The Ministry of Lands and Natural Resources (MLNR) and the Ministry of Environment, Science, Technology and Innovation (MESTI) are not participants in the MRV system. They are its custodians. The Forestry Commission’s Wildlife Division is not an external validator. It is a structural component of the system’s quality assurance architecture. Community Resource Management Areas (CREMAs) and Community Change Agents (CCAs) are not programme beneficiaries who contribute data to an external framework. They are the primary data-generating tier of the national system. This distinction — between a project mechanism and a national institutional architecture — is the foundational logic of every design decision documented in this chapter.</w:t>
      </w:r>
    </w:p>
    <w:p w14:paraId="105505ED" w14:textId="77777777" w:rsidR="00EB2F85" w:rsidRDefault="00772CAE">
      <w:pPr>
        <w:pStyle w:val="BodyText"/>
      </w:pPr>
      <w:r>
        <w:t>The second design principle is progressive expansion without structural redesign. At the time of this report, the MRV system operates across three Ramsar landscapes: the Keta Lagoon Complex, the Songor Ramsar Site, and the Muni-Pomadze Ramsar Site. These three landscapes account for the 30,025 hectares of coastal mangroves assessed in the 2025 geo-spatial baseline. The Keta Lagoon Complex alone holds 20,717.95 hectares — approximately 69% of the national mangrove total — and has been designated as the primary MRV pilot site, with the deepest monitoring infrastructure and the most fully developed baseline. Songor, at 465.76 hectares (2% of the national total), and Muni-Pomadze, where mangrove cover is ecologically insignificant, each require tailored monitoring approaches that reflect their distinct ecological and governance realities. As additional coastal landscapes complete their own baseline assessments in future programme phases, they join the national system by populating the established architecture with site-specific data — new PSP networks, new CREMA monitoring zones, new district reporting relationships — without requiring the framework itself to be restructured. The architecture was designed to accommodate Ghana’s full coastal extent without being rebuilt to do so.</w:t>
      </w:r>
    </w:p>
    <w:p w14:paraId="105505EE" w14:textId="77777777" w:rsidR="00EB2F85" w:rsidRDefault="00000000">
      <w:r>
        <w:pict w14:anchorId="1055083F">
          <v:rect id="_x0000_i1046" style="width:0;height:1.5pt" o:hralign="center" o:hrstd="t" o:hr="t"/>
        </w:pict>
      </w:r>
    </w:p>
    <w:p w14:paraId="105505EF" w14:textId="77777777" w:rsidR="00EB2F85" w:rsidRDefault="00772CAE">
      <w:pPr>
        <w:pStyle w:val="Heading2"/>
      </w:pPr>
      <w:bookmarkStart w:id="36" w:name="the-four-institutional-tiers"/>
      <w:bookmarkStart w:id="37" w:name="_Toc225323387"/>
      <w:r>
        <w:t>3.2 The Four Institutional Tiers</w:t>
      </w:r>
      <w:bookmarkEnd w:id="36"/>
      <w:bookmarkEnd w:id="37"/>
    </w:p>
    <w:p w14:paraId="105505F0" w14:textId="77777777" w:rsidR="00EB2F85" w:rsidRDefault="00772CAE">
      <w:pPr>
        <w:pStyle w:val="FirstParagraph"/>
      </w:pPr>
      <w:r>
        <w:t>The MRV system operates across four coordinated institutional tiers. These are not parallel programmes running simultaneously; they are a vertically integrated chain of monitoring, validation, analysis, and oversight in which each tier performs functions that the others cannot, and in which the system fails if any tier is absent or non-functional.</w:t>
      </w:r>
    </w:p>
    <w:p w14:paraId="105505F1" w14:textId="77777777" w:rsidR="00EB2F85" w:rsidRDefault="00772CAE">
      <w:pPr>
        <w:pStyle w:val="BodyText"/>
      </w:pPr>
      <w:r>
        <w:rPr>
          <w:b/>
        </w:rPr>
        <w:t>Community Tier — CREMAs and CCAs</w:t>
      </w:r>
    </w:p>
    <w:p w14:paraId="105505F2" w14:textId="77777777" w:rsidR="00EB2F85" w:rsidRDefault="00772CAE">
      <w:pPr>
        <w:pStyle w:val="BodyText"/>
      </w:pPr>
      <w:r>
        <w:lastRenderedPageBreak/>
        <w:t>Field-based monitoring of mangrove ecosystems begins at the community level, delivered through CREMAs and the CCAs who serve as their operational frontline. A CREMA is a formally constituted community governance body with legal standing under the Wildlife Resources Management Act, 2023 (Act 1115), capable of entering into agreements, enforcing locally developed by-laws, and — critically — participating in carbon finance arrangements on behalf of its member communities. Across the 37 communities profiled in the 2025 governance and CREMA readiness assessment, readiness for CREMA formation varies substantially: Muni-Pomadze, anchored by the community of Sankor, shows the highest organisational cohesion and is the most advanced toward formal CREMA establishment; Keta presents a fragmented landscape where clusters such as Dzita and Agbatsivi have demonstrated high motivation and where emerging CREMA units are already mapping boundaries; Songor, where land tenure conflict between artisanal communities and industrial salt mining operations has fractured local leadership in communities including Pute and Elavanyo, requires conflict mediation as a prerequisite to formal CREMA formation.</w:t>
      </w:r>
    </w:p>
    <w:p w14:paraId="105505F3" w14:textId="77777777" w:rsidR="00EB2F85" w:rsidRDefault="00772CAE">
      <w:pPr>
        <w:pStyle w:val="BodyText"/>
      </w:pPr>
      <w:r>
        <w:t>Within the MRV architecture, CREMA monitoring responsibilities are specific and structured. CREMA members — supported by their designated CCAs — are responsible for maintaining access to Permanent Sample Plot (PSP) locations for periodic re-measurement; recording diameter at breast height (DBH) measurements as directed by national technical teams; documenting visible disturbance events such as cutting incidence, charcoal kiln presence, and evidence of land conversion; conducting quarterly transect walks within GIS-mapped monitoring zones to record pressure signals; monitoring restoration site survival rates at the intervals required by the restoration monitoring protocol; and recording governance indicators including meeting attendance, grievance submissions, and participation composition. CCAs operate within defined community monitoring zones that have been spatially delineated and uploaded to the national web platform, ensuring that field observations are georeferenced and directly linked to the sites they describe. The CCAs at Dzita, for example, were instrumental during the 2025 baseline in facilitating resolution of a dispute between landowners and youth over a potential restoration site — a function that illustrates both the social value of the CCA role and its practical importance to the integrity of the monitoring system they support.</w:t>
      </w:r>
    </w:p>
    <w:p w14:paraId="105505F4" w14:textId="77777777" w:rsidR="00EB2F85" w:rsidRDefault="00772CAE">
      <w:pPr>
        <w:pStyle w:val="BodyText"/>
      </w:pPr>
      <w:r>
        <w:rPr>
          <w:b/>
        </w:rPr>
        <w:t>District Tier — MMDAs and the Wildlife Division</w:t>
      </w:r>
    </w:p>
    <w:p w14:paraId="105505F5" w14:textId="77777777" w:rsidR="00EB2F85" w:rsidRDefault="00772CAE">
      <w:pPr>
        <w:pStyle w:val="BodyText"/>
      </w:pPr>
      <w:r>
        <w:t>Metropolitan, Municipal, and District Assemblies (MMDAs) and the Wildlife Division (WD) of the Forestry Commission form the district tier, which performs the consolidation and validation functions that transform community field data into verified district-level inputs to the national system. District authorities receive quarterly field data submissions from CREMAs, cross-check them for internal consistency, and identify observations that require technical follow-up or escalation. Where pressure thresholds are breached — for instance, where two or more mangrove cutting signals are recorded in the same monitoring period within a given CREMA zone — the district tier is responsible for triggering the response protocol: convening community review meetings, engaging with responsible actors, and escalating to enforcement authorities where cutting or conversion activity persists.</w:t>
      </w:r>
    </w:p>
    <w:p w14:paraId="105505F6" w14:textId="77777777" w:rsidR="00EB2F85" w:rsidRDefault="00772CAE">
      <w:pPr>
        <w:pStyle w:val="BodyText"/>
      </w:pPr>
      <w:r>
        <w:lastRenderedPageBreak/>
        <w:t>The Wildlife Division carries a specific and non-delegable role within the district tier: it is the primary statutory body responsible for Ramsar site management and CREMA establishment under Act 1115, and its field officers conduct the ground-truth validation that gives satellite-based extent monitoring its credibility. The 2025 geo-spatial baseline incorporated 319 participatory ground-truth reference points, validated through Wildlife Division field teams and community members. Ongoing satellite classification outputs — annual mangrove extent layers produced from Sentinel-2 imagery at 10–20 metre resolution — will be ground-truthed through the same institutional pathway, providing the continuity of methodology that is required for valid change detection over time. District authorities also submit consolidated annual monitoring reports to MLNR and MESTI, serving as the primary reporting link between field observation and national technical analysis.</w:t>
      </w:r>
    </w:p>
    <w:p w14:paraId="105505F7" w14:textId="77777777" w:rsidR="00EB2F85" w:rsidRDefault="00772CAE">
      <w:pPr>
        <w:pStyle w:val="BodyText"/>
      </w:pPr>
      <w:r>
        <w:rPr>
          <w:b/>
        </w:rPr>
        <w:t>National Technical Tier — MLNR, MESTI, and the Forestry Commission</w:t>
      </w:r>
    </w:p>
    <w:p w14:paraId="105505F8" w14:textId="77777777" w:rsidR="00EB2F85" w:rsidRDefault="00772CAE">
      <w:pPr>
        <w:pStyle w:val="BodyText"/>
      </w:pPr>
      <w:r>
        <w:t>The national technical tier, led jointly by MLNR and MESTI with technical support from the Forestry Commission, is responsible for the analytical, quality assurance, and archiving functions that national reporting requires. MLNR and MESTI receive consolidated district reports and integrate them with satellite analysis outputs and PSP re-measurement data to produce the national carbon stock picture. This involves GIS and satellite analysis of annual mangrove extent changes across the coastal landscape, carbon stock calculations from PSP re-measurement data on the 3–5 year cycle specified by the IPCC Wetlands Supplement methodology, quality assurance and quality control (QA/QC) procedures applied to field data, and the production and archiving of the Annual National Blue Carbon MRV Report — the primary national reporting product that documents Ghana’s progress against its NDC targets and provides investment-grade transparency for development partners and prospective carbon market participants.</w:t>
      </w:r>
    </w:p>
    <w:p w14:paraId="105505F9" w14:textId="77777777" w:rsidR="00EB2F85" w:rsidRDefault="00772CAE">
      <w:pPr>
        <w:pStyle w:val="BodyText"/>
      </w:pPr>
      <w:r>
        <w:t>MLNR serves as the MRV custodian: the institution with primary legal and administrative responsibility for the national data archive, the platform access governance structure, and the long-term integrity of the carbon accounting record. MESTI holds the lead ministry role for the WACA programme and serves as the primary interlocutor with the World Bank and with other development partners. The Forestry Commission’s Wildlife Division connects the national technical tier to the district tier through its field officer network. This is not a communications link; it is an institutional quality assurance chain. Data moving upward through the system from community to national carries the Wildlife Division’s validation at the district level, and the QA/QC procedures applied at national level are designed to detect anomalies that field-level validation may have missed.</w:t>
      </w:r>
    </w:p>
    <w:p w14:paraId="105505FA" w14:textId="77777777" w:rsidR="00EB2F85" w:rsidRDefault="00772CAE">
      <w:pPr>
        <w:pStyle w:val="BodyText"/>
      </w:pPr>
      <w:r>
        <w:rPr>
          <w:b/>
        </w:rPr>
        <w:t>Independent Review Tier — When Applicable</w:t>
      </w:r>
    </w:p>
    <w:p w14:paraId="105505FB" w14:textId="77777777" w:rsidR="00EB2F85" w:rsidRDefault="00772CAE">
      <w:pPr>
        <w:pStyle w:val="BodyText"/>
      </w:pPr>
      <w:r>
        <w:t xml:space="preserve">The fourth tier — independent review — is activated only under specific conditions: when the MRV system is being used to support carbon market participation under a verified standard such as Verra/VCS, Gold Standard, or Plan Vivo; when external donor audits require third-party assurance of the data record; or when other investment vehicles demand independent verification of reported carbon stock changes. </w:t>
      </w:r>
      <w:r>
        <w:lastRenderedPageBreak/>
        <w:t>Independent review at these moments provides the assurance that external counterparties require and that national institutions — whatever their credibility and rigour — cannot provide about themselves.</w:t>
      </w:r>
    </w:p>
    <w:p w14:paraId="105505FC" w14:textId="77777777" w:rsidR="00EB2F85" w:rsidRDefault="00772CAE">
      <w:pPr>
        <w:pStyle w:val="BodyText"/>
      </w:pPr>
      <w:r>
        <w:t>What independent review does not mean is the displacement of national institutional ownership of the data. Ghana’s MRV system is a national system. The carbon stock data are Ghana’s data. The Annual MRV Report is produced by MLNR and MESTI, not by a third-party auditor. Independent review examines the outputs and procedures of the national system; it does not operate the national system. This distinction is deliberate and important. MRV architectures that position external verifiers as the primary source of analytical authority create systems that cannot function when external funding for verification lapses. Ghana’s architecture retains national primacy over data stewardship, with independent review as an external quality assurance layer that the system can engage when market or donor requirements demand it.</w:t>
      </w:r>
    </w:p>
    <w:p w14:paraId="105505FD" w14:textId="77777777" w:rsidR="00EB2F85" w:rsidRDefault="00000000">
      <w:r>
        <w:pict w14:anchorId="10550840">
          <v:rect id="_x0000_i1047" style="width:0;height:1.5pt" o:hralign="center" o:hrstd="t" o:hr="t"/>
        </w:pict>
      </w:r>
    </w:p>
    <w:p w14:paraId="105505FE" w14:textId="77777777" w:rsidR="00EB2F85" w:rsidRDefault="00772CAE">
      <w:pPr>
        <w:pStyle w:val="Heading2"/>
      </w:pPr>
      <w:bookmarkStart w:id="38" w:name="the-three-functional-layers"/>
      <w:bookmarkStart w:id="39" w:name="_Toc225323388"/>
      <w:r>
        <w:t>3.3 The Three Functional Layers</w:t>
      </w:r>
      <w:bookmarkEnd w:id="38"/>
      <w:bookmarkEnd w:id="39"/>
    </w:p>
    <w:p w14:paraId="105505FF" w14:textId="77777777" w:rsidR="00EB2F85" w:rsidRDefault="00772CAE">
      <w:pPr>
        <w:pStyle w:val="FirstParagraph"/>
      </w:pPr>
      <w:r>
        <w:t>Alongside the vertical structure of institutional tiers, the MRV system operates through three horizontal functional layers. These layers define what is being monitored, not who is doing the monitoring. Each layer has a distinct analytical purpose, its own set of indicators, its own data sources and measurement cadence, and its own connection to the tier system through which monitoring responsibilities are assigned and escalation is triggered.</w:t>
      </w:r>
    </w:p>
    <w:p w14:paraId="10550600" w14:textId="77777777" w:rsidR="00EB2F85" w:rsidRDefault="00772CAE">
      <w:pPr>
        <w:pStyle w:val="BodyText"/>
      </w:pPr>
      <w:r>
        <w:rPr>
          <w:b/>
        </w:rPr>
        <w:t>Layer I — Ecological and Carbon Integrity</w:t>
      </w:r>
    </w:p>
    <w:p w14:paraId="10550601" w14:textId="77777777" w:rsidR="00EB2F85" w:rsidRDefault="00772CAE">
      <w:pPr>
        <w:pStyle w:val="BodyText"/>
      </w:pPr>
      <w:r>
        <w:t>Layer I is the foundational measurement layer of the system: it tracks the ecological condition of Ghana’s coastal mangroves and the carbon stocks they contain. The primary unit of measurement is mangrove extent. Each year, satellite imagery from the Sentinel-2 constellation — processed at 10–20 metre resolution using the Random Forest classification algorithm on Google Earth Engine (GEE), consistent with the methodology used in the 2025 baseline — produces an updated national mangrove extent layer. Annual comparison against the Year 0 baseline reveals net mangrove area changes, fragmentation trends, encroachment hotspots, and restoration expansion across the coastal landscape. For the Keta Lagoon Complex, where the 2025 baseline documented 20,717.95 hectares and a historical deforestation rate of 2.15% per year, the annual extent update is the primary early-warning instrument for detecting whether conservation pressure is holding or intensifying.</w:t>
      </w:r>
    </w:p>
    <w:p w14:paraId="10550602" w14:textId="77777777" w:rsidR="00EB2F85" w:rsidRDefault="00772CAE">
      <w:pPr>
        <w:pStyle w:val="BodyText"/>
      </w:pPr>
      <w:r>
        <w:t xml:space="preserve">Carbon stock monitoring operates on a longer cycle than extent monitoring, reflecting both the pace of biomass accumulation and the practical requirements of field-based measurement. The four carbon pools covered by the system — above-ground biomass (AGB), below-ground biomass (BGB), deadwood where relevant, and soil organic carbon (SOC) measured to 100 centimetres depth — are quantified through the PSP network established during the 2025 carbon inventory, in alignment with IPCC Wetlands Supplement guidance. Each PSP is georeferenced, digitally archived with a unique site identifier, and hosted on the national web platform. Biomass re-measurement is </w:t>
      </w:r>
      <w:r>
        <w:lastRenderedPageBreak/>
        <w:t>conducted every 3–5 years, with the cycle potentially accelerated where significant disturbance is detected or where restoration at scale requires more frequent verification. Community Change Agents maintain plot access and record DBH measurements in the intervals between full re-measurement exercises, providing a continuous presence at PSP locations that reduces the risk of undetected disturbance and supports data continuity between national measurement events.</w:t>
      </w:r>
    </w:p>
    <w:p w14:paraId="10550603" w14:textId="77777777" w:rsidR="00EB2F85" w:rsidRDefault="00772CAE">
      <w:pPr>
        <w:pStyle w:val="BodyText"/>
      </w:pPr>
      <w:r>
        <w:t>Restoration performance monitoring is the third component of Layer I. All restoration sites — including the early action hubs at Dzita in the Keta Lagoon Complex, Pute in the Songor Ramsar Site, and Sankor in Muni-Pomadze — are georeferenced and registered within the national web platform with unique site identifiers and linked to the responsible CREMA and district authority. Survival rate monitoring begins three months after planting, with follow-up at six months, twelve months, and annually thereafter until establishment is confirmed. A minimum survival threshold of 70% after Year 1 must be met; sites falling below this threshold trigger corrective restoration action through the district tier. Canopy development progression, evidence of grazing or re-cutting disturbance, and hydrological suitability are also assessed at each monitoring visit, providing the ecological depth that carbon restoration accounting requires.</w:t>
      </w:r>
    </w:p>
    <w:p w14:paraId="10550604" w14:textId="77777777" w:rsidR="00EB2F85" w:rsidRDefault="00772CAE">
      <w:pPr>
        <w:pStyle w:val="BodyText"/>
      </w:pPr>
      <w:r>
        <w:rPr>
          <w:b/>
        </w:rPr>
        <w:t>Layer II — Environmental Pressure Surveillance</w:t>
      </w:r>
    </w:p>
    <w:p w14:paraId="10550605" w14:textId="77777777" w:rsidR="00EB2F85" w:rsidRDefault="00772CAE">
      <w:pPr>
        <w:pStyle w:val="BodyText"/>
      </w:pPr>
      <w:r>
        <w:t>Layer II is the early-warning layer of the MRV system. Where Layer I measures the condition of ecosystems, Layer II monitors the forces acting on them. The distinction matters operationally: by the time ecological degradation is visible in a carbon stock re-measurement or an annual extent update, the drivers that caused it have often been active for months or years. A surveillance layer designed to detect pressure signals before they produce measurable ecological harm gives the institutional tier system the lead time it needs to respond effectively.</w:t>
      </w:r>
    </w:p>
    <w:p w14:paraId="10550606" w14:textId="77777777" w:rsidR="00EB2F85" w:rsidRDefault="00772CAE">
      <w:pPr>
        <w:pStyle w:val="BodyText"/>
      </w:pPr>
      <w:r>
        <w:t>The five core indicators that compose Layer II were selected to be operationally sustainable within the capacity constraints of Ghana’s coastal communities and district institutions, while remaining analytically sufficient to detect the primary degradation threats documented in the 2025 environmental pressure assessment. The first indicator — land conversion monitoring — uses annual satellite imagery analysis to track salt pan expansion in hectares per year, urban encroachment into wetland zones, and wetland filling or drainage. At Songor, where industrial salt mining at Elavanyo and Obane has driven severe mangrove degradation, this indicator directly monitors the primary threat driver. The second indicator — mangrove cutting signal detection — is field-based: quarterly transect walks by CREMA monitoring teams record the presence of fresh stumps, active cutting evidence, and charcoal kiln activity within designated monitoring zones. Detection is binary — present or absent per transect — rather than volumetric, prioritising the detection of incidence over the quantification of volume, in recognition of the fact that volume estimation at the required spatial scale would exceed community monitoring capacity. A Pressure Alert is triggered when two or more signals are present in the same monitoring period, initiating district-level review.</w:t>
      </w:r>
    </w:p>
    <w:p w14:paraId="10550607" w14:textId="77777777" w:rsidR="00EB2F85" w:rsidRDefault="00772CAE">
      <w:pPr>
        <w:pStyle w:val="BodyText"/>
      </w:pPr>
      <w:r>
        <w:t xml:space="preserve">The third indicator — fuel source shift monitoring — tracks annual household-level changes in primary cooking fuel dependence across a sample of 20–30 households per </w:t>
      </w:r>
      <w:r>
        <w:lastRenderedPageBreak/>
        <w:t xml:space="preserve">CREMA. At Keta, where fish-smoking operations drive intense and species-specific harvesting pressure on </w:t>
      </w:r>
      <w:r>
        <w:rPr>
          <w:i/>
        </w:rPr>
        <w:t>Rhizophora racemosa</w:t>
      </w:r>
      <w:r>
        <w:t xml:space="preserve"> — the red mangrove preferred for its heat output — a persistent finding of high mangrove wood dependence in annual fuel surveys signals elevated carbon risk and supports the case for alternative fuel and cookstove interventions. A declining trend indicates that pressure-reduction strategies are working. The fourth indicator — charcoal and extraction hotspot tracking — records the number and GPS location of active charcoal production sites on a quarterly basis, enabling spatial trend analysis and the identification of sites where commercial extraction activity is expanding. The fifth indicator — the conflict and access pressure index — records the number of land access disputes affecting wetland zones, unresolved cases, and conflicts between artisanal and industrial actors. This indicator captures the governance-ecology interface that is particularly acute at Songor, where the 2025 CREMA readiness assessment found that long-standing land tenure disputes between local communities and commercial salt mining operations had paralysed local leadership structures in communities including Pute and Elavanyo, creating the conditions for passive ecosystem degradation in the absence of any active enforcement presence.</w:t>
      </w:r>
    </w:p>
    <w:p w14:paraId="10550608" w14:textId="77777777" w:rsidR="00EB2F85" w:rsidRDefault="00772CAE">
      <w:pPr>
        <w:pStyle w:val="BodyText"/>
      </w:pPr>
      <w:r>
        <w:t>Each of these five indicators is connected to the escalation protocol that runs through the institutional tier system: detection at community level, notification to the CREMA Executive Committee, district review, technical assessment if required, and intervention — whether through community dialogue, enforcement action, restoration, or zoning review — with all actions documented in the national MRV database.</w:t>
      </w:r>
    </w:p>
    <w:p w14:paraId="10550609" w14:textId="77777777" w:rsidR="00EB2F85" w:rsidRDefault="00772CAE">
      <w:pPr>
        <w:pStyle w:val="BodyText"/>
      </w:pPr>
      <w:r>
        <w:rPr>
          <w:b/>
        </w:rPr>
        <w:t>Layer III — Governance and Safeguard Assurance</w:t>
      </w:r>
    </w:p>
    <w:p w14:paraId="1055060A" w14:textId="77777777" w:rsidR="00EB2F85" w:rsidRDefault="00772CAE">
      <w:pPr>
        <w:pStyle w:val="BodyText"/>
      </w:pPr>
      <w:r>
        <w:t>Layer III recognises a claim that the governance and CREMA readiness assessment makes explicitly and with evidence: long-term carbon integrity depends on stable, legitimate, and participatory governance at the landscape level. A monitoring system that measures carbon stocks and detects ecological pressures but cannot verify that the governance structures responsible for ecosystem stewardship are functioning inclusively and accountably is a system that will fail to protect what it is measuring.</w:t>
      </w:r>
    </w:p>
    <w:p w14:paraId="1055060B" w14:textId="77777777" w:rsidR="00EB2F85" w:rsidRDefault="00772CAE">
      <w:pPr>
        <w:pStyle w:val="BodyText"/>
      </w:pPr>
      <w:r>
        <w:t>The first component of Layer III is institutional representation monitoring. Each CREMA must maintain a minimum of 40% female representation in its executive leadership — a threshold grounded in the baseline finding that women are the primary users of mangrove resources, particularly in fuelwood-linked fish-smoking value chains, yet are systematically excluded from the formal decision-making structures that govern those resources. The governance readiness assessment documented this exclusion across all three Ramsar landscapes: female respondents in communities including Salo reported that despite their daily dependence on mangrove access, they had no voice in resource management decisions. CREMA governance compositions are reported annually, including changes in leadership structure and evidence of inclusive decision-making, providing the data needed to track whether the 40% threshold is being met and maintained over time.</w:t>
      </w:r>
    </w:p>
    <w:p w14:paraId="1055060C" w14:textId="77777777" w:rsidR="00EB2F85" w:rsidRDefault="00772CAE">
      <w:pPr>
        <w:pStyle w:val="BodyText"/>
      </w:pPr>
      <w:r>
        <w:t xml:space="preserve">The second component is transparency and benefit-sharing oversight. Where carbon finance mechanisms are activated, benefit-sharing frameworks must be formally </w:t>
      </w:r>
      <w:r>
        <w:lastRenderedPageBreak/>
        <w:t>documented and archived within the national MRV system. Monitoring includes documentation of benefit allocation mechanisms, public disclosure of financial flows, records of livelihood support distribution disaggregated by gender and youth participation where feasible, and evidence of community consultations regarding allocation decisions. This is not administratively optional: elite capture — the concentration of carbon revenues within existing power hierarchies — is identified in the governance assessment as a significant risk in all three landscapes if CREMA formation is allowed to reproduce the exclusionary structures of traditional governance rather than correct them.</w:t>
      </w:r>
    </w:p>
    <w:p w14:paraId="1055060D" w14:textId="77777777" w:rsidR="00EB2F85" w:rsidRDefault="00772CAE">
      <w:pPr>
        <w:pStyle w:val="BodyText"/>
      </w:pPr>
      <w:r>
        <w:t>The third component is the Grievance Redress Mechanism (GRM). Each blue carbon landscape is required to maintain a documented grievance submission pathway, designated focal persons for grievance handling, escalation procedures to district and national levels, and records of grievance resolution outcomes. The baseline finding that more than 80% of communities across the three landscapes rely on informal, unstructured grievance systems — oral complaint to the chief or elder, with no documentation, no defined process, and no escalation pathway — defines the gap this component is designed to address. The GRM monitoring indicators — number of grievances received, their nature, resolution rates, and time to resolution — provide the evidence base for assessing whether the governance layer is functioning as a legitimate safeguard or whether communities are experiencing unresolved conflicts that will, if left unaddressed, translate into disengagement from restoration and monitoring activities.</w:t>
      </w:r>
    </w:p>
    <w:p w14:paraId="1055060E" w14:textId="77777777" w:rsidR="00EB2F85" w:rsidRDefault="00772CAE">
      <w:pPr>
        <w:pStyle w:val="BodyText"/>
      </w:pPr>
      <w:r>
        <w:rPr>
          <w:b/>
        </w:rPr>
        <w:t>Summary Table: Three Functional Layers</w:t>
      </w:r>
    </w:p>
    <w:tbl>
      <w:tblPr>
        <w:tblStyle w:val="Table"/>
        <w:tblW w:w="5000" w:type="pct"/>
        <w:tblLook w:val="07E0" w:firstRow="1" w:lastRow="1" w:firstColumn="1" w:lastColumn="1" w:noHBand="1" w:noVBand="1"/>
      </w:tblPr>
      <w:tblGrid>
        <w:gridCol w:w="2490"/>
        <w:gridCol w:w="3279"/>
        <w:gridCol w:w="3807"/>
      </w:tblGrid>
      <w:tr w:rsidR="00EB2F85" w14:paraId="10550612" w14:textId="77777777">
        <w:tc>
          <w:tcPr>
            <w:tcW w:w="0" w:type="auto"/>
            <w:tcBorders>
              <w:bottom w:val="single" w:sz="0" w:space="0" w:color="auto"/>
            </w:tcBorders>
            <w:vAlign w:val="bottom"/>
          </w:tcPr>
          <w:p w14:paraId="1055060F" w14:textId="77777777" w:rsidR="00EB2F85" w:rsidRDefault="00772CAE">
            <w:pPr>
              <w:pStyle w:val="Compact"/>
            </w:pPr>
            <w:r>
              <w:t>Layer</w:t>
            </w:r>
          </w:p>
        </w:tc>
        <w:tc>
          <w:tcPr>
            <w:tcW w:w="0" w:type="auto"/>
            <w:tcBorders>
              <w:bottom w:val="single" w:sz="0" w:space="0" w:color="auto"/>
            </w:tcBorders>
            <w:vAlign w:val="bottom"/>
          </w:tcPr>
          <w:p w14:paraId="10550610" w14:textId="77777777" w:rsidR="00EB2F85" w:rsidRDefault="00772CAE">
            <w:pPr>
              <w:pStyle w:val="Compact"/>
            </w:pPr>
            <w:r>
              <w:t>Focus</w:t>
            </w:r>
          </w:p>
        </w:tc>
        <w:tc>
          <w:tcPr>
            <w:tcW w:w="0" w:type="auto"/>
            <w:tcBorders>
              <w:bottom w:val="single" w:sz="0" w:space="0" w:color="auto"/>
            </w:tcBorders>
            <w:vAlign w:val="bottom"/>
          </w:tcPr>
          <w:p w14:paraId="10550611" w14:textId="77777777" w:rsidR="00EB2F85" w:rsidRDefault="00772CAE">
            <w:pPr>
              <w:pStyle w:val="Compact"/>
            </w:pPr>
            <w:r>
              <w:t>Key Outputs</w:t>
            </w:r>
          </w:p>
        </w:tc>
      </w:tr>
      <w:tr w:rsidR="00EB2F85" w14:paraId="10550616" w14:textId="77777777">
        <w:tc>
          <w:tcPr>
            <w:tcW w:w="0" w:type="auto"/>
          </w:tcPr>
          <w:p w14:paraId="10550613" w14:textId="77777777" w:rsidR="00EB2F85" w:rsidRDefault="00772CAE">
            <w:pPr>
              <w:pStyle w:val="Compact"/>
            </w:pPr>
            <w:r>
              <w:t>Layer I — Ecological and Carbon Integrity</w:t>
            </w:r>
          </w:p>
        </w:tc>
        <w:tc>
          <w:tcPr>
            <w:tcW w:w="0" w:type="auto"/>
          </w:tcPr>
          <w:p w14:paraId="10550614" w14:textId="77777777" w:rsidR="00EB2F85" w:rsidRDefault="00772CAE">
            <w:pPr>
              <w:pStyle w:val="Compact"/>
            </w:pPr>
            <w:r>
              <w:t>Mangrove extent, restoration performance, carbon stock measurement and re-measurement</w:t>
            </w:r>
          </w:p>
        </w:tc>
        <w:tc>
          <w:tcPr>
            <w:tcW w:w="0" w:type="auto"/>
          </w:tcPr>
          <w:p w14:paraId="10550615" w14:textId="77777777" w:rsidR="00EB2F85" w:rsidRDefault="00772CAE">
            <w:pPr>
              <w:pStyle w:val="Compact"/>
            </w:pPr>
            <w:r>
              <w:t>Annual extent change maps; restoration site survival reports; PSP carbon stock updates every 3–5 years</w:t>
            </w:r>
          </w:p>
        </w:tc>
      </w:tr>
      <w:tr w:rsidR="00EB2F85" w14:paraId="1055061A" w14:textId="77777777">
        <w:tc>
          <w:tcPr>
            <w:tcW w:w="0" w:type="auto"/>
          </w:tcPr>
          <w:p w14:paraId="10550617" w14:textId="77777777" w:rsidR="00EB2F85" w:rsidRDefault="00772CAE">
            <w:pPr>
              <w:pStyle w:val="Compact"/>
            </w:pPr>
            <w:r>
              <w:t>Layer II — Environmental Pressure Surveillance</w:t>
            </w:r>
          </w:p>
        </w:tc>
        <w:tc>
          <w:tcPr>
            <w:tcW w:w="0" w:type="auto"/>
          </w:tcPr>
          <w:p w14:paraId="10550618" w14:textId="77777777" w:rsidR="00EB2F85" w:rsidRDefault="00772CAE">
            <w:pPr>
              <w:pStyle w:val="Compact"/>
            </w:pPr>
            <w:r>
              <w:t>Drivers of degradation, early-warning pressure signals, leakage risk management</w:t>
            </w:r>
          </w:p>
        </w:tc>
        <w:tc>
          <w:tcPr>
            <w:tcW w:w="0" w:type="auto"/>
          </w:tcPr>
          <w:p w14:paraId="10550619" w14:textId="77777777" w:rsidR="00EB2F85" w:rsidRDefault="00772CAE">
            <w:pPr>
              <w:pStyle w:val="Compact"/>
            </w:pPr>
            <w:r>
              <w:t>Quarterly pressure indicator reports; Pressure Alerts and escalation triggers; annual fuel source shift assessments</w:t>
            </w:r>
          </w:p>
        </w:tc>
      </w:tr>
      <w:tr w:rsidR="00EB2F85" w14:paraId="1055061E" w14:textId="77777777">
        <w:tc>
          <w:tcPr>
            <w:tcW w:w="0" w:type="auto"/>
          </w:tcPr>
          <w:p w14:paraId="1055061B" w14:textId="77777777" w:rsidR="00EB2F85" w:rsidRDefault="00772CAE">
            <w:pPr>
              <w:pStyle w:val="Compact"/>
            </w:pPr>
            <w:r>
              <w:t>Layer III — Governance and Safeguard Assurance</w:t>
            </w:r>
          </w:p>
        </w:tc>
        <w:tc>
          <w:tcPr>
            <w:tcW w:w="0" w:type="auto"/>
          </w:tcPr>
          <w:p w14:paraId="1055061C" w14:textId="77777777" w:rsidR="00EB2F85" w:rsidRDefault="00772CAE">
            <w:pPr>
              <w:pStyle w:val="Compact"/>
            </w:pPr>
            <w:r>
              <w:t>Inclusive participation, benefit transparency, conflict monitoring, grievance redress</w:t>
            </w:r>
          </w:p>
        </w:tc>
        <w:tc>
          <w:tcPr>
            <w:tcW w:w="0" w:type="auto"/>
          </w:tcPr>
          <w:p w14:paraId="1055061D" w14:textId="77777777" w:rsidR="00EB2F85" w:rsidRDefault="00772CAE">
            <w:pPr>
              <w:pStyle w:val="Compact"/>
            </w:pPr>
            <w:r>
              <w:t>Annual governance composition reports; GRM records and resolution rates; benefit-sharing documentation</w:t>
            </w:r>
          </w:p>
        </w:tc>
      </w:tr>
    </w:tbl>
    <w:p w14:paraId="1055061F" w14:textId="77777777" w:rsidR="00EB2F85" w:rsidRDefault="00000000">
      <w:r>
        <w:pict w14:anchorId="10550841">
          <v:rect id="_x0000_i1048" style="width:0;height:1.5pt" o:hralign="center" o:hrstd="t" o:hr="t"/>
        </w:pict>
      </w:r>
    </w:p>
    <w:p w14:paraId="10550620" w14:textId="77777777" w:rsidR="00EB2F85" w:rsidRDefault="00772CAE">
      <w:pPr>
        <w:pStyle w:val="Heading2"/>
      </w:pPr>
      <w:bookmarkStart w:id="40" w:name="integration-how-the-layers-work-together"/>
      <w:bookmarkStart w:id="41" w:name="_Toc225323389"/>
      <w:r>
        <w:t>3.4 Integration — How the Layers Work Together</w:t>
      </w:r>
      <w:bookmarkEnd w:id="40"/>
      <w:bookmarkEnd w:id="41"/>
    </w:p>
    <w:p w14:paraId="10550621" w14:textId="77777777" w:rsidR="00EB2F85" w:rsidRDefault="00772CAE">
      <w:pPr>
        <w:pStyle w:val="FirstParagraph"/>
      </w:pPr>
      <w:r>
        <w:t>The three layers are not parallel silos that generate independent streams of data. They are an integrated system in which information produced by each layer informs the interpretation and response within the others. This integration is what makes the MRV architecture coherent rather than merely comprehensive.</w:t>
      </w:r>
    </w:p>
    <w:p w14:paraId="10550622" w14:textId="77777777" w:rsidR="00EB2F85" w:rsidRDefault="00772CAE">
      <w:pPr>
        <w:pStyle w:val="BodyText"/>
      </w:pPr>
      <w:r>
        <w:lastRenderedPageBreak/>
        <w:t>The most operationally significant integration is between Layer III and Layers I and II. Governance instability is treated in this system not as a social outcome to be managed separately from ecological outcomes, but as a risk signal for carbon permanence. The fifth indicator of Layer II — the conflict and access pressure index — captures land tenure disputes and resource access conflicts that, when escalating, signal the breakdown of the social conditions under which ecosystem stewardship is possible. A community where land tenure disputes are unresolved is a community where restoration plantings may be cleared, where PSP sites may be disturbed or denied access, where the reporting relationships of the monitoring tier system may be disrupted by factional tensions. The governance assessment documented precisely this dynamic at Songor, where deep social fractures around salt mining rights had created conditions in which conventional CREMA formation — let alone functioning community-based monitoring — could not proceed without prior conflict mediation. In the MRV architecture, a rising conflict and access pressure index at Songor communities such as Pute is cross-referenced against the land conversion monitoring outputs of Layer I, with the expectation that land tenure instability and salt pan expansion will co-locate spatially and temporally.</w:t>
      </w:r>
    </w:p>
    <w:p w14:paraId="10550623" w14:textId="77777777" w:rsidR="00EB2F85" w:rsidRDefault="00772CAE">
      <w:pPr>
        <w:pStyle w:val="BodyText"/>
      </w:pPr>
      <w:r>
        <w:t>The integration between Layer II and Layer I operates in both analytical and responsive directions. Environmental pressure data — rising cutting incidence, charcoal hotspot expansion, increasing fuel dependence — is cross-referenced against PSP locations and carbon stock projections, enabling the system to assess whether pressure signals are operating within the spatial proximity of carbon monitoring sites and whether they are likely to produce detectable carbon stock change before the next re-measurement event. This cross-referencing capability means that the re-measurement cycle can be accelerated in sites where pressure signals have reached threshold levels, rather than proceeding mechanically on a fixed 3–5 year schedule regardless of conditions on the ground. Conversely, Layer I ecological outputs feed back into Layer II prioritisation: where satellite analysis detects net mangrove loss or significant fragmentation in a given area, the pressure surveillance system is directed to intensify monitoring in that location to identify the causal driver.</w:t>
      </w:r>
    </w:p>
    <w:p w14:paraId="10550624" w14:textId="77777777" w:rsidR="00EB2F85" w:rsidRDefault="00772CAE">
      <w:pPr>
        <w:pStyle w:val="BodyText"/>
      </w:pPr>
      <w:r>
        <w:t>Layer III governance indicators, similarly, inform Layer II pressure interpretation. A deteriorating grievance resolution rate in a community may precede an increase in reported cutting incidence, because communities that perceive governance as unresponsive or inequitable are less likely to enforce the collective norms that discourage extraction. A decline in female representation in CREMA leadership may reduce the effectiveness of fuel source shift monitoring, since women, as the primary fuelwood users, hold observational knowledge of extraction trends that male-dominated governance structures may not capture. These linkages are not abstract; they reflect causal pathways documented in the social-ecological analysis of the three Ramsar landscapes, and they are what distinguishes a genuinely integrated monitoring system from a collection of independently managed indicator sets.</w:t>
      </w:r>
    </w:p>
    <w:p w14:paraId="10550625" w14:textId="77777777" w:rsidR="00EB2F85" w:rsidRDefault="00000000">
      <w:r>
        <w:pict w14:anchorId="10550842">
          <v:rect id="_x0000_i1049" style="width:0;height:1.5pt" o:hralign="center" o:hrstd="t" o:hr="t"/>
        </w:pict>
      </w:r>
    </w:p>
    <w:p w14:paraId="10550626" w14:textId="77777777" w:rsidR="00EB2F85" w:rsidRDefault="00772CAE">
      <w:pPr>
        <w:pStyle w:val="Heading2"/>
      </w:pPr>
      <w:bookmarkStart w:id="42" w:name="Xc0f64645d7147eb403b3dce261a4985f88e1ef6"/>
      <w:bookmarkStart w:id="43" w:name="_Toc225323390"/>
      <w:r>
        <w:lastRenderedPageBreak/>
        <w:t>3.5 The Digital Platform as the Connective Architecture</w:t>
      </w:r>
      <w:bookmarkEnd w:id="42"/>
      <w:bookmarkEnd w:id="43"/>
    </w:p>
    <w:p w14:paraId="10550627" w14:textId="77777777" w:rsidR="00EB2F85" w:rsidRDefault="00772CAE">
      <w:pPr>
        <w:pStyle w:val="FirstParagraph"/>
      </w:pPr>
      <w:r>
        <w:t>The institutional tiers and functional layers described in this chapter generate monitoring data that spans three Ramsar landscapes, four tiers of institutional actors, three distinct analytical domains, and monitoring cycles ranging from quarterly field observation to five-yearly PSP re-measurement. The digital platform described in Chapter 8 is the connective architecture that makes this integrated system operable at national scale.</w:t>
      </w:r>
    </w:p>
    <w:p w14:paraId="10550628" w14:textId="77777777" w:rsidR="00EB2F85" w:rsidRDefault="00772CAE">
      <w:pPr>
        <w:pStyle w:val="BodyText"/>
      </w:pPr>
      <w:r>
        <w:t>The web-based spatial monitoring platform, developed and maintained by GAB Climate Smart Investment Ltd for MLNR and MESTI, aggregates data submissions from all four institutional tiers and makes them available through role-differentiated interfaces: national agencies manage data integrity and produce analytical outputs; district authorities review area-specific pressure trends and access CREMA submission records; CREMA members upload field observations and access their monitoring zone maps through smartphone-compatible interfaces. The platform hosts PSP locations, restoration site registrations, annual mangrove extent layers, pressure alert overlays, charcoal hotspot mappings, conflict-linked zone records, and governance composition summaries. It is the single point of integration that allows the Annual National Blue Carbon MRV Report to be produced from a coherent, quality-controlled, nationally archived data record rather than from fragmented submissions reconciled manually at reporting time. The platform’s design, data architecture, role management structure, and relationship to national reporting obligations are documented in full in Chapter 8.</w:t>
      </w:r>
    </w:p>
    <w:p w14:paraId="10550629" w14:textId="77777777" w:rsidR="00EB2F85" w:rsidRDefault="00000000">
      <w:r>
        <w:pict w14:anchorId="10550843">
          <v:rect id="_x0000_i1050" style="width:0;height:1.5pt" o:hralign="center" o:hrstd="t" o:hr="t"/>
        </w:pict>
      </w:r>
    </w:p>
    <w:p w14:paraId="1055062A" w14:textId="77777777" w:rsidR="00EB2F85" w:rsidRDefault="00772CAE">
      <w:pPr>
        <w:pStyle w:val="FirstParagraph"/>
      </w:pPr>
      <w:r>
        <w:rPr>
          <w:i/>
        </w:rPr>
        <w:t>Chapter 3 authored: March 2026. Lead source: blue_carbon_mrv_report.md (Sections 2 and 3); governance_institutions_and_crema_readiness_report.md. Approved numbers and institutional hierarchy per AUTHORING_GUIDE.md Section 6. Quality-tested against Section 5 criteria.</w:t>
      </w:r>
    </w:p>
    <w:p w14:paraId="1055062B" w14:textId="77777777" w:rsidR="00EB2F85" w:rsidRDefault="00000000">
      <w:r>
        <w:pict w14:anchorId="10550844">
          <v:rect id="_x0000_i1051" style="width:0;height:1.5pt" o:hralign="center" o:hrstd="t" o:hr="t"/>
        </w:pict>
      </w:r>
    </w:p>
    <w:p w14:paraId="1055062C" w14:textId="77777777" w:rsidR="00EB2F85" w:rsidRDefault="00772CAE">
      <w:pPr>
        <w:pStyle w:val="Heading1"/>
      </w:pPr>
      <w:bookmarkStart w:id="44" w:name="X12c1cee99947e1d84637037888618589f4693ca"/>
      <w:bookmarkStart w:id="45" w:name="_Toc225323391"/>
      <w:r>
        <w:t>Chapter 4: Ecological and Carbon Integrity Layer</w:t>
      </w:r>
      <w:bookmarkEnd w:id="44"/>
      <w:bookmarkEnd w:id="45"/>
    </w:p>
    <w:p w14:paraId="1055062D" w14:textId="77777777" w:rsidR="00EB2F85" w:rsidRDefault="00000000">
      <w:r>
        <w:pict w14:anchorId="10550845">
          <v:rect id="_x0000_i1052" style="width:0;height:1.5pt" o:hralign="center" o:hrstd="t" o:hr="t"/>
        </w:pict>
      </w:r>
    </w:p>
    <w:p w14:paraId="1055062E" w14:textId="77777777" w:rsidR="00EB2F85" w:rsidRDefault="00772CAE">
      <w:pPr>
        <w:pStyle w:val="Heading2"/>
      </w:pPr>
      <w:bookmarkStart w:id="46" w:name="X5edd6db579bce851cf201e3f4b31f66baa96f7e"/>
      <w:bookmarkStart w:id="47" w:name="_Toc225323392"/>
      <w:r>
        <w:t>4.1 Purpose of the Ecological and Carbon Integrity Layer</w:t>
      </w:r>
      <w:bookmarkEnd w:id="46"/>
      <w:bookmarkEnd w:id="47"/>
    </w:p>
    <w:p w14:paraId="1055062F" w14:textId="77777777" w:rsidR="00EB2F85" w:rsidRDefault="00772CAE">
      <w:pPr>
        <w:pStyle w:val="FirstParagraph"/>
      </w:pPr>
      <w:r>
        <w:t>Layer I of Ghana’s National Blue Carbon Monitoring, Reporting, and Verification (MRV) framework is the measurement foundation on which all subsequent carbon accounting, reporting, and market participation depends. Its purpose is precise: to ensure that the spatial extent of Ghana’s coastal mangroves, the ecological health of restored and conserved areas, and the carbon stocks held in mangrove biomass and soils are continuously monitored, periodically re-measured, correctly attributed, and recorded in a form that meets the requirements of both national climate reporting and international carbon standard compliance.</w:t>
      </w:r>
    </w:p>
    <w:p w14:paraId="10550630" w14:textId="77777777" w:rsidR="00EB2F85" w:rsidRDefault="00772CAE">
      <w:pPr>
        <w:pStyle w:val="BodyText"/>
      </w:pPr>
      <w:r>
        <w:t xml:space="preserve">The distinction between ecological monitoring and carbon monitoring is not merely technical. Mangrove ecosystems accumulate carbon slowly — above-ground biomass </w:t>
      </w:r>
      <w:r>
        <w:lastRenderedPageBreak/>
        <w:t>in the historically cut stands of the Keta Lagoon Complex develops over years and decades, not seasons — but they can lose carbon rapidly. Fuelwood cutting events, land conversion episodes, or saltwater intrusion caused by coastal retreat along the Keta sandbar can release stored carbon in a matter of weeks. A monitoring layer designed around annual or multi-year audit cycles alone would be structurally incapable of detecting these events in time to prevent or mitigate the losses they produce. Layer I therefore operates at two temporal scales simultaneously: continuous satellite-based surveillance of mangrove extent and annual extent change, and periodic field-based re-measurement of carbon stocks through the Permanent Sample Plot (PSP) network established during the 2025 carbon inventory. These two data streams are complementary rather than redundant. Extent monitoring provides the early signal; stock re-measurement provides the quantified account.</w:t>
      </w:r>
    </w:p>
    <w:p w14:paraId="10550631" w14:textId="77777777" w:rsidR="00EB2F85" w:rsidRDefault="00772CAE">
      <w:pPr>
        <w:pStyle w:val="BodyText"/>
      </w:pPr>
      <w:r>
        <w:t>The Ecological and Carbon Integrity Layer operates within the institutional architecture described in Chapter 3. Community Change Agents (CCAs) and Community Resource Management Area (CREMA) members supply the field presence that sustains PSP access and validates spatial monitoring outputs between national measurement events. The Wildlife Division of the Forestry Commission provides district-level validation. The Ministry of Lands and Natural Resources (MLNR) and the Ministry of Environment, Science, Technology and Innovation (MESTI) hold national oversight and analytical responsibility. This vertical integration is not administrative convention; it reflects the practical reality that no single institution possesses both the field density and the analytical capacity that continuous carbon integrity monitoring requires. The system functions because responsibilities are clearly stratified, not because any one tier attempts to perform all of them.</w:t>
      </w:r>
    </w:p>
    <w:p w14:paraId="10550632" w14:textId="77777777" w:rsidR="00EB2F85" w:rsidRDefault="00000000">
      <w:r>
        <w:pict w14:anchorId="10550846">
          <v:rect id="_x0000_i1053" style="width:0;height:1.5pt" o:hralign="center" o:hrstd="t" o:hr="t"/>
        </w:pict>
      </w:r>
    </w:p>
    <w:p w14:paraId="10550633" w14:textId="77777777" w:rsidR="00EB2F85" w:rsidRDefault="00772CAE">
      <w:pPr>
        <w:pStyle w:val="Heading2"/>
      </w:pPr>
      <w:bookmarkStart w:id="48" w:name="carbon-pools-assessed"/>
      <w:bookmarkStart w:id="49" w:name="_Toc225323393"/>
      <w:r>
        <w:t>4.2 Carbon Pools Assessed</w:t>
      </w:r>
      <w:bookmarkEnd w:id="48"/>
      <w:bookmarkEnd w:id="49"/>
    </w:p>
    <w:p w14:paraId="10550634" w14:textId="77777777" w:rsidR="00EB2F85" w:rsidRDefault="00772CAE">
      <w:pPr>
        <w:pStyle w:val="FirstParagraph"/>
      </w:pPr>
      <w:r>
        <w:t>Ghana’s national carbon monitoring system tracks four carbon pools, aligned with the methodology of the Intergovernmental Panel on Climate Change (IPCC) Wetlands Supplement — the authoritative international reference for blue carbon accounting in tidal wetland ecosystems. The four pools are above-ground biomass (AGB), below-ground biomass (BGB), deadwood where ecologically relevant, and soil organic carbon (SOC) measured from the surface to 100 centimetres depth.</w:t>
      </w:r>
    </w:p>
    <w:p w14:paraId="10550635" w14:textId="77777777" w:rsidR="00EB2F85" w:rsidRDefault="00772CAE">
      <w:pPr>
        <w:pStyle w:val="BodyText"/>
      </w:pPr>
      <w:r>
        <w:t xml:space="preserve">Above-ground biomass covers all living woody material above the soil surface, measured through diameter at breast height (DBH) and height measurements at each PSP. In the Keta Lagoon Complex, where </w:t>
      </w:r>
      <w:r>
        <w:rPr>
          <w:i/>
        </w:rPr>
        <w:t>Rhizophora racemosa</w:t>
      </w:r>
      <w:r>
        <w:t xml:space="preserve"> (Red Mangrove) dominates the waterward fringes and </w:t>
      </w:r>
      <w:r>
        <w:rPr>
          <w:i/>
        </w:rPr>
        <w:t>Avicennia germinans</w:t>
      </w:r>
      <w:r>
        <w:t xml:space="preserve"> (Black Mangrove) occupies the landward and more saline zones, DBH data from the 2025 carbon inventory indicate trees generally shorter than primary forest benchmarks due to the historical cutting pressure documented across communities including Agbatsivi, Galotse, Bomigo, and Salo. This suppressed stature reflects the “death by a thousand cuts” dynamic characteristic of Keta — incremental harvesting events that prevent canopy maturation — and has direct implications for AGB stock estimates and for the carbon sequestration trajectory that restoration and conservation activities are intended to reverse. Below-</w:t>
      </w:r>
      <w:r>
        <w:lastRenderedPageBreak/>
        <w:t xml:space="preserve">ground biomass captures the living root and rhizome systems that mangrove trees invest heavily in: for </w:t>
      </w:r>
      <w:r>
        <w:rPr>
          <w:i/>
        </w:rPr>
        <w:t>Rhizophora</w:t>
      </w:r>
      <w:r>
        <w:t xml:space="preserve"> species, the complex prop root architecture anchors both the tree and, crucially, the sediment, making BGB a pool of both carbon significance and structural importance to the physical stability of the mangrove system.</w:t>
      </w:r>
    </w:p>
    <w:p w14:paraId="10550636" w14:textId="77777777" w:rsidR="00EB2F85" w:rsidRDefault="00772CAE">
      <w:pPr>
        <w:pStyle w:val="BodyText"/>
      </w:pPr>
      <w:r>
        <w:t>Deadwood — standing dead stems and fallen coarse woody debris — is included in the monitoring framework where site conditions make it ecologically relevant. In recently degraded or recovering stands, deadwood can represent a significant proportion of total carbon stock and should not be omitted from the accounting without justification.</w:t>
      </w:r>
    </w:p>
    <w:p w14:paraId="10550637" w14:textId="77777777" w:rsidR="00EB2F85" w:rsidRDefault="00772CAE">
      <w:pPr>
        <w:pStyle w:val="BodyText"/>
      </w:pPr>
      <w:r>
        <w:t>The most analytically significant pool in mangrove ecosystems is soil organic carbon, and its treatment in this framework reflects both the ecological reality of tidal wetland soils and the methodological requirements of international carbon standards. Tidal wetland soils are fundamentally different from upland soils in their carbon dynamics. Anaerobic conditions below the waterlogged surface suppress the decomposition pathways that in terrestrial soils would oxidise organic matter and release it as carbon dioxide. Organic inputs — leaf litter, root material, sediment-associated carbon — accumulate in layers rather than cycling rapidly, producing dense, peaty, carbon-rich profiles that extend many metres below the surface. Sampling to a depth of 100 centimetres captures the most active zone of this accumulation and aligns with IPCC Wetlands Supplement guidance on the minimum sampling depth required for credible tidal wetland carbon inventories. The 2025 soil measurements at the Salo Permanent Sample Plot 1 in the Keta Lagoon Complex confirm the characteristic pattern: high total organic carbon (TOC) concentrations near the surface, declining with depth through a profile that reflects the low bulk density and high porosity of undisturbed mangrove peat. The sheer volume of carbon held in this soil pool — orders of magnitude greater per hectare than the above-ground stock in many mangrove stands — makes SOC the dominant carbon pool in the Ghanaian assessment and the pool most at risk from drainage, saltwater regime disruption, or conversion of mangrove land to other uses such as the salt pan expansion documented at Elavanyo and Obane in the Songor Ramsar Site, where mangrove soil carbon accumulated over centuries can be lost within years of drainage and exposure to aerobic decomposition. The 100 cm depth protocol is not arbitrary; it is the minimum required to capture the soil carbon reality of the ecosystems this framework governs.</w:t>
      </w:r>
    </w:p>
    <w:p w14:paraId="10550638" w14:textId="77777777" w:rsidR="00EB2F85" w:rsidRDefault="00772CAE">
      <w:pPr>
        <w:pStyle w:val="BodyText"/>
      </w:pPr>
      <w:r>
        <w:t>The combination of these four pools, measured and accounted for within a single nationally managed system, gives Ghana a carbon accounting framework that is both methodologically defensible under international standards such as Verra/VCS, Gold Standard, and Plan Vivo, and institutionally rooted in the government structures described in Chapter 3.</w:t>
      </w:r>
    </w:p>
    <w:p w14:paraId="10550639" w14:textId="77777777" w:rsidR="00EB2F85" w:rsidRDefault="00000000">
      <w:r>
        <w:pict w14:anchorId="10550847">
          <v:rect id="_x0000_i1054" style="width:0;height:1.5pt" o:hralign="center" o:hrstd="t" o:hr="t"/>
        </w:pict>
      </w:r>
    </w:p>
    <w:p w14:paraId="1055063A" w14:textId="77777777" w:rsidR="00EB2F85" w:rsidRDefault="00772CAE">
      <w:pPr>
        <w:pStyle w:val="Heading2"/>
      </w:pPr>
      <w:bookmarkStart w:id="50" w:name="permanent-sample-plots"/>
      <w:bookmarkStart w:id="51" w:name="_Toc225323394"/>
      <w:r>
        <w:t>4.3 Permanent Sample Plots</w:t>
      </w:r>
      <w:bookmarkEnd w:id="50"/>
      <w:bookmarkEnd w:id="51"/>
    </w:p>
    <w:p w14:paraId="1055063B" w14:textId="77777777" w:rsidR="00EB2F85" w:rsidRDefault="00772CAE">
      <w:pPr>
        <w:pStyle w:val="FirstParagraph"/>
      </w:pPr>
      <w:r>
        <w:t xml:space="preserve">The PSP network is the physical backbone of Ghana’s carbon stock monitoring system. PSPs establish fixed, georeferenced measurement points within mangrove ecosystems where repeated biomass and soil measurements can be conducted over time, providing </w:t>
      </w:r>
      <w:r>
        <w:lastRenderedPageBreak/>
        <w:t>the long-term data record that carbon stock change detection requires. A single measurement — however rigorously conducted — can describe what carbon is present at one moment. Only a network of fixed plots, re-measured at consistent intervals using consistent methodology, can determine whether carbon stocks are increasing, decreasing, or stable, and attribute those changes to the drivers that produced them.</w:t>
      </w:r>
    </w:p>
    <w:p w14:paraId="1055063C" w14:textId="77777777" w:rsidR="00EB2F85" w:rsidRDefault="00772CAE">
      <w:pPr>
        <w:pStyle w:val="BodyText"/>
      </w:pPr>
      <w:r>
        <w:t>Each PSP is georeferenced and assigned a unique identification code, archived in the national web platform alongside its stratification category, plot boundary coordinates, and full measurement history. This digital archiving is not a convenience; it is a methodological requirement. If the physical markers of a PSP are disturbed — as is possible in the dynamic, tidally influenced landscapes of the Keta Lagoon fringe — the GPS coordinates and plot record held in the national system allow field teams to relocate the measurement points precisely. PSPs are linked to the responsible CREMA and district authority, ensuring that community monitoring teams know which plots fall within their operational zone and that national technical agencies can trace any data anomaly back to its source.</w:t>
      </w:r>
    </w:p>
    <w:p w14:paraId="1055063D" w14:textId="77777777" w:rsidR="00EB2F85" w:rsidRDefault="00772CAE">
      <w:pPr>
        <w:pStyle w:val="BodyText"/>
      </w:pPr>
      <w:r>
        <w:t xml:space="preserve">The Salo PSP — formally designated Salo Permanent Sample Plot 1 and georeferenced at its location within the Keta Lagoon Complex — exemplifies the operational logic of the PSP system. Salo is a community within the Keta Lagoon fringe that is both deeply integrated into the mangrove-dependent economy and proximate to the intensive harvesting pressure documented in the 2025 baseline. The plot captures the carbon dynamics of a stand subject to real-world pressure — not a protected reference forest, but a working landscape where conservation and use exist in tension. Tree measurements collected at Salo in 2025 include five sample trees representing the species composition typical of the site: the mixed </w:t>
      </w:r>
      <w:r>
        <w:rPr>
          <w:i/>
        </w:rPr>
        <w:t>Rhizophora racemosa</w:t>
      </w:r>
      <w:r>
        <w:t xml:space="preserve"> and </w:t>
      </w:r>
      <w:r>
        <w:rPr>
          <w:i/>
        </w:rPr>
        <w:t>Avicennia germinans</w:t>
      </w:r>
      <w:r>
        <w:t xml:space="preserve"> assemblage that characterises the Keta Lagoon fringes. These measurements — DBH, tree height, and species identification — feed directly into above-ground biomass calculations using established allometric equations, while soil measurements from the same plot provide the SOC profile against which future re-measurement will be compared.</w:t>
      </w:r>
    </w:p>
    <w:p w14:paraId="1055063E" w14:textId="77777777" w:rsidR="00EB2F85" w:rsidRDefault="00772CAE">
      <w:pPr>
        <w:pStyle w:val="BodyText"/>
      </w:pPr>
      <w:r>
        <w:t xml:space="preserve">At each PSP, the variables measured span the full ecological picture that carbon accounting and restoration performance assessment require. Species composition is recorded to track shifts in community structure over time — a change from </w:t>
      </w:r>
      <w:r>
        <w:rPr>
          <w:i/>
        </w:rPr>
        <w:t>Rhizophora</w:t>
      </w:r>
      <w:r>
        <w:t xml:space="preserve"> to </w:t>
      </w:r>
      <w:r>
        <w:rPr>
          <w:i/>
        </w:rPr>
        <w:t>Avicennia</w:t>
      </w:r>
      <w:r>
        <w:t xml:space="preserve"> dominance, for example, may signal altered hydrology or increased salinity pressure rather than random succession, and can only be detected through species-level records. DBH of all trees within the plot above the minimum threshold diameter is measured to allow biomass calculation and to track individual tree growth between measurement events. Tree height is recorded to complement DBH-based allometric estimates and to capture structural changes in the canopy. Canopy cover is assessed to provide an integrative measure of stand density that can be visually compared with satellite imagery. Recruitment and mortality are recorded to characterise the demographic health of the stand: a plot showing healthy sapling recruitment is a recovering stand; a plot showing elevated mortality with no recruitment is under active pressure. Taken together, these variables at each PSP provide not just a carbon number but an ecological narrative of each plot’s condition and trajectory.</w:t>
      </w:r>
    </w:p>
    <w:p w14:paraId="1055063F" w14:textId="77777777" w:rsidR="00EB2F85" w:rsidRDefault="00772CAE">
      <w:pPr>
        <w:pStyle w:val="BodyText"/>
      </w:pPr>
      <w:r>
        <w:lastRenderedPageBreak/>
        <w:t>CCAs support PSP access maintenance and DBH recording in the intervals between full national re-measurement exercises. This community-level engagement at PSPs serves two purposes. It provides a continuous presence at measurement locations that reduces the risk of undetected disturbance — a CCA who visits the Salo PSP quarterly knows immediately if trees have been cut since the previous visit, whereas a national team visiting every three to five years would see only the outcome, not the event. It also builds the technical familiarity and institutional memory within communities that sustained long-term monitoring requires: a CCA trained in 2025 becomes a resource for training their successor in 2030.</w:t>
      </w:r>
    </w:p>
    <w:p w14:paraId="10550640" w14:textId="77777777" w:rsidR="00EB2F85" w:rsidRDefault="00772CAE">
      <w:pPr>
        <w:pStyle w:val="BodyText"/>
      </w:pPr>
      <w:r>
        <w:t>The biomass re-measurement cycle for the PSP network is every three to five years, consistent with the IPCC Wetlands Supplement guidance on re-measurement intervals for tidal wetland carbon inventories. This cycle reflects the rate of measurable biomass change in mangrove stands — sufficiently frequent to detect ecologically meaningful carbon stock shifts, but not so frequent as to make the field cost of national re-measurement prohibitive. Where significant disturbance is detected between scheduled re-measurement events — through CCA reporting, satellite extent analysis, or district-level pressure alerts — the re-measurement cycle may be accelerated at affected PSPs to ensure that carbon losses are quantified in the accounting period in which they occur.</w:t>
      </w:r>
    </w:p>
    <w:p w14:paraId="10550641" w14:textId="77777777" w:rsidR="00EB2F85" w:rsidRDefault="00000000">
      <w:r>
        <w:pict w14:anchorId="10550848">
          <v:rect id="_x0000_i1055" style="width:0;height:1.5pt" o:hralign="center" o:hrstd="t" o:hr="t"/>
        </w:pict>
      </w:r>
    </w:p>
    <w:p w14:paraId="10550642" w14:textId="77777777" w:rsidR="00EB2F85" w:rsidRDefault="00772CAE">
      <w:pPr>
        <w:pStyle w:val="Heading2"/>
      </w:pPr>
      <w:bookmarkStart w:id="52" w:name="mangrove-extent-monitoring"/>
      <w:bookmarkStart w:id="53" w:name="_Toc225323395"/>
      <w:r>
        <w:t>4.4 Mangrove Extent Monitoring</w:t>
      </w:r>
      <w:bookmarkEnd w:id="52"/>
      <w:bookmarkEnd w:id="53"/>
    </w:p>
    <w:p w14:paraId="10550643" w14:textId="77777777" w:rsidR="00EB2F85" w:rsidRDefault="00772CAE">
      <w:pPr>
        <w:pStyle w:val="FirstParagraph"/>
      </w:pPr>
      <w:r>
        <w:t>Annual satellite-based monitoring of mangrove extent is the continuous surveillance instrument of Layer I. Where PSP re-measurement operates on a three to five year cycle and captures fine-grained carbon stock data at fixed locations, extent monitoring operates annually across Ghana’s entire 550 km coastline, providing the spatial intelligence needed to detect conversion events, track fragmentation trends, and verify that restoration activities are expanding the total mangrove canopy as intended.</w:t>
      </w:r>
    </w:p>
    <w:p w14:paraId="10550644" w14:textId="77777777" w:rsidR="00EB2F85" w:rsidRDefault="00772CAE">
      <w:pPr>
        <w:pStyle w:val="BodyText"/>
      </w:pPr>
      <w:r>
        <w:t>The methodology mirrors that of the 2025 national baseline, ensuring that annual updates are directly comparable to the Year 0 reference point. Harmonised Sentinel-2 multispectral satellite imagery, processed at 10 to 20 metre spatial resolution, is classified using the Random Forest algorithm on the Google Earth Engine (GEE) cloud computing platform. The choice of Sentinel-2 is methodologically significant: at 10 to 20 metre resolution, the imagery is capable of detecting and classifying the narrow fringing mangrove stands and small fragmented patches that dominate Ghana’s coastal landscape outside of the Keta Lagoon. The 30-metre Landsat imagery that underpinned many historical national estimates produced systematic undercount of these smaller features — contributing to the discrepancy between pre-2024 national figures ranging from 7,240 hectares (2013) to 18,100 hectares (1980) and the 2025 baseline figure of 30,025 hectares. Maintaining Sentinel-2 as the monitoring instrument throughout the project ensures that annual change detection analyses are not corrupted by sensor-switching artefacts, and that extent gains attributed to restoration activities genuinely reflect ecological expansion rather than improved detection capability.</w:t>
      </w:r>
    </w:p>
    <w:p w14:paraId="10550645" w14:textId="77777777" w:rsidR="00EB2F85" w:rsidRDefault="00772CAE">
      <w:pPr>
        <w:pStyle w:val="BodyText"/>
      </w:pPr>
      <w:r>
        <w:lastRenderedPageBreak/>
        <w:t>The Year 0 baseline against which annual extent monitoring is compared was established through the 2025 geo-spatial carbon inventory. It documents the national mangrove total of 30,025 hectares, representing 2.81% of the 1,068,361.48 hectare coastal landscape assessed across 35 political districts. Within this national picture, the site-level distribution is markedly uneven. The Keta Lagoon Complex holds 20,717.95 hectares — approximately 69% of the national total — in large, largely contiguous stands concentrated between the main lagoon body and the Volta River estuary. The Songor Ramsar Site holds 465.76 hectares (2% of the national total), distributed as small, fragmented patches across a landscape dominated by salt pans and grassland. Muni-Pomadze Ramsar Site’s mangrove cover is ecologically insignificant — a landscape of advanced degradation where restoration is the operating strategy rather than conservation of existing stocks. This three-site differentiation is not administrative shorthand; it is the empirical basis for tailored monitoring intensity and management response at each landscape.</w:t>
      </w:r>
    </w:p>
    <w:p w14:paraId="10550646" w14:textId="77777777" w:rsidR="00EB2F85" w:rsidRDefault="00772CAE">
      <w:pPr>
        <w:pStyle w:val="BodyText"/>
      </w:pPr>
      <w:r>
        <w:t>Annual outputs from the satellite monitoring programme include three core spatial products: an extent change map showing areas of detected mangrove loss (deforestation and conversion), detected mangrove gain (restoration expansion and natural regeneration), and stable mangrove area that has neither been lost nor gained in the monitored period. These three categories are expressed in hectares and compared directly to the Year 0 baseline, yielding a net annual area change figure for each landscape and for the national system. Detected loss events are cross-referenced with the environmental pressure indicators of Layer II — particularly the land conversion and mangrove cutting signal indicators — to test whether field-level pressure signals predicted the observed spatial outcome. Detected gains are compared to georeferenced restoration site records to attribute canopy expansion to specific intervention activities. Areas that remain stable despite documented pressure signals are examined to assess whether conservation measures are holding.</w:t>
      </w:r>
    </w:p>
    <w:p w14:paraId="10550647" w14:textId="77777777" w:rsidR="00EB2F85" w:rsidRDefault="00772CAE">
      <w:pPr>
        <w:pStyle w:val="BodyText"/>
      </w:pPr>
      <w:r>
        <w:t>Ground-truth validation of annual classification outputs follows the same participatory pathway used in the 2025 baseline: Wildlife Division field officers and CREMA monitoring teams cross-check satellite-detected change events against their direct field knowledge of the landscapes in their zones. The 319 participatory ground-truth reference points generated during the 2025 baseline establish both the methodological precedent and the institutional pathway for this validation — the same field teams, the same institutional relationships, the same protocol. This continuity is methodologically essential. Random Forest classifiers trained on one year’s reference data may perform differently when applied to the following year’s imagery, and field validation ensures that classification performance is assessed and documented annually. Any systematic degradation in classification accuracy is detected before it propagates into the carbon accounting record.</w:t>
      </w:r>
    </w:p>
    <w:p w14:paraId="10550648" w14:textId="77777777" w:rsidR="00EB2F85" w:rsidRDefault="00000000">
      <w:r>
        <w:pict w14:anchorId="10550849">
          <v:rect id="_x0000_i1056" style="width:0;height:1.5pt" o:hralign="center" o:hrstd="t" o:hr="t"/>
        </w:pict>
      </w:r>
    </w:p>
    <w:p w14:paraId="10550649" w14:textId="77777777" w:rsidR="00EB2F85" w:rsidRDefault="00772CAE">
      <w:pPr>
        <w:pStyle w:val="Heading2"/>
      </w:pPr>
      <w:bookmarkStart w:id="54" w:name="restoration-performance-monitoring"/>
      <w:bookmarkStart w:id="55" w:name="_Toc225323396"/>
      <w:r>
        <w:t>4.5 Restoration Performance Monitoring</w:t>
      </w:r>
      <w:bookmarkEnd w:id="54"/>
      <w:bookmarkEnd w:id="55"/>
    </w:p>
    <w:p w14:paraId="1055064A" w14:textId="77777777" w:rsidR="00EB2F85" w:rsidRDefault="00772CAE">
      <w:pPr>
        <w:pStyle w:val="FirstParagraph"/>
      </w:pPr>
      <w:r>
        <w:t xml:space="preserve">At the three early action hubs — Dzita in the Keta Lagoon Complex, Pute in the Songor Ramsar Site, and Sankor in the Muni-Pomadze Ramsar Site — Layer I operates in its </w:t>
      </w:r>
      <w:r>
        <w:lastRenderedPageBreak/>
        <w:t>most active mode: tracking the ecological performance of restoration interventions from the point of planting through to confirmed establishment and, ultimately, inclusion in the carbon stock accounting system.</w:t>
      </w:r>
    </w:p>
    <w:p w14:paraId="1055064B" w14:textId="77777777" w:rsidR="00EB2F85" w:rsidRDefault="00772CAE">
      <w:pPr>
        <w:pStyle w:val="BodyText"/>
      </w:pPr>
      <w:r>
        <w:t>The three hubs reflect deliberately differentiated starting conditions. At Dzita, restoration is operating within Ghana’s principal blue carbon landscape — a site where the conservation of 20,717.95 hectares of existing mangrove stands is the primary strategic priority and where restoration activities aim to arrest active degradation and expand mangrove cover at the margins of the existing forest. The social readiness profile at Dzita is well-documented: CCAs were actively engaged during the 2025 baseline fieldwork and played a substantive role in facilitating access and resolving at least one restoration site dispute between landowners and youth groups during the community consultation period. At Pute, restoration is taking place in a severely degraded landscape where only 465.76 hectares of mangroves survive across the Songor Ramsar Site as a whole. The land tenure conflicts between local artisanal communities and industrial salt mining operations at Elavanyo and Obane that have prevented coherent landscape governance make Pute’s restoration monitoring particularly sensitive to disruption risk, and monitoring protocols at this site must account for the possibility that encroachment events can reverse planting gains rapidly. At Sankor, restoration is the defining activity of the Muni-Pomadze engagement: with mangrove cover ecologically insignificant, every seedling established represents not the protection of existing carbon but the beginning of a carbon accumulation trajectory that did not previously exist at landscape scale. Community cohesion at Sankor is the highest of the three hubs, and CREMA interest in both governance formation and active restoration has been consistently strong throughout the baseline period.</w:t>
      </w:r>
    </w:p>
    <w:p w14:paraId="1055064C" w14:textId="77777777" w:rsidR="00EB2F85" w:rsidRDefault="00772CAE">
      <w:pPr>
        <w:pStyle w:val="BodyText"/>
      </w:pPr>
      <w:r>
        <w:t>All restoration sites are georeferenced and registered in the national web platform with unique site identifiers, linked to the responsible CREMA and district authority. This registration is the entry point for a structured monitoring protocol that begins three months after planting and continues at six months, twelve months, and annually thereafter until ecological establishment is confirmed. The indicators tracked at each monitoring visit provide a complete picture of restoration trajectory. Seedling survival rate — expressed as the proportion of planted stems surviving at each monitoring interval — is the primary performance indicator. The minimum acceptable survival threshold is 70% at Year 1: a site that fails to meet this threshold triggers a corrective restoration action through the district tier, either replanting, hydrological assessment if water regime issues are suspected, or investigation of disturbance events such as grazing or re-cutting. A site that consistently meets or exceeds 70% survival and shows progressive canopy development, natural recruitment of seedlings beyond those deliberately planted, and appropriate species composition for the site’s hydrological conditions is a site on a confirmed restoration trajectory.</w:t>
      </w:r>
    </w:p>
    <w:p w14:paraId="1055064D" w14:textId="77777777" w:rsidR="00EB2F85" w:rsidRDefault="00772CAE">
      <w:pPr>
        <w:pStyle w:val="BodyText"/>
      </w:pPr>
      <w:r>
        <w:t xml:space="preserve">Canopy cover development is assessed at each visit to track structural progression from an open, recently planted site to a functionally closed canopy. Canopy closure is ecologically significant not only as a carbon accumulation signal but as the point at which the mangrove stand begins to provide its broader ecosystem services — shade, root structure for sediment stabilisation, nursery habitat for fish. Natural recruitment — the establishment of seedlings from propagules produced by the restored stand itself or </w:t>
      </w:r>
      <w:r>
        <w:lastRenderedPageBreak/>
        <w:t>carried in by tidal flow — is the most reliable indicator that ecological function is recovering, since it demonstrates that the restored area is now acting as a source of new plants rather than depending entirely on human intervention for its regeneration. Evidence of disturbance — fresh cutting, grazing damage, evidence of charcoal production activity — is recorded at each visit alongside the restoration performance indicators, because the permanence of restoration is only as secure as the governance and enforcement conditions that surround it.</w:t>
      </w:r>
    </w:p>
    <w:p w14:paraId="1055064E" w14:textId="77777777" w:rsidR="00EB2F85" w:rsidRDefault="00772CAE">
      <w:pPr>
        <w:pStyle w:val="BodyText"/>
      </w:pPr>
      <w:r>
        <w:t>A restored plot formally enters the carbon stock accounting system when three conditions are met: canopy closure is confirmed as progressing; natural recruitment is documented; and the site has met the Year 1 survival threshold without triggering corrective restoration. At this point, the site is incorporated into the PSP re-measurement cycle, with a PSP established within the restored area to provide the long-term carbon stock record that market compliance requires. This transition — from restoration monitoring to carbon stock monitoring — is the point at which Layer I’s ecological and market functions converge, and it is the threshold that determines when restoration investments begin generating a verifiable carbon return.</w:t>
      </w:r>
    </w:p>
    <w:p w14:paraId="1055064F" w14:textId="77777777" w:rsidR="00EB2F85" w:rsidRDefault="00000000">
      <w:r>
        <w:pict w14:anchorId="1055084A">
          <v:rect id="_x0000_i1057" style="width:0;height:1.5pt" o:hralign="center" o:hrstd="t" o:hr="t"/>
        </w:pict>
      </w:r>
    </w:p>
    <w:p w14:paraId="10550650" w14:textId="77777777" w:rsidR="00EB2F85" w:rsidRDefault="00772CAE">
      <w:pPr>
        <w:pStyle w:val="Heading2"/>
      </w:pPr>
      <w:bookmarkStart w:id="56" w:name="X6f8186c831d8b4c5ccd991b280d0ba8f25b0ac0"/>
      <w:bookmarkStart w:id="57" w:name="_Toc225323397"/>
      <w:r>
        <w:t>4.6 The Degradation Baseline and Additionality</w:t>
      </w:r>
      <w:bookmarkEnd w:id="56"/>
      <w:bookmarkEnd w:id="57"/>
    </w:p>
    <w:p w14:paraId="10550651" w14:textId="77777777" w:rsidR="00EB2F85" w:rsidRDefault="00772CAE">
      <w:pPr>
        <w:pStyle w:val="FirstParagraph"/>
      </w:pPr>
      <w:r>
        <w:t>Carbon credits generated through conservation and restoration of Ghana’s coastal mangroves are only internationally credible if they can be demonstrated to be additional — that is, if the emission reductions or carbon sequestration they represent would not have occurred in the absence of the project. Additionality is established by comparing the carbon stock trajectory under the project against the baseline scenario: what would have happened to mangrove extent and carbon stocks if no intervention had taken place.</w:t>
      </w:r>
    </w:p>
    <w:p w14:paraId="10550652" w14:textId="77777777" w:rsidR="00EB2F85" w:rsidRDefault="00772CAE">
      <w:pPr>
        <w:pStyle w:val="BodyText"/>
      </w:pPr>
      <w:r>
        <w:t xml:space="preserve">The reference degradation trajectory for the Keta Lagoon Complex is the historical deforestation rate of 2.15% per year, derived from the multi-decadal land cover analysis conducted as part of the 2025 national baseline. This rate reflects the cumulative effect of fuelwood harvesting — concentrated particularly on </w:t>
      </w:r>
      <w:r>
        <w:rPr>
          <w:i/>
        </w:rPr>
        <w:t>Rhizophora racemosa</w:t>
      </w:r>
      <w:r>
        <w:t>, which is preferred by fish-smoking operators in communities including Agbatsivi, Galotse, Bomigo, and Salo for its heat output and the characteristic flavour it imparts to smoked fish — as well as incremental agricultural encroachment and the structural coastal erosion driven by sediment starvation of the Volta Delta following the construction of the Akosombo Dam in 1964. The dam has trapped more than 90% of the Volta River’s natural sediment load, transforming the delta from a pro-grading system building landward from the sea to an eroding system retreating under Atlantic wave pressure. Applied to the Keta Lagoon’s 20,717.95 hectares, a 2.15% annual loss rate represents approximately 445 hectares of mangrove loss per year in the business-as-usual scenario — a trajectory that, left uninterrupted, would eliminate a significant proportion of Ghana’s largest blue carbon asset within decades.</w:t>
      </w:r>
    </w:p>
    <w:p w14:paraId="10550653" w14:textId="77777777" w:rsidR="00EB2F85" w:rsidRDefault="00772CAE">
      <w:pPr>
        <w:pStyle w:val="BodyText"/>
      </w:pPr>
      <w:r>
        <w:t xml:space="preserve">The 2025 Year 0 baseline is the temporal anchor for Ghana’s carbon accounting under this framework. All future measurements of carbon stock change — whether gains from </w:t>
      </w:r>
      <w:r>
        <w:lastRenderedPageBreak/>
        <w:t>conservation and restoration activities, or losses from detected degradation events — are calculated as departures from the Year 0 inventory conducted during the 2025 baseline assessment. The combination of the Year 0 baseline and the 2.15% per year reference deforestation rate defines the counterfactual: the carbon stock trajectory that would be expected if the WACA Blue Carbon programme had not been implemented. Project carbon credits are generated by the positive difference between the observed trajectory under the project and this counterfactual. A year in which extent monitoring shows zero net mangrove loss at Keta, in a landscape where the baseline scenario would have predicted a 445-hectare loss, represents a carbon benefit against the reference trajectory — one that can be quantified using the carbon stock data from the PSP network and the SOC inventory, and reported against Ghana’s Nationally Determined Contribution (NDC) commitments under the Paris Agreement.</w:t>
      </w:r>
    </w:p>
    <w:p w14:paraId="10550654" w14:textId="77777777" w:rsidR="00EB2F85" w:rsidRDefault="00772CAE">
      <w:pPr>
        <w:pStyle w:val="BodyText"/>
      </w:pPr>
      <w:r>
        <w:t>The additionality framework requires ongoing demonstration, not merely initial establishment. Each annual monitoring cycle — satellite extent analysis, CCA field reports, district-level validation — contributes to the rolling evidence record of project performance against the reference scenario. Where pressure monitoring under Layer II detects elevated fuelwood harvesting or land conversion activity, Layer I’s extent monitoring provides the spatial corroboration. Where extent monitoring detects net mangrove loss at a landscape, the data are compared to the pressure indicators to determine causation and to assess whether the loss represents a temporary setback within an otherwise stable conservation trajectory or a systematic erosion of the carbon base that requires urgent intervention. This integration of additionality tracking with real-time ecological surveillance is what distinguishes Ghana’s MRV framework from a periodic audit mechanism and makes it an operationally useful management tool.</w:t>
      </w:r>
    </w:p>
    <w:p w14:paraId="10550655" w14:textId="77777777" w:rsidR="00EB2F85" w:rsidRDefault="00772CAE">
      <w:pPr>
        <w:pStyle w:val="BodyText"/>
      </w:pPr>
      <w:r>
        <w:t>At Songor and Muni-Pomadze, the additionality argument takes a different form. At Songor — where the 465.76 hectares of surviving mangrove are surrounded by the landscape-level evidence of what salt pan expansion has already achieved — the reference scenario is defined by the spatial pattern of documented loss rather than a single percentage rate, and the project’s contribution is measured by the conservation of what remains and the restoration of areas where mangrove establishment is ecologically feasible. At Muni-Pomadze, where no meaningful baseline carbon stock exists to conserve, additionality is generated entirely through restoration: every tonne of carbon sequestered in a stand that did not exist at Year 0 is wholly additional, provided the restoration meets the monitoring and permanence standards the framework requires.</w:t>
      </w:r>
    </w:p>
    <w:p w14:paraId="10550656" w14:textId="77777777" w:rsidR="00EB2F85" w:rsidRDefault="00000000">
      <w:r>
        <w:pict w14:anchorId="1055084B">
          <v:rect id="_x0000_i1058" style="width:0;height:1.5pt" o:hralign="center" o:hrstd="t" o:hr="t"/>
        </w:pict>
      </w:r>
    </w:p>
    <w:p w14:paraId="10550657" w14:textId="77777777" w:rsidR="00EB2F85" w:rsidRDefault="00772CAE">
      <w:pPr>
        <w:pStyle w:val="Heading2"/>
      </w:pPr>
      <w:bookmarkStart w:id="58" w:name="data-flow-from-field-to-national-record"/>
      <w:bookmarkStart w:id="59" w:name="_Toc225323398"/>
      <w:r>
        <w:t>4.7 Data Flow from Field to National Record</w:t>
      </w:r>
      <w:bookmarkEnd w:id="58"/>
      <w:bookmarkEnd w:id="59"/>
    </w:p>
    <w:p w14:paraId="10550658" w14:textId="77777777" w:rsidR="00EB2F85" w:rsidRDefault="00772CAE">
      <w:pPr>
        <w:pStyle w:val="FirstParagraph"/>
      </w:pPr>
      <w:r>
        <w:t>The ecological and carbon data generated by Layer I do not become part of Ghana’s national carbon record by moving automatically. They pass through a structured institutional chain that adds validation at each level, converts field observations into verified data products, and ultimately produces the annual carbon stock update that MLNR and MESTI require for national reporting.</w:t>
      </w:r>
    </w:p>
    <w:p w14:paraId="10550659" w14:textId="77777777" w:rsidR="00EB2F85" w:rsidRDefault="00772CAE">
      <w:pPr>
        <w:pStyle w:val="BodyText"/>
      </w:pPr>
      <w:r>
        <w:lastRenderedPageBreak/>
        <w:t>At the community level, CCAs and CREMA members constitute the primary data-generating tier. Their responsibilities under Layer I include quarterly visits to PSP locations to confirm access and document any visible disturbance events; completion of standardised field data sheets recording DBH measurements where directed by national technical teams; quarterly monitoring of restoration sites against the survival, canopy cover, and recruitment indicators described in Section 4.5; and the recording of any anomalous ecological observations — significant tree mortality, evidence of flood events or saltwater intrusion, unusual wildlife die-offs — that fall outside the structured indicator set but are relevant to the ecological condition of the monitoring area. This community-level data collection is not informal or discretionary. CCAs operate within spatially delineated monitoring zones uploaded to the national web platform, and their data submissions are tagged to the specific sites those zones contain. The 2025 baseline fieldwork — which involved training CCAs across communities including Dzita, Salo, Pute, and Sankor in the use of monitoring equipment and data recording protocols — established the institutional foundation for this data collection capacity. Ongoing training, as recommended by the monitoring plan developed for the Keta and Ada wetlands, will be required as monitoring equipment is periodically updated and as new CCAs are brought into the system.</w:t>
      </w:r>
    </w:p>
    <w:p w14:paraId="1055065A" w14:textId="77777777" w:rsidR="00EB2F85" w:rsidRDefault="00772CAE">
      <w:pPr>
        <w:pStyle w:val="BodyText"/>
      </w:pPr>
      <w:r>
        <w:t>Field data collected quarterly are submitted to the Wildlife Division for district-level validation. The Wildlife Division’s role here is not passive receipt but active checking: consolidating data from multiple CREMA zones within the district, cross-checking for internal consistency and for alignment with known site conditions, and flagging observations that require technical follow-up. Where a CCA’s field record shows PSP disturbance, the district review determines whether corrective action is warranted at the community level or whether escalation to the national technical tier is required. The Wildlife Division also conducts the ground-truth validation of annual satellite classification outputs, field-checking detected change events against direct observation and cross-referencing them with community monitoring records. This district-level integration is what gives Layer I’s spatial data its credibility: satellite-detected mangrove loss that is confirmed by a Wildlife Division field officer who has walked the same terrain in the same quarter is a verified observation, not a classification artefact.</w:t>
      </w:r>
    </w:p>
    <w:p w14:paraId="1055065B" w14:textId="77777777" w:rsidR="00EB2F85" w:rsidRDefault="00772CAE">
      <w:pPr>
        <w:pStyle w:val="BodyText"/>
      </w:pPr>
      <w:r>
        <w:t xml:space="preserve">At the national level, MLNR and MESTI receive district consolidated reports and integrate them with the outputs of GEE satellite analysis to produce the national annual mangrove extent update — the definitive statement of Ghana’s coastal mangrove area at the close of each monitoring year. On the three to five year PSP re-measurement cycle, national technical teams conduct full carbon stock recalculations from PSP field data, soil re-measurement at designated depths, and the full QA/QC procedures that the IPCC Wetlands Supplement methodology requires before carbon stock figures can be used in national or market reporting. All carbon data are archived in the nationally managed database with controlled access rights and full audit trail documentation, ensuring that the data record supporting Ghana’s NDC commitments and any future carbon market participation is complete, version-controlled, and institutionally owned. The Annual National Blue Carbon MRV Report, produced by MLNR and MESTI, draws on the full cycle of community field data, district validation, and national analysis to report Ghana’s carbon stock position, landscape-level changes, restoration progress, </w:t>
      </w:r>
      <w:r>
        <w:lastRenderedPageBreak/>
        <w:t>and additionality against the 2025 Year 0 baseline — a document that constitutes both a government record and a transparency instrument for development partners and carbon market reviewers. All monitoring data underpinning Layer I feeds into the digital platform described in Chapter 8, which provides the spatial and analytical interface through which national, district, and community stakeholders access the evidence base that Layer I continuously builds.</w:t>
      </w:r>
    </w:p>
    <w:p w14:paraId="1055065C" w14:textId="77777777" w:rsidR="00EB2F85" w:rsidRDefault="00000000">
      <w:r>
        <w:pict w14:anchorId="1055084C">
          <v:rect id="_x0000_i1059" style="width:0;height:1.5pt" o:hralign="center" o:hrstd="t" o:hr="t"/>
        </w:pict>
      </w:r>
    </w:p>
    <w:p w14:paraId="1055065D" w14:textId="77777777" w:rsidR="00EB2F85" w:rsidRDefault="00000000">
      <w:r>
        <w:pict w14:anchorId="1055084D">
          <v:rect id="_x0000_i1060" style="width:0;height:1.5pt" o:hralign="center" o:hrstd="t" o:hr="t"/>
        </w:pict>
      </w:r>
    </w:p>
    <w:p w14:paraId="1055065E" w14:textId="77777777" w:rsidR="00EB2F85" w:rsidRDefault="00772CAE">
      <w:pPr>
        <w:pStyle w:val="Heading1"/>
      </w:pPr>
      <w:bookmarkStart w:id="60" w:name="Xa8d1291f4b855b27f8d70b4d199a07f6170b5a3"/>
      <w:bookmarkStart w:id="61" w:name="_Toc225323399"/>
      <w:r>
        <w:t>Chapter 5: Environmental Pressure Surveillance</w:t>
      </w:r>
      <w:bookmarkEnd w:id="60"/>
      <w:bookmarkEnd w:id="61"/>
    </w:p>
    <w:p w14:paraId="1055065F" w14:textId="77777777" w:rsidR="00EB2F85" w:rsidRDefault="00000000">
      <w:r>
        <w:pict w14:anchorId="1055084E">
          <v:rect id="_x0000_i1061" style="width:0;height:1.5pt" o:hralign="center" o:hrstd="t" o:hr="t"/>
        </w:pict>
      </w:r>
    </w:p>
    <w:p w14:paraId="10550660" w14:textId="77777777" w:rsidR="00EB2F85" w:rsidRDefault="00772CAE">
      <w:pPr>
        <w:pStyle w:val="Heading2"/>
      </w:pPr>
      <w:bookmarkStart w:id="62" w:name="Xd349b57dc68a81407a2f89770efd56560c7ecd1"/>
      <w:bookmarkStart w:id="63" w:name="_Toc225323400"/>
      <w:r>
        <w:t>5.1 Purpose of Environmental Pressure Surveillance</w:t>
      </w:r>
      <w:bookmarkEnd w:id="62"/>
      <w:bookmarkEnd w:id="63"/>
    </w:p>
    <w:p w14:paraId="10550661" w14:textId="77777777" w:rsidR="00EB2F85" w:rsidRDefault="00772CAE">
      <w:pPr>
        <w:pStyle w:val="FirstParagraph"/>
      </w:pPr>
      <w:r>
        <w:t>The National Blue Carbon Monitoring, Reporting, and Verification (MRV) Framework operates through three functional layers. Layer I tracks the ecological condition and carbon stocks of mangrove ecosystems. Layer III monitors the governance and safeguard systems that sustain community participation and accountability. Layer II — Environmental Pressure Surveillance — occupies the analytical space between these two: it is the system’s early warning mechanism, designed to detect the drivers of ecosystem degradation before those drivers translate into measurable carbon loss.</w:t>
      </w:r>
    </w:p>
    <w:p w14:paraId="10550662" w14:textId="77777777" w:rsidR="00EB2F85" w:rsidRDefault="00772CAE">
      <w:pPr>
        <w:pStyle w:val="BodyText"/>
      </w:pPr>
      <w:r>
        <w:t>This distinction matters. A monitoring framework that measures carbon stocks every three to five years and responds only when loss is detected is, by design, a reactive system. By the time a Permanent Sample Plot (PSP) re-measurement at Keta reveals a statistically significant decline in above-ground biomass, the cutting pressure that caused that decline may have been operating for months or years. Deforestation at a historical rate of 2.15 percent per year — the documented trajectory at the Keta Lagoon Complex — does not announce itself in a single catastrophic event. It accumulates, stump by stump, along the lagoon edges of Bomigo, Galo, and Sota, until fragmentation reaches a threshold from which natural recovery becomes ecologically and economically prohibitive.</w:t>
      </w:r>
    </w:p>
    <w:p w14:paraId="10550663" w14:textId="77777777" w:rsidR="00EB2F85" w:rsidRDefault="00772CAE">
      <w:pPr>
        <w:pStyle w:val="BodyText"/>
      </w:pPr>
      <w:r>
        <w:t>The Environmental Pressure Surveillance Framework — Layer II of the National Blue Carbon MRV — is built on the explicit premise that institutional response must precede irreversible loss, not follow it. The system detects risk signals: early-stage behavioral indicators, spatial changes, and conflict patterns that research across all three Ramsar sites has identified as the reliable precursors of ecosystem degradation. When those signals reach defined threshold levels, the surveillance framework activates the institutional escalation pathway described in Chapter 3, directing a response from Community Resource Management Areas (CREMAs) and Community Change Agents (CCAs) up through district Wildlife Division authorities to the Ministry of Lands and Natural Resources (MLNR) and the Ministry of Environment, Science, Technology and Innovation (MESTI) at national level.</w:t>
      </w:r>
    </w:p>
    <w:p w14:paraId="10550664" w14:textId="77777777" w:rsidR="00EB2F85" w:rsidRDefault="00772CAE">
      <w:pPr>
        <w:pStyle w:val="BodyText"/>
      </w:pPr>
      <w:r>
        <w:lastRenderedPageBreak/>
        <w:t>The framework is also designed to monitor pressures that extend beyond the project’s immediate geographic boundaries. Where conservation measures reduce harvesting pressure within a CREMA zone, displaced demand may shift to adjacent, unprotected mangrove areas — a phenomenon known as leakage. Detecting and managing this displacement is a core function of Layer II, addressed specifically in Section 5.4.</w:t>
      </w:r>
    </w:p>
    <w:p w14:paraId="10550665" w14:textId="77777777" w:rsidR="00EB2F85" w:rsidRDefault="00000000">
      <w:r>
        <w:pict w14:anchorId="1055084F">
          <v:rect id="_x0000_i1062" style="width:0;height:1.5pt" o:hralign="center" o:hrstd="t" o:hr="t"/>
        </w:pict>
      </w:r>
    </w:p>
    <w:p w14:paraId="10550666" w14:textId="77777777" w:rsidR="00EB2F85" w:rsidRDefault="00772CAE">
      <w:pPr>
        <w:pStyle w:val="Heading2"/>
      </w:pPr>
      <w:bookmarkStart w:id="64" w:name="X4bff9c5cfffd4769aab0c9ccab94790e159228e"/>
      <w:bookmarkStart w:id="65" w:name="_Toc225323401"/>
      <w:r>
        <w:t>5.2 The Degradation Profiles of the Three Ramsar Sites</w:t>
      </w:r>
      <w:bookmarkEnd w:id="64"/>
      <w:bookmarkEnd w:id="65"/>
    </w:p>
    <w:p w14:paraId="10550667" w14:textId="77777777" w:rsidR="00EB2F85" w:rsidRDefault="00772CAE">
      <w:pPr>
        <w:pStyle w:val="FirstParagraph"/>
      </w:pPr>
      <w:r>
        <w:t>The three focal Ramsar sites of Ghana’s WACA Blue Carbon Assessment — the Keta Lagoon Complex, the Songor Ramsar Site, and the Muni-Pomadze Ramsar Site — do not share a common degradation profile. Each has been shaped by a distinct combination of ecological history, economic activity, and governance dynamics. Effective environmental pressure surveillance requires treating each site on its own analytical terms rather than applying generic monitoring protocols across ecologically and socially dissimilar landscapes.</w:t>
      </w:r>
    </w:p>
    <w:p w14:paraId="10550668" w14:textId="77777777" w:rsidR="00EB2F85" w:rsidRDefault="00772CAE">
      <w:pPr>
        <w:pStyle w:val="Heading3"/>
      </w:pPr>
      <w:bookmarkStart w:id="66" w:name="X963c93e336b31f7b93e4edd7be982c32ed653f2"/>
      <w:r>
        <w:t>5.2.1 Keta Lagoon Complex: Death by a Thousand Cuts</w:t>
      </w:r>
      <w:bookmarkEnd w:id="66"/>
    </w:p>
    <w:p w14:paraId="10550669" w14:textId="77777777" w:rsidR="00EB2F85" w:rsidRDefault="00772CAE">
      <w:pPr>
        <w:pStyle w:val="FirstParagraph"/>
      </w:pPr>
      <w:r>
        <w:t>The Keta Lagoon Complex holds an estimated 20,717.95 hectares of mangroves — approximately 69 percent of Ghana’s entire coastal mangrove resource. It is the nation’s principal blue carbon asset and, by a significant margin, the most important single landscape within the WACA initiative. It is also the site where degradation pressure is most intense, most distributed, and most resistant to simple intervention.</w:t>
      </w:r>
    </w:p>
    <w:p w14:paraId="1055066A" w14:textId="77777777" w:rsidR="00EB2F85" w:rsidRDefault="00772CAE">
      <w:pPr>
        <w:pStyle w:val="BodyText"/>
      </w:pPr>
      <w:r>
        <w:t xml:space="preserve">The dominant pressure is fuelwood extraction for the fish-smoking industry. The thousands of smoking kilns operating in communities including Agbatsivi, Galotse, Bomigo, Salo, and Dzita run primarily on mangrove wood, with </w:t>
      </w:r>
      <w:r>
        <w:rPr>
          <w:i/>
        </w:rPr>
        <w:t>Rhizophora racemosa</w:t>
      </w:r>
      <w:r>
        <w:t xml:space="preserve"> — Red Mangrove — strongly preferred for its burning characteristics. This preference is not incidental. The density and heat output of </w:t>
      </w:r>
      <w:r>
        <w:rPr>
          <w:i/>
        </w:rPr>
        <w:t>Rhizophora racemosa</w:t>
      </w:r>
      <w:r>
        <w:t xml:space="preserve"> wood make it functionally superior for fish processing, and because the fish-smoking sector is the dominant post-harvest industry in the Keta region — an industry dominated by women and critical to household incomes across the lagoon zone — the demand it generates is both economically rational and structurally embedded. Over 70 percent of households in the project communities depend on mangrove-linked livelihoods, and the concentration of that dependency at Keta means that most of that demand is spatially focused on the largest mangrove stand in the country.</w:t>
      </w:r>
    </w:p>
    <w:p w14:paraId="1055066B" w14:textId="77777777" w:rsidR="00EB2F85" w:rsidRDefault="00772CAE">
      <w:pPr>
        <w:pStyle w:val="BodyText"/>
      </w:pPr>
      <w:r>
        <w:t>This creates what the baseline assessments characterize as a social-ecological trap. The vast mangrove resource of the Keta Lagoon has historically sustained a thriving artisanal fishing industry, which in turn created the conditions for a large and commercially vital fish-processing sector. That sector now relies on the mangrove ecosystem itself as its primary fuel source, driving the progressive degradation of the nursery habitat upon which fish stocks depend. Each cut is individually rational; the cumulative result is the slow unraveling of the ecological system that makes all of it possible.</w:t>
      </w:r>
    </w:p>
    <w:p w14:paraId="1055066C" w14:textId="77777777" w:rsidR="00EB2F85" w:rsidRDefault="00772CAE">
      <w:pPr>
        <w:pStyle w:val="BodyText"/>
      </w:pPr>
      <w:r>
        <w:lastRenderedPageBreak/>
        <w:t>The spatial evidence corroborates this picture. The 2025 environmental pressures assessment found that approximately 70 percent of natural mangrove cover at Keta is degraded or fragmented, with particularly severe loss recorded in the accessible stands near Bomigo, Galo, and Sota since 2000. The GIS landcover data, generated through Sentinel-2 satellite imagery at 10–20 metre resolution and classified using a Random Forest algorithm on Google Earth Engine (GEE), visually confirms this pattern: the most accessible mangrove stands closest to major fishing settlements show the greatest signs of fragmentation and edge degradation.</w:t>
      </w:r>
    </w:p>
    <w:p w14:paraId="1055066D" w14:textId="77777777" w:rsidR="00EB2F85" w:rsidRDefault="00772CAE">
      <w:pPr>
        <w:pStyle w:val="BodyText"/>
      </w:pPr>
      <w:r>
        <w:t>Superimposed on this livelihood-driven pressure is a landscape-scale structural driver that operates entirely outside the control of local communities. The construction of the Akosombo Dam in 1964 — located approximately 60 kilometres upstream on the Volta River — traps more than 90 percent of the river’s natural sediment load, depriving the Volta Delta of the sand and silt it requires to maintain its coastline against Atlantic erosion. This sediment starvation has transformed the delta from a prograding, river-dominated system to an eroding, wave-dominated one. The narrow sandspit barrier that separates the Keta Lagoon from the sea — the landform on which the mangrove ecosystem sits — has been in progressive coastal retreat ever since. Communities in Dzita and along the lagoon edge have watched this retreat directly: elders recall a time when mangroves were, in their words, “thick like a wall,” and the contrast with today’s scattered, fragmented stands marks a generational loss of ecological capital.</w:t>
      </w:r>
    </w:p>
    <w:p w14:paraId="1055066E" w14:textId="77777777" w:rsidR="00EB2F85" w:rsidRDefault="00772CAE">
      <w:pPr>
        <w:pStyle w:val="BodyText"/>
      </w:pPr>
      <w:r>
        <w:t>For the MRV surveillance system, these two drivers — the cumulative fuelwood demand and the long-term landscape instability from Akosombo Dam effects — require distinct monitoring responses. The fuelwood pressure is detectable through field-based indicators at community scale: fresh stumps, active cutting sites, and household fuel survey data. The landscape-level erosion and coastal retreat must be tracked through annual satellite change detection, monitoring for net mangrove area loss along the sandspit and deltaic margins. Both signal types must be tracked continuously, because each represents a pathway by which carbon stocks at Keta could be lost irrecoverably.</w:t>
      </w:r>
    </w:p>
    <w:p w14:paraId="1055066F" w14:textId="77777777" w:rsidR="00EB2F85" w:rsidRDefault="00772CAE">
      <w:pPr>
        <w:pStyle w:val="Heading3"/>
      </w:pPr>
      <w:bookmarkStart w:id="67" w:name="X2de967549cecf95326aeaadb65fe06e3e657601"/>
      <w:r>
        <w:t>5.2.2 Songor Ramsar Site: Landscape of Conflict and Extraction</w:t>
      </w:r>
      <w:bookmarkEnd w:id="67"/>
    </w:p>
    <w:p w14:paraId="10550670" w14:textId="77777777" w:rsidR="00EB2F85" w:rsidRDefault="00772CAE">
      <w:pPr>
        <w:pStyle w:val="FirstParagraph"/>
      </w:pPr>
      <w:r>
        <w:t>The Songor Ramsar Site presents a degradation profile defined not by distributed livelihood pressure but by the systematic land conversion associated with commercial and artisanal salt production. The GIS assessment found only 465.76 hectares of mangroves remaining at Songor — 2 percent of the national total — distributed as small, fragmented patches across a landscape that the landcover classification shows is now dominated by salt pans. This is not a landscape in early-stage degradation. It is a landscape in which one ecosystem type has been largely replaced by another through decades of industrial and artisanal land conversion.</w:t>
      </w:r>
    </w:p>
    <w:p w14:paraId="10550671" w14:textId="77777777" w:rsidR="00EB2F85" w:rsidRDefault="00772CAE">
      <w:pPr>
        <w:pStyle w:val="BodyText"/>
      </w:pPr>
      <w:r>
        <w:t xml:space="preserve">The communities of Elavanyo and Obane illustrate the mechanism clearly. Field assessments confirmed that the expansion of salt concessions in these areas has been directly associated with the systematic clearing of mangroves along the tidal flat margins — mangroves removed to make way for brine pans and the infrastructure of salt extraction. The socio-economic baseline documented this as the dominant driver of spatial degradation at Songor, and the GIS data provides the quantitative confirmation: </w:t>
      </w:r>
      <w:r>
        <w:lastRenderedPageBreak/>
        <w:t>the near-complete displacement of mangrove cover in the areas most intensively used for salt production.</w:t>
      </w:r>
    </w:p>
    <w:p w14:paraId="10550672" w14:textId="77777777" w:rsidR="00EB2F85" w:rsidRDefault="00772CAE">
      <w:pPr>
        <w:pStyle w:val="BodyText"/>
      </w:pPr>
      <w:r>
        <w:t>The consequences extend beyond the loss of carbon stocks. Mangroves in tidal systems like Songor function as physical buffers against wave energy and coastal erosion. As that buffer has been removed, communities at Totope and Azizanya have experienced accelerating shoreline retreat. Field teams conducting transect walks at these communities observed direct evidence of coastal erosion and residential displacement — the most acute expression of what happens when productive mangrove removal leaves a coastline structurally exposed. In Totope, community members described this loss in unambiguous terms: “Our old village is under the sea.”</w:t>
      </w:r>
    </w:p>
    <w:p w14:paraId="10550673" w14:textId="77777777" w:rsidR="00EB2F85" w:rsidRDefault="00772CAE">
      <w:pPr>
        <w:pStyle w:val="BodyText"/>
      </w:pPr>
      <w:r>
        <w:t>An additional dimension of the Songor pressure profile is governance-related. Land tenure disputes between private salt companies, the Ada Traditional Council, and fishing communities have created a political economy of ecological conflict in which formal resource protection is contested rather than reinforced. Communities at Songor — particularly around Pute, the designated early action hub — are caught between the loss of traditional resource access from expanding salt concessions and the economic pressures that simultaneously drive unsustainable extraction practices. Any surveillance system that monitors only ecological indicators without tracking the governance dimension of this conflict will miss the underlying driver of degradation at this site.</w:t>
      </w:r>
    </w:p>
    <w:p w14:paraId="10550674" w14:textId="77777777" w:rsidR="00EB2F85" w:rsidRDefault="00772CAE">
      <w:pPr>
        <w:pStyle w:val="BodyText"/>
      </w:pPr>
      <w:r>
        <w:t>For the surveillance framework, Songor requires particular attention to two indicators: the Land Conversion Monitoring indicator, which tracks salt pan expansion through annual satellite analysis, and the Conflict and Access Pressure Index, which records land tenure disputes affecting wetland zones. These two indicators are more likely to provide the early warning signal for degradation at Songor than the field-based cutting signals that are the primary detection mechanism at Keta.</w:t>
      </w:r>
    </w:p>
    <w:p w14:paraId="10550675" w14:textId="77777777" w:rsidR="00EB2F85" w:rsidRDefault="00772CAE">
      <w:pPr>
        <w:pStyle w:val="Heading3"/>
      </w:pPr>
      <w:bookmarkStart w:id="68" w:name="X7f40e418202bcc4728d7a63a2cd65e664d8eba8"/>
      <w:r>
        <w:t>5.2.3 Muni-Pomadze Ramsar Site: A Restoration Landscape</w:t>
      </w:r>
      <w:bookmarkEnd w:id="68"/>
    </w:p>
    <w:p w14:paraId="10550676" w14:textId="77777777" w:rsidR="00EB2F85" w:rsidRDefault="00772CAE">
      <w:pPr>
        <w:pStyle w:val="FirstParagraph"/>
      </w:pPr>
      <w:r>
        <w:t>The Muni-Pomadze Ramsar Site is categorically different from the other two sites in its ecological starting point. The 2025 geospatial assessment found the mangrove cover at Muni-Pomadze to be ecologically insignificant — scattered fringe remnants that do not constitute a mappable, functional mangrove ecosystem at the scale of the analysis. This finding reframes the site’s role within the MRV framework: Muni-Pomadze is not a carbon stock conservation site. It is a restoration landscape, and the MRV priority at this site is monitoring the performance of restoration activities rather than tracking the loss of an existing resource.</w:t>
      </w:r>
    </w:p>
    <w:p w14:paraId="10550677" w14:textId="77777777" w:rsidR="00EB2F85" w:rsidRDefault="00772CAE">
      <w:pPr>
        <w:pStyle w:val="BodyText"/>
      </w:pPr>
      <w:r>
        <w:t xml:space="preserve">The historical pressures that brought the site to this condition include agricultural encroachment into wetland margins and charcoal production from the transition forests and wetland edges surrounding the lagoon, particularly in communities like Bewadze and Mankoadze. What remains as an ecological asset at Muni-Pomadze is largely concentrated in the sacred groves maintained by traditional governance systems, especially around the community of Sankor. These groves — strictly protected by spiritual taboos enforced through traditional authority — represent a cultural </w:t>
      </w:r>
      <w:r>
        <w:lastRenderedPageBreak/>
        <w:t>conservation infrastructure that the CREMA formation process at Muni-Pomadze has been designed to formally reinforce.</w:t>
      </w:r>
    </w:p>
    <w:p w14:paraId="10550678" w14:textId="77777777" w:rsidR="00EB2F85" w:rsidRDefault="00772CAE">
      <w:pPr>
        <w:pStyle w:val="BodyText"/>
      </w:pPr>
      <w:r>
        <w:t>The surveillance system at Muni-Pomadze therefore operates on a different logic than at Keta or Songor. Layer II monitoring at this site focuses on detecting pressures that could undermine restoration plantings before they reach canopy establishment — grazing, encroachment, renewed charcoal production in buffer zones — rather than on detecting ongoing extraction from a significant existing resource base. The Charcoal and Extraction Hotspot Tracking indicator and the Mangrove Cutting Signal indicator are both relevant here, but they function as restoration integrity monitors rather than conservation threat detectors. The linkage with Chapter 4 — Ecological and Carbon Integrity — is direct: if restoration sites at Muni-Pomadze fail to meet the minimum 70 percent survival threshold after Year 1, the surveillance system identifies the pressure event responsible, allowing corrective action before ecological recovery is foreclosed.</w:t>
      </w:r>
    </w:p>
    <w:p w14:paraId="10550679" w14:textId="77777777" w:rsidR="00EB2F85" w:rsidRDefault="00000000">
      <w:r>
        <w:pict w14:anchorId="10550850">
          <v:rect id="_x0000_i1063" style="width:0;height:1.5pt" o:hralign="center" o:hrstd="t" o:hr="t"/>
        </w:pict>
      </w:r>
    </w:p>
    <w:p w14:paraId="1055067A" w14:textId="77777777" w:rsidR="00EB2F85" w:rsidRDefault="00772CAE">
      <w:pPr>
        <w:pStyle w:val="Heading2"/>
      </w:pPr>
      <w:bookmarkStart w:id="69" w:name="the-five-core-pressure-indicators"/>
      <w:bookmarkStart w:id="70" w:name="_Toc225323402"/>
      <w:r>
        <w:t>5.3 The Five Core Pressure Indicators</w:t>
      </w:r>
      <w:bookmarkEnd w:id="69"/>
      <w:bookmarkEnd w:id="70"/>
    </w:p>
    <w:p w14:paraId="1055067B" w14:textId="77777777" w:rsidR="00EB2F85" w:rsidRDefault="00772CAE">
      <w:pPr>
        <w:pStyle w:val="FirstParagraph"/>
      </w:pPr>
      <w:r>
        <w:t>The National Blue Carbon MRV Framework adopts five standardized pressure indicators for environmental surveillance across all three Ramsar sites. The design of these indicators reflects a deliberate institutional choice: the system prioritizes signal detection and trend monitoring over complex quantification. A surveillance architecture that requires sophisticated volume measurement, intricate field instrumentation, or highly trained technical personnel at every community-level monitoring point will not sustain beyond the WACA project cycle. The five core indicators are designed to be operationally feasible by CREMA monitoring teams with standard field equipment, validated quarterly by Wildlife Division officers at district level, and integrated into the national digital platform for MLNR and MESTI oversight.</w:t>
      </w:r>
    </w:p>
    <w:p w14:paraId="1055067C" w14:textId="77777777" w:rsidR="00EB2F85" w:rsidRDefault="00772CAE">
      <w:pPr>
        <w:pStyle w:val="BodyText"/>
      </w:pPr>
      <w:r>
        <w:rPr>
          <w:b/>
        </w:rPr>
        <w:t>Indicator 1 — Land Conversion Monitoring (GIS-Based)</w:t>
      </w:r>
    </w:p>
    <w:p w14:paraId="1055067D" w14:textId="77777777" w:rsidR="00EB2F85" w:rsidRDefault="00772CAE">
      <w:pPr>
        <w:pStyle w:val="BodyText"/>
      </w:pPr>
      <w:r>
        <w:t xml:space="preserve">The first indicator detects the spatial conversion of mangrove and wetland areas through annual satellite imagery analysis. MLNR and the Wildlife Division conduct change detection against the 2025 Year 0 baseline using Sentinel-2 imagery and standardized classification algorithms, monitoring for salt pan expansion in hectares per year, urban encroachment into wetland zones, and wetland filling or drainage activity. Outputs are visualized within the national web-based monitoring platform as land conversion polygons overlaid on the baseline mangrove extent map. The threshold for escalation is clear and deliberately unambiguous: any detected net loss within mapped sensitive areas or restoration zones, or any significant expansion of industrial salt pans into previously mapped mangrove areas, triggers an immediate review by district and national authorities. This indicator is most operationally significant at the Songor Ramsar Site, where salt pan expansion has been the primary mechanism of historical mangrove loss and where the GIS data already documents the near-complete displacement of the ecosystem across large sections of the Elavanyo and Obane areas. It also provides the primary signal for the Akosombo Dam-related coastal retreat at </w:t>
      </w:r>
      <w:r>
        <w:lastRenderedPageBreak/>
        <w:t>Keta, where annual net mangrove area change along the sandspit margins is the most direct measure of landscape-scale degradation risk.</w:t>
      </w:r>
    </w:p>
    <w:p w14:paraId="1055067E" w14:textId="77777777" w:rsidR="00EB2F85" w:rsidRDefault="00772CAE">
      <w:pPr>
        <w:pStyle w:val="BodyText"/>
      </w:pPr>
      <w:r>
        <w:rPr>
          <w:b/>
        </w:rPr>
        <w:t>Indicator 2 — Mangrove Cutting Signal (Field-Based)</w:t>
      </w:r>
    </w:p>
    <w:p w14:paraId="1055067F" w14:textId="77777777" w:rsidR="00EB2F85" w:rsidRDefault="00772CAE">
      <w:pPr>
        <w:pStyle w:val="BodyText"/>
      </w:pPr>
      <w:r>
        <w:t xml:space="preserve">The second indicator detects active biomass extraction pressure through quarterly CREMA transect walks within designated monitoring zones. Field teams record the presence of fresh stumps, evidence of active cutting, and the presence of charcoal kilns along fixed monitoring transects. The data entry protocol is deliberately simple — a yes/no recording per transect — and a Pressure Alert is triggered when two or more cutting signals are present in the same monitoring period. This incidence-based approach avoids the need for volume estimation, which would require technical skills and equipment beyond the capacity of community monitoring teams, while still providing a reliable early-warning signal that cutting is occurring at a level likely to affect carbon stocks. CREMA monitoring teams bear primary responsibility for this indicator, with validation by MMDAs and the Wildlife Division. The response to a Pressure Alert begins with a community review meeting and engagement with responsible actors, escalating to enforcement authorities if the signal persists across successive monitoring periods. This indicator is most directly relevant to the Keta Lagoon, where fuelwood extraction from </w:t>
      </w:r>
      <w:r>
        <w:rPr>
          <w:i/>
        </w:rPr>
        <w:t>Rhizophora racemosa</w:t>
      </w:r>
      <w:r>
        <w:t xml:space="preserve"> stands in communities like Agbatsivi and Bomigo represents the primary ongoing threat to the nation’s largest carbon stock.</w:t>
      </w:r>
    </w:p>
    <w:p w14:paraId="10550680" w14:textId="77777777" w:rsidR="00EB2F85" w:rsidRDefault="00772CAE">
      <w:pPr>
        <w:pStyle w:val="BodyText"/>
      </w:pPr>
      <w:r>
        <w:rPr>
          <w:b/>
        </w:rPr>
        <w:t>Indicator 3 — Fuel Source Shift Monitoring</w:t>
      </w:r>
    </w:p>
    <w:p w14:paraId="10550681" w14:textId="77777777" w:rsidR="00EB2F85" w:rsidRDefault="00772CAE">
      <w:pPr>
        <w:pStyle w:val="BodyText"/>
      </w:pPr>
      <w:r>
        <w:t xml:space="preserve">The third indicator tracks behavioral changes in household fuel dependence through annual sample surveys of 20 to 30 households per CREMA. Surveys record primary cooking fuel source across a defined typology: mangrove wood, woodlot wood, LPG (liquefied petroleum gas), improved cookstove usage, or other alternatives. The trend interpretation is straightforward: a declining share of mangrove wood in household fuel mix indicates reduced extraction pressure, while persistent high dependence indicates elevated carbon risk. This indicator is particularly important for the Keta Lagoon Complex, where the fish-smoking industry creates a structural and economically embedded demand for </w:t>
      </w:r>
      <w:r>
        <w:rPr>
          <w:i/>
        </w:rPr>
        <w:t>Rhizophora racemosa</w:t>
      </w:r>
      <w:r>
        <w:t xml:space="preserve"> fuelwood that will not shift in response to awareness campaigns alone. Monitoring fuel source trends allows the MRV system to measure whether the livelihood diversification and improved cookstove components of the WACA intervention are actually reducing pressure on the mangrove resource — converting program inputs into measurable carbon protection outcomes. The indicator also supports leakage monitoring: if household fuel surveys show declining mangrove dependence within a CREMA zone but field transects in adjacent unprotected areas show rising cutting incidence, that divergence is the primary leakage signal.</w:t>
      </w:r>
    </w:p>
    <w:p w14:paraId="10550682" w14:textId="77777777" w:rsidR="00EB2F85" w:rsidRDefault="00772CAE">
      <w:pPr>
        <w:pStyle w:val="BodyText"/>
      </w:pPr>
      <w:r>
        <w:rPr>
          <w:b/>
        </w:rPr>
        <w:t>Indicator 4 — Charcoal and Extraction Hotspot Tracking</w:t>
      </w:r>
    </w:p>
    <w:p w14:paraId="10550683" w14:textId="77777777" w:rsidR="00EB2F85" w:rsidRDefault="00772CAE">
      <w:pPr>
        <w:pStyle w:val="BodyText"/>
      </w:pPr>
      <w:r>
        <w:t xml:space="preserve">The fourth indicator detects localized commercial extraction activity through quarterly recording of the number of active charcoal production sites, their GPS-mapped location, and evidence of expansion. This indicator is particularly relevant in peri-urban zones and in the transition forest margins around Muni-Pomadze, where charcoal production from upland forest edges has historically been the dominant pressure on woody biomass. CREMA teams and district MMDAs share responsibility for this indicator. </w:t>
      </w:r>
      <w:r>
        <w:lastRenderedPageBreak/>
        <w:t>Response to detected hotspots moves through a defined sequence: initial dialogue with producers to identify livelihood alternatives, promotion of alternative fuel sources including community woodlots, and enforcement where continued extraction is documented. GPS mapping of hotspot locations over successive quarterly periods enables the system to distinguish between stationary artisanal activity — which may be manageable through negotiated access agreements — and the expansion of commercial extraction into previously unaffected areas, which triggers a higher tier of institutional response.</w:t>
      </w:r>
    </w:p>
    <w:p w14:paraId="10550684" w14:textId="77777777" w:rsidR="00EB2F85" w:rsidRDefault="00772CAE">
      <w:pPr>
        <w:pStyle w:val="BodyText"/>
      </w:pPr>
      <w:r>
        <w:rPr>
          <w:b/>
        </w:rPr>
        <w:t>Indicator 5 — Conflict and Access Pressure Index</w:t>
      </w:r>
    </w:p>
    <w:p w14:paraId="10550685" w14:textId="77777777" w:rsidR="00EB2F85" w:rsidRDefault="00772CAE">
      <w:pPr>
        <w:pStyle w:val="BodyText"/>
      </w:pPr>
      <w:r>
        <w:t>The fifth indicator identifies structural drivers of degradation risk that operate at the governance level rather than the ecological level. Quarterly reports compiled by district authorities with CREMA support record the number of land access disputes affecting wetland zones, the number of unresolved cases, and reported conflicts between artisanal and industrial actors. Rising conflict levels are treated as a carbon permanence risk signal, because land tenure insecurity and access disputes create conditions in which the social contracts underlying CREMA conservation agreements become unreliable. This relationship is most acutely evidenced at the Songor Ramsar Site, where land tenure disputes between private salt companies and traditional fishing communities have directly contributed to the erosion of both mangrove cover and community governance capacity. When the Conflict and Access Pressure Index at Songor shows unresolved disputes expanding into previously stable land-use zones, the surveillance framework treats that as an elevated ecological risk signal, cross-referencing it with satellite-based land conversion monitoring to assess whether governance instability is translating into physical encroachment.</w:t>
      </w:r>
    </w:p>
    <w:p w14:paraId="10550686" w14:textId="77777777" w:rsidR="00EB2F85" w:rsidRDefault="00000000">
      <w:r>
        <w:pict w14:anchorId="10550851">
          <v:rect id="_x0000_i1064" style="width:0;height:1.5pt" o:hralign="center" o:hrstd="t" o:hr="t"/>
        </w:pict>
      </w:r>
    </w:p>
    <w:p w14:paraId="10550687" w14:textId="77777777" w:rsidR="00EB2F85" w:rsidRDefault="00772CAE">
      <w:pPr>
        <w:pStyle w:val="Heading2"/>
      </w:pPr>
      <w:bookmarkStart w:id="71" w:name="leakage-risk-management"/>
      <w:bookmarkStart w:id="72" w:name="_Toc225323403"/>
      <w:r>
        <w:t>5.4 Leakage Risk Management</w:t>
      </w:r>
      <w:bookmarkEnd w:id="71"/>
      <w:bookmarkEnd w:id="72"/>
    </w:p>
    <w:p w14:paraId="10550688" w14:textId="77777777" w:rsidR="00EB2F85" w:rsidRDefault="00772CAE">
      <w:pPr>
        <w:pStyle w:val="FirstParagraph"/>
      </w:pPr>
      <w:r>
        <w:t>In carbon project accounting, leakage refers to the displacement of degradation pressure from a protected or managed area to adjacent, unprotected areas — the carbon benefit of reducing extraction in one zone is partially or fully offset by increased extraction elsewhere. Leakage is not a theoretical risk in the Ghanaian landscape: it is a structurally predictable consequence of any intervention that reduces access to mangrove resources in one location without simultaneously addressing the underlying demand.</w:t>
      </w:r>
    </w:p>
    <w:p w14:paraId="10550689" w14:textId="77777777" w:rsidR="00EB2F85" w:rsidRDefault="00772CAE">
      <w:pPr>
        <w:pStyle w:val="BodyText"/>
      </w:pPr>
      <w:r>
        <w:t>The clearest leakage risk in the WACA project area involves fuelwood demand at Keta. Communities in the Dzita early action hub are the priority target for improved cookstove adoption and sustainable fuel source programming. If these interventions succeed in reducing fuelwood extraction within the Dzita CREMA zone, the fish-processing operations in adjacent, currently unprotected communities — along the lagoon edge between Dzita and the wider Galotse-Agbatsivi-Bomigo cluster — face no equivalent reduction in demand. Harvesters who previously sourced fuelwood from within the Dzita CREMA boundary may relocate their cutting to stands outside CREMA jurisdiction. The carbon stock within the CREMA is protected; the national mangrove resource is not.</w:t>
      </w:r>
    </w:p>
    <w:p w14:paraId="1055068A" w14:textId="77777777" w:rsidR="00EB2F85" w:rsidRDefault="00772CAE">
      <w:pPr>
        <w:pStyle w:val="BodyText"/>
      </w:pPr>
      <w:r>
        <w:lastRenderedPageBreak/>
        <w:t>The surveillance system detects leakage signals through the integration of two existing indicators. The Fuel Source Shift Monitoring indicator (Indicator 3) provides the demand-side signal: if household fuel surveys within the Dzita CREMA show declining mangrove dependence while cutting pressure within the CREMA also falls, the conservation intervention appears to be working. However, if Indicator 2 (Mangrove Cutting Signal) data from quarterly transect walks in zones adjacent to but outside the CREMA boundary shows simultaneous increases in fresh stumps and active cutting, the divergence between falling within-CREMA pressure and rising boundary-area pressure is the leakage signal.</w:t>
      </w:r>
    </w:p>
    <w:p w14:paraId="1055068B" w14:textId="77777777" w:rsidR="00EB2F85" w:rsidRDefault="00772CAE">
      <w:pPr>
        <w:pStyle w:val="BodyText"/>
      </w:pPr>
      <w:r>
        <w:t>The surveillance system operationalizes this by designating leakage monitoring zones — buffer areas adjacent to CREMA boundaries where CCA teams conduct the same quarterly transect walks that are conducted within the formal monitoring zone. Pressure data from leakage zones is entered into the same national platform as CREMA-internal data, enabling national-level analysts at MLNR to compare trends across both zones simultaneously. Where leakage is confirmed — defined as a sustained increase in cutting signal incidence in the leakage zone coinciding with a decrease within the CREMA — the carbon accounting protocol at national level assesses the displacement effect, and the institutional response moves through the escalation pathway described in Section 5.5.</w:t>
      </w:r>
    </w:p>
    <w:p w14:paraId="1055068C" w14:textId="77777777" w:rsidR="00EB2F85" w:rsidRDefault="00772CAE">
      <w:pPr>
        <w:pStyle w:val="BodyText"/>
      </w:pPr>
      <w:r>
        <w:t>At Songor, leakage takes a different form. Salt pan expansion at Elavanyo and Obane has historically proceeded through the clearing of mangrove buffer zones along tidal flat margins. If CREMA formation and MLNR oversight succeed in protecting the 465.76 hectares of remaining mangrove fragments at Songor, there is a risk that commercial salt expansion pressure shifts to unprotected mangrove areas further along the lagoon margins or to the transition forests outside the immediate monitoring zone. The Land Conversion Monitoring indicator (Indicator 1) is the primary leakage detection mechanism for this scenario, since satellite change detection can identify new salt pan expansion polygons regardless of where in the landscape they occur.</w:t>
      </w:r>
    </w:p>
    <w:p w14:paraId="1055068D" w14:textId="77777777" w:rsidR="00EB2F85" w:rsidRDefault="00000000">
      <w:r>
        <w:pict w14:anchorId="10550852">
          <v:rect id="_x0000_i1065" style="width:0;height:1.5pt" o:hralign="center" o:hrstd="t" o:hr="t"/>
        </w:pict>
      </w:r>
    </w:p>
    <w:p w14:paraId="1055068E" w14:textId="77777777" w:rsidR="00EB2F85" w:rsidRDefault="00772CAE">
      <w:pPr>
        <w:pStyle w:val="Heading2"/>
      </w:pPr>
      <w:bookmarkStart w:id="73" w:name="escalation-and-response-protocols"/>
      <w:bookmarkStart w:id="74" w:name="_Toc225323404"/>
      <w:r>
        <w:t>5.5 Escalation and Response Protocols</w:t>
      </w:r>
      <w:bookmarkEnd w:id="73"/>
      <w:bookmarkEnd w:id="74"/>
    </w:p>
    <w:p w14:paraId="1055068F" w14:textId="77777777" w:rsidR="00EB2F85" w:rsidRDefault="00772CAE">
      <w:pPr>
        <w:pStyle w:val="FirstParagraph"/>
      </w:pPr>
      <w:r>
        <w:t>Environmental pressure surveillance is operationally effective only when detection is linked to institutional response through a defined and time-bound escalation pathway. The National Blue Carbon MRV Framework establishes a four-tier escalation structure. Understanding how each tier is activated — and what actions it is empowered to take — is essential to the operational credibility of the surveillance system.</w:t>
      </w:r>
    </w:p>
    <w:p w14:paraId="10550690" w14:textId="77777777" w:rsidR="00EB2F85" w:rsidRDefault="00772CAE">
      <w:pPr>
        <w:pStyle w:val="BodyText"/>
      </w:pPr>
      <w:r>
        <w:t xml:space="preserve">The escalation sequence begins at the community level. CCAs and CREMA monitoring teams conducting quarterly field surveys are the primary detection point. When a pressure indicator reaches its defined threshold — two or more Mangrove Cutting Signals in the same monitoring period, a confirmed new salt pan polygon within a mapped protection zone, rising Conflict and Access Pressure Index scores — the CCA records the signal in the national MRV platform and notifies the CREMA Executive Committee. The CREMA’s first response is convening a community review meeting, </w:t>
      </w:r>
      <w:r>
        <w:lastRenderedPageBreak/>
        <w:t>with the objective of identifying responsible actors and initiating dialogue before escalation becomes necessary. Many pressure signals are addressable at this level: a new fuelwood harvesting site near a PSP monitoring plot may be attributable to a specific household that, once engaged, is amenable to redirecting its fuel sourcing to designated community woodlots.</w:t>
      </w:r>
    </w:p>
    <w:p w14:paraId="10550691" w14:textId="77777777" w:rsidR="00EB2F85" w:rsidRDefault="00772CAE">
      <w:pPr>
        <w:pStyle w:val="BodyText"/>
      </w:pPr>
      <w:r>
        <w:t>Where a pressure signal is not resolved at community level within a defined period — or where its scale exceeds the CREMA’s authority or enforcement capacity — the signal is escalated to the district Wildlife Division and MMDA. District authorities are empowered to issue formal enforcement notices, conduct technical assessments of degradation extent, and mediate land access disputes between competing actors. In the Songor context, where tenure conflicts involve private salt companies operating under commercial concessions, district-level mediation may require engagement with the Ada Traditional Council and referral to formal land-use arbitration processes. The district tier is designed to be the primary resolution point for the majority of pressure events that exceed community-level capacity.</w:t>
      </w:r>
    </w:p>
    <w:p w14:paraId="10550692" w14:textId="77777777" w:rsidR="00EB2F85" w:rsidRDefault="00772CAE">
      <w:pPr>
        <w:pStyle w:val="BodyText"/>
      </w:pPr>
      <w:r>
        <w:t>Where a pressure event is not resolved at district level — or where its ecological or governance implications are of national significance — MLNR and MESTI are notified through the national MRV reporting system and assume oversight responsibility. This third-tier activation is reserved for events that represent a direct threat to nationally significant carbon stocks or to the structural integrity of the MRV system itself. Specific escalation triggers that would activate national-level response include: confirmed mangrove clearance within a formally designated CREMA conservation zone at the Keta Lagoon Complex; salt pan encroachment documented by satellite analysis within the Songor Ramsar boundary in areas where CREMA protection agreements are in force; evidence from multiple consecutive quarterly transect surveys of new fuelwood harvesting activity within 500 metres of active PSP monitoring locations; or a sustained and unresolved Conflict and Access Pressure Index elevation at Songor indicating that land tenure disputes are generating conditions for imminent land conversion.</w:t>
      </w:r>
    </w:p>
    <w:p w14:paraId="10550693" w14:textId="77777777" w:rsidR="00EB2F85" w:rsidRDefault="00772CAE">
      <w:pPr>
        <w:pStyle w:val="BodyText"/>
      </w:pPr>
      <w:r>
        <w:t>All actions at each tier — community meeting outcomes, Wildlife Division inspection reports, district mediation records, national oversight decisions — are documented within the national MRV database. This documentation requirement serves two functions: it creates an auditable response trail that carbon market verifiers can review as evidence of active risk management, and it generates the institutional memory that allows the system to distinguish between isolated pressure events and the chronic, low-intensity extraction dynamics that constitute the deepest long-term threat to Ghana’s blue carbon assets.</w:t>
      </w:r>
    </w:p>
    <w:p w14:paraId="10550694" w14:textId="77777777" w:rsidR="00EB2F85" w:rsidRDefault="00000000">
      <w:r>
        <w:pict w14:anchorId="10550853">
          <v:rect id="_x0000_i1066" style="width:0;height:1.5pt" o:hralign="center" o:hrstd="t" o:hr="t"/>
        </w:pict>
      </w:r>
    </w:p>
    <w:p w14:paraId="10550695" w14:textId="77777777" w:rsidR="00EB2F85" w:rsidRDefault="00772CAE">
      <w:pPr>
        <w:pStyle w:val="Heading2"/>
      </w:pPr>
      <w:bookmarkStart w:id="75" w:name="integration-with-layer-i-and-layer-iii"/>
      <w:bookmarkStart w:id="76" w:name="_Toc225323405"/>
      <w:r>
        <w:t>5.6 Integration with Layer I and Layer III</w:t>
      </w:r>
      <w:bookmarkEnd w:id="75"/>
      <w:bookmarkEnd w:id="76"/>
    </w:p>
    <w:p w14:paraId="10550696" w14:textId="77777777" w:rsidR="00EB2F85" w:rsidRDefault="00772CAE">
      <w:pPr>
        <w:pStyle w:val="FirstParagraph"/>
      </w:pPr>
      <w:r>
        <w:t xml:space="preserve">The three functional layers of the National Blue Carbon MRV Framework are not parallel and independent systems. They are designed to feed into each other, with each layer providing information that the others require to function as an integrated whole. Environmental pressure surveillance — Layer II — is the analytical bridge between </w:t>
      </w:r>
      <w:r>
        <w:lastRenderedPageBreak/>
        <w:t>ecological measurement and governance assurance, and its value as an early warning system depends directly on how it is cross-referenced with data from Layers I and III.</w:t>
      </w:r>
    </w:p>
    <w:p w14:paraId="10550697" w14:textId="77777777" w:rsidR="00EB2F85" w:rsidRDefault="00772CAE">
      <w:pPr>
        <w:pStyle w:val="BodyText"/>
      </w:pPr>
      <w:r>
        <w:t>The primary integration with Layer I (Ecological and Carbon Integrity) operates through the PSP network. The national system maintains PSPs as the long-term backbone for carbon stock re-measurement, with biomass re-measurement conducted on a three- to five-year cycle. These plots are georeferenced and mapped within the digital platform, and their locations are known to CREMA monitoring teams. When Layer II field data records a Mangrove Cutting Signal — fresh stumps, active cutting, charcoal kiln presence — on a transect that is geographically proximate to a PSP location, that spatial relationship is analytically significant. Cutting pressure in the immediate vicinity of a PSP threatens not only the carbon stock at that plot but the integrity of the measurement system itself: a PSP surrounded by active extraction pressure will produce carbon stock estimates that misrepresent the broader landscape condition and may trigger accelerated re-measurement to capture actual stock changes before the scheduled cycle. The digital platform’s pressure alert overlays are cross-referenced with PSP locations precisely to enable this kind of integrated spatial risk assessment, allowing MLNR to prioritize field attention and re-measurement resources in areas where Layer II signals suggest that Layer I data may already be under pressure.</w:t>
      </w:r>
    </w:p>
    <w:p w14:paraId="10550698" w14:textId="77777777" w:rsidR="00EB2F85" w:rsidRDefault="00772CAE">
      <w:pPr>
        <w:pStyle w:val="BodyText"/>
      </w:pPr>
      <w:r>
        <w:t>The integration with Layer III (Governance and Safeguard Assurance) operates in the other direction: governance instability is treated by the surveillance framework as a leading indicator — a predictor of elevated ecological pressure risk rather than a consequence of it. The Conflict and Access Pressure Index (Indicator 5) is the analytical link between these two layers. When land tenure disputes at Songor are unresolved and escalating — as tracked through Layer III’s Governance Integrity Structure — the surveillance system does not wait for satellite change detection to confirm new mangrove clearance before heightening its monitoring attention in the affected zones. Governance instability and ecological pressure are causally linked in this landscape: the breakdown of formal and informal social contracts around land use removes the deterrence mechanisms that keep extraction pressure below ecologically damaging thresholds. The MRV framework therefore treats Layer III signals as an input to Layer II monitoring frequency and intensity, increasing the cadence of field transects in areas where governance data indicates elevated social risk.</w:t>
      </w:r>
    </w:p>
    <w:p w14:paraId="10550699" w14:textId="77777777" w:rsidR="00EB2F85" w:rsidRDefault="00772CAE">
      <w:pPr>
        <w:pStyle w:val="BodyText"/>
      </w:pPr>
      <w:r>
        <w:t>This three-layer integration reflects a core design principle of the National Blue Carbon MRV Framework: that ecosystem integrity, community participation, and governance accountability are not separable dimensions of a blue carbon program but interdependent elements of a single, unified management system. Environmental pressure surveillance is the mechanism through which that interdependence becomes operationally legible — translating the political economy of salt production at Songor, the social-ecological trap of fuelwood dependency at Keta, and the restoration fragility of Muni-Pomadze into the standardized pressure signals that drive institutional response before irreversible carbon loss occurs.</w:t>
      </w:r>
    </w:p>
    <w:p w14:paraId="1055069A" w14:textId="77777777" w:rsidR="00EB2F85" w:rsidRDefault="00000000">
      <w:r>
        <w:pict w14:anchorId="10550854">
          <v:rect id="_x0000_i1067" style="width:0;height:1.5pt" o:hralign="center" o:hrstd="t" o:hr="t"/>
        </w:pict>
      </w:r>
    </w:p>
    <w:p w14:paraId="1055069B" w14:textId="77777777" w:rsidR="00EB2F85" w:rsidRDefault="00772CAE">
      <w:pPr>
        <w:pStyle w:val="FirstParagraph"/>
      </w:pPr>
      <w:r>
        <w:rPr>
          <w:i/>
        </w:rPr>
        <w:lastRenderedPageBreak/>
        <w:t>Chapter 5 of the MRV Standalone Report — Environmental Pressure Surveillance. Prepared under WACA ResIP 2 (World Bank Project P175625) for the Ministry of Environment, Science, Technology and Innovation (MESTI) and the Ministry of Lands and Natural Resources (MLNR), Ghana.</w:t>
      </w:r>
    </w:p>
    <w:p w14:paraId="1055069C" w14:textId="77777777" w:rsidR="00EB2F85" w:rsidRDefault="00000000">
      <w:r>
        <w:pict w14:anchorId="10550855">
          <v:rect id="_x0000_i1068" style="width:0;height:1.5pt" o:hralign="center" o:hrstd="t" o:hr="t"/>
        </w:pict>
      </w:r>
    </w:p>
    <w:p w14:paraId="1055069D" w14:textId="77777777" w:rsidR="00EB2F85" w:rsidRDefault="00772CAE">
      <w:pPr>
        <w:pStyle w:val="Heading1"/>
      </w:pPr>
      <w:bookmarkStart w:id="77" w:name="Xeb5c4881b722ac155d1592222300519a6f86cea"/>
      <w:bookmarkStart w:id="78" w:name="_Toc225323406"/>
      <w:r>
        <w:t>Chapter 6: Governance and Safeguard Assurance</w:t>
      </w:r>
      <w:bookmarkEnd w:id="77"/>
      <w:bookmarkEnd w:id="78"/>
    </w:p>
    <w:p w14:paraId="1055069E" w14:textId="77777777" w:rsidR="00EB2F85" w:rsidRDefault="00772CAE">
      <w:pPr>
        <w:pStyle w:val="Heading2"/>
      </w:pPr>
      <w:bookmarkStart w:id="79" w:name="X6792941ea48aaf7a108f3df412d8963d178f4ba"/>
      <w:bookmarkStart w:id="80" w:name="_Toc225323407"/>
      <w:r>
        <w:t>6.1 Purpose of the Governance and Safeguard Assurance Layer</w:t>
      </w:r>
      <w:bookmarkEnd w:id="79"/>
      <w:bookmarkEnd w:id="80"/>
    </w:p>
    <w:p w14:paraId="1055069F" w14:textId="77777777" w:rsidR="00EB2F85" w:rsidRDefault="00772CAE">
      <w:pPr>
        <w:pStyle w:val="FirstParagraph"/>
      </w:pPr>
      <w:r>
        <w:t>Layer III of Ghana’s national blue carbon Monitoring, Reporting, and Verification (MRV) framework performs a function that the ecological monitoring network cannot discharge alone: it ensures that the governance structures responsible for generating and protecting carbon outcomes are themselves functioning — inclusively, transparently, and accountably. The designation of this layer as the third pillar of the MRV architecture is not a concession to social development convention. It is a technical necessity grounded in the evidence collected from 37 communities across the Songor, Keta Lagoon Complex, and Muni-Pomadze Ramsar sites during the 2025 baseline. A monitoring system that accurately measures carbon stocks while overlooking the governance conditions that determine whether those stocks will persist is not a robust system; it is a system that will eventually fail without warning.</w:t>
      </w:r>
    </w:p>
    <w:p w14:paraId="105506A0" w14:textId="77777777" w:rsidR="00EB2F85" w:rsidRDefault="00772CAE">
      <w:pPr>
        <w:pStyle w:val="BodyText"/>
      </w:pPr>
      <w:r>
        <w:t>The logic connecting governance stability to carbon permanence is direct. Community Resource Management Areas (CREMAs) are the institutional vehicle through which communities become co-custodians of blue carbon landscapes, enforce by-laws against destructive harvesting and encroachment, and enter the legal arrangements required to access carbon finance. Where CREMAs are not yet established, or where they are formed around power structures that exclude primary resource users — women, youth, migrants, and persons with disabilities — the governance foundations of the entire carbon investment are insecure. Elite-captured or exclusionary CREMAs produce rules that lack community legitimacy; rules without legitimacy are not enforced; unmanaged landscapes degrade. The governance monitoring layer is therefore designed to detect the institutional preconditions for that failure before it manifests ecologically, treating governance instability as a leading indicator of carbon risk rather than a secondary social concern.</w:t>
      </w:r>
    </w:p>
    <w:p w14:paraId="105506A1" w14:textId="77777777" w:rsidR="00EB2F85" w:rsidRDefault="00772CAE">
      <w:pPr>
        <w:pStyle w:val="BodyText"/>
      </w:pPr>
      <w:r>
        <w:t>Layer III operates alongside Layer I (Ecological and Carbon Integrity) and Layer II (Environmental Pressure Surveillance) through the same four-tier institutional structure: community-level Community Change Agents (CCAs) and CREMA committees, district-level Wildlife Division officers and District Assemblies, national-level MLNR (Ministry of Lands and Natural Resources) and MESTI (Ministry of Environment, Science, Technology and Innovation), and independent review bodies where applicable. Governance indicators flow through the same digital platform and annual reporting cycle that carry ecological and pressure data upward through the system, ensuring that MESTI and MLNR receive an integrated picture of landscape health — not a carbon metric divorced from the human systems that will ultimately determine whether it holds.</w:t>
      </w:r>
    </w:p>
    <w:p w14:paraId="105506A2" w14:textId="77777777" w:rsidR="00EB2F85" w:rsidRDefault="00772CAE">
      <w:pPr>
        <w:pStyle w:val="Heading2"/>
      </w:pPr>
      <w:bookmarkStart w:id="81" w:name="the-baseline-governance-gap"/>
      <w:bookmarkStart w:id="82" w:name="_Toc225323408"/>
      <w:r>
        <w:lastRenderedPageBreak/>
        <w:t>6.2 The Baseline Governance Gap</w:t>
      </w:r>
      <w:bookmarkEnd w:id="81"/>
      <w:bookmarkEnd w:id="82"/>
    </w:p>
    <w:p w14:paraId="105506A3" w14:textId="77777777" w:rsidR="00EB2F85" w:rsidRDefault="00772CAE">
      <w:pPr>
        <w:pStyle w:val="FirstParagraph"/>
      </w:pPr>
      <w:r>
        <w:t>The 2025 socio-economic baseline study documented a governance landscape that is more fragile than the surface visibility of community institutions might suggest. The most significant structural finding is this: informal grievance systems operate in more than 80% of the 37 communities profiled across the three Ramsar sites. The phrase “informal grievance system” is in practice a euphemism for the absence of a grievance mechanism altogether. In communities like Dzita, Salo, Galotse, and Bomigo along the Keta Lagoon Complex, and in Totope and Elavanyo within the Songor landscape, there is no documented pathway through which a community member — whether a migrant fisher, a woman whose access to a restoration zone has been restricted, or a youth excluded from a benefit allocation decision — can raise a concern and receive a predictable, documented response. When grievances accumulate without a credible outlet, they surface as passive non-compliance, out-migration, or the sabotage of conservation activities that are seen as serving elite interests. In the context of a blue carbon programme, this dynamic translates directly into restoration failure and carbon impermanence.</w:t>
      </w:r>
    </w:p>
    <w:p w14:paraId="105506A4" w14:textId="77777777" w:rsidR="00EB2F85" w:rsidRDefault="00772CAE">
      <w:pPr>
        <w:pStyle w:val="BodyText"/>
      </w:pPr>
      <w:r>
        <w:t>The governance gap extends beyond grievance systems. The Wildlife Resources Management Act, 2023 (Act 1115) provides the legal foundation for CREMAs as formally gazettable community institutions capable of entering contracts, managing resources, and holding benefit flows from carbon markets. However, as of the 2025 baseline, the supporting Legislative Instrument that would provide the detailed regulations for CREMA establishment, governance, and benefit-sharing had not yet been finalised and passed by Parliament. This legal gap means that even communities with high organisational readiness — notably Sankor in Muni-Pomadze — cannot yet complete the formal CREMA gazettement process. The governance monitoring layer tracks this legal and institutional maturity trajectory as part of its annual review cycle, providing MLNR with a current status assessment of readiness across all three landscapes.</w:t>
      </w:r>
    </w:p>
    <w:p w14:paraId="105506A5" w14:textId="77777777" w:rsidR="00EB2F85" w:rsidRDefault="00772CAE">
      <w:pPr>
        <w:pStyle w:val="BodyText"/>
      </w:pPr>
      <w:r>
        <w:t>Perhaps the most consequential governance gap documented in the baseline is structural rather than procedural: decision-making bodies at the community level are overwhelmingly male-dominated. Unit Committees and interim Community Resource Management Committees (CRMCs) are described as “almost always male-led” across the three sites. Women, who are the primary collectors and users of mangrove fuelwood — the single most significant driver of mangrove degradation at Keta — and the primary managers of the post-harvest fisheries economy in communities including Dzita, Sankor, and Agbatsivi, have no formal governance role in the institutions that set the rules for those same resources. This structural absence is not a social equity problem appended to an otherwise functioning system. It is the system’s central functional failure.</w:t>
      </w:r>
    </w:p>
    <w:p w14:paraId="105506A6" w14:textId="77777777" w:rsidR="00EB2F85" w:rsidRDefault="00772CAE">
      <w:pPr>
        <w:pStyle w:val="Heading2"/>
      </w:pPr>
      <w:bookmarkStart w:id="83" w:name="inclusion-standards"/>
      <w:bookmarkStart w:id="84" w:name="_Toc225323409"/>
      <w:r>
        <w:t>6.3 Inclusion Standards</w:t>
      </w:r>
      <w:bookmarkEnd w:id="83"/>
      <w:bookmarkEnd w:id="84"/>
    </w:p>
    <w:p w14:paraId="105506A7" w14:textId="77777777" w:rsidR="00EB2F85" w:rsidRDefault="00772CAE">
      <w:pPr>
        <w:pStyle w:val="FirstParagraph"/>
      </w:pPr>
      <w:r>
        <w:t xml:space="preserve">The minimum standard for CREMA executive leadership established under the MRV governance framework is 40% female representation. This figure is not aspirational and is not a soft target to be pursued when conditions allow. It is a monitoring indicator with </w:t>
      </w:r>
      <w:r>
        <w:lastRenderedPageBreak/>
        <w:t>defined accountability, reported annually to MLNR, and treated as a structural prerequisite for a CREMA governance body to be considered functional for the purposes of the MRV system. A CREMA that does not meet the 40% threshold is flagged in the governance monitoring record — not as a compliance violation in the administrative sense, but as a risk signal that management plans developed by that body lack the representational basis required to generate legitimate, community-wide compliance with their provisions.</w:t>
      </w:r>
    </w:p>
    <w:p w14:paraId="105506A8" w14:textId="77777777" w:rsidR="00EB2F85" w:rsidRDefault="00772CAE">
      <w:pPr>
        <w:pStyle w:val="BodyText"/>
      </w:pPr>
      <w:r>
        <w:t>The rationale for this threshold is both empirical and analytical. In Anloga district, which sits within the Keta Lagoon Complex and includes communities such as Dzita, Salo, and Galotse, 46.2% of households are female-headed — a rate that significantly exceeds the national average of 35.3%. Women in Anloga are not a marginal demographic in governance terms; they are the household decision-making majority and the primary managers of the post-harvest economy and domestic energy supply. A governance structure that excludes or underrepresents them is not representative of the community it claims to govern. The monitoring indicator is calibrated to that demographic reality.</w:t>
      </w:r>
    </w:p>
    <w:p w14:paraId="105506A9" w14:textId="77777777" w:rsidR="00EB2F85" w:rsidRDefault="00772CAE">
      <w:pPr>
        <w:pStyle w:val="BodyText"/>
      </w:pPr>
      <w:r>
        <w:t>Youth representation is monitored alongside female leadership as a separate governance health indicator. The Volta Region age dependency ratio of 73.1 — substantially above the national figure of 66.0 — reflects the population structure in the Keta and Songor landscapes, where field findings consistently indicated that individuals aged 15 to 35 constitute more than 50% of community populations. Communities like Totope and Elavanyo in the Songor landscape and island communities like Bomigo in the Keta Complex have documented a significant drift of young people toward urban centres in response to declining fish stocks, exclusion from decision-making, and what one Totope respondent described directly as the sentiment: “If they don’t see us, we will stop seeing the forest.” Youth disengagement from governance is not simply a social equity concern; it is the primary driver of the future restoration labour deficit and an indicator of the intergenerational legitimacy of the CREMA system. The governance monitoring framework therefore tracks not only formal youth representation on CREMA committees but evidence of meaningful youth participation in decision-making processes — the substantive distinction between presence and power.</w:t>
      </w:r>
    </w:p>
    <w:p w14:paraId="105506AA" w14:textId="77777777" w:rsidR="00EB2F85" w:rsidRDefault="00772CAE">
      <w:pPr>
        <w:pStyle w:val="BodyText"/>
      </w:pPr>
      <w:r>
        <w:t>The monitoring framework also tracks the participation of persons with disabilities (PWDs) in governance processes. In the Volta Region, PWDs represent 8.8% of the population — a group that, across the 2025 baseline fieldwork, was found to be largely invisible in governance planning despite being present in communities including Salo, Galotse, and Sota. Meeting venues are rarely accessible, and the social stigma that questions the capacity of PWDs to contribute was documented as a consistent barrier to inclusion. The governance monitoring layer requires that CREMA convening practices and consultation processes are adapted to enable PWD participation, and that annual governance composition reports disaggregate participation data accordingly.</w:t>
      </w:r>
    </w:p>
    <w:p w14:paraId="105506AB" w14:textId="77777777" w:rsidR="00EB2F85" w:rsidRDefault="00772CAE">
      <w:pPr>
        <w:pStyle w:val="Heading2"/>
      </w:pPr>
      <w:bookmarkStart w:id="85" w:name="elite-capture-and-exclusion-risks"/>
      <w:bookmarkStart w:id="86" w:name="_Toc225323410"/>
      <w:r>
        <w:t>6.4 Elite Capture and Exclusion Risks</w:t>
      </w:r>
      <w:bookmarkEnd w:id="85"/>
      <w:bookmarkEnd w:id="86"/>
    </w:p>
    <w:p w14:paraId="105506AC" w14:textId="77777777" w:rsidR="00EB2F85" w:rsidRDefault="00772CAE">
      <w:pPr>
        <w:pStyle w:val="FirstParagraph"/>
      </w:pPr>
      <w:r>
        <w:t xml:space="preserve">The risk assessment prepared for the WACA Blue Carbon initiative identifies elite capture as a high-risk pathway at multiple sites if CREMA formation proceeds by </w:t>
      </w:r>
      <w:r>
        <w:lastRenderedPageBreak/>
        <w:t>formalising existing power structures rather than by designing against their exclusionary tendencies. This assessment is not a generic caution. It is a site-specific diagnosis drawn from the governance baseline: existing community-level structures are male-dominated, traditional councils maintain concentrated authority over land allocation and resource access, and the emergence of a valuable new asset class — carbon rights — creates powerful incentives for capture by actors who already control institutional access.</w:t>
      </w:r>
    </w:p>
    <w:p w14:paraId="105506AD" w14:textId="77777777" w:rsidR="00EB2F85" w:rsidRDefault="00772CAE">
      <w:pPr>
        <w:pStyle w:val="BodyText"/>
      </w:pPr>
      <w:r>
        <w:t>At Songor, where communities including Elavanyo and Pute sit at the epicentre of contested land tenure between traditional fishing communities and commercial salt mining operations, the conditions for elite capture are particularly acute. The governance baseline describes Songor as characterised by “overlapping and often contested layers” of authority — chieftaincy disputes, internal community factionalism, and external industrial pressure — all of which create a fragmented governance environment where any new institution, including a CREMA, is susceptible to being captured by the faction with the most organisational resources and political connections. The introduction of carbon finance into this landscape would represent a new, high-value asset arriving in an arena where the rules for resource allocation are already fiercely contested. The governance monitoring system for Songor is therefore designed to detect capture dynamics before they consolidate, tracking not only the formal composition of emerging governance structures but the distribution of voice in key decisions including boundary demarcation, by-law drafting, and benefit allocation.</w:t>
      </w:r>
    </w:p>
    <w:p w14:paraId="105506AE" w14:textId="77777777" w:rsidR="00EB2F85" w:rsidRDefault="00772CAE">
      <w:pPr>
        <w:pStyle w:val="BodyText"/>
      </w:pPr>
      <w:r>
        <w:t>At Keta, the elite capture risk is more diffuse but structurally embedded in the same male-dominated governance pattern documented across the wider baseline. Traditional leadership structures in communities like Dzita and Agbatsivi hold the social licence required for project entry — their consent was a mandatory precondition for the research team’s access throughout the baseline fieldwork. This legitimacy is a resource, not a problem. But relying exclusively on traditional authority channels as the implementation pathway for CREMA governance reproduces the exclusions that are already generating compliance risks. The governance monitoring indicators are designed to track the gap between formal representation and actual participation in substantive decisions, specifically whether women and youth who hold CREMA committee seats are attending meetings, speaking in governance forums, and exercising independent judgment on benefit allocation rather than deferring to elder-male direction.</w:t>
      </w:r>
    </w:p>
    <w:p w14:paraId="105506AF" w14:textId="77777777" w:rsidR="00EB2F85" w:rsidRDefault="00772CAE">
      <w:pPr>
        <w:pStyle w:val="BodyText"/>
      </w:pPr>
      <w:r>
        <w:t>Migrant populations — including Togolese and Beninois fishers present in significant numbers in the Keta Lagoon Complex — face a distinct exclusion risk that overlaps with but is not reducible to gender or age dynamics. These groups are among the most resource-dependent in the landscape, have the weakest tenure security, and are routinely excluded from governance processes that will nevertheless bind them to access restrictions and resource management rules. Governance monitoring includes a specific indicator for the participation of migrant and non-customary community members in CREMA processes, recognising that a CREMA whose by-laws are not considered legitimate by a significant portion of its resource users will be unable to achieve the compliance levels on which carbon permanence depends.</w:t>
      </w:r>
    </w:p>
    <w:p w14:paraId="105506B0" w14:textId="77777777" w:rsidR="00EB2F85" w:rsidRDefault="00772CAE">
      <w:pPr>
        <w:pStyle w:val="Heading2"/>
      </w:pPr>
      <w:bookmarkStart w:id="87" w:name="fpic-and-ongoing-consent"/>
      <w:bookmarkStart w:id="88" w:name="_Toc225323411"/>
      <w:r>
        <w:lastRenderedPageBreak/>
        <w:t>6.5 FPIC and Ongoing Consent</w:t>
      </w:r>
      <w:bookmarkEnd w:id="87"/>
      <w:bookmarkEnd w:id="88"/>
    </w:p>
    <w:p w14:paraId="105506B1" w14:textId="77777777" w:rsidR="00EB2F85" w:rsidRDefault="00772CAE">
      <w:pPr>
        <w:pStyle w:val="FirstParagraph"/>
      </w:pPr>
      <w:r>
        <w:t>Free, Prior, and Informed Consent (FPIC) is embedded in the MRV governance framework not as a project entry requirement but as a continuous monitoring obligation. This distinction is consequential. The socio-economic baseline found that while initial consent was achieved during the project inception phase, renewal was flagged as an active need — reflecting the baseline team’s recognition that the conditions under which communities consented to the project’s initial activities will not remain static as interventions deepen, carbon finance arrangements are established, and land-use restrictions on restoration zones take effect. Communities that agreed to participate in a baseline mapping exercise have not thereby consented to specific CREMA boundary demarcations, to access restrictions on particular mangrove stands, or to the terms of a future carbon credit arrangement. Each of these represents a materially distinct intervention with distinct implications for community members’ livelihoods, and each requires its own documented FPIC process.</w:t>
      </w:r>
    </w:p>
    <w:p w14:paraId="105506B2" w14:textId="77777777" w:rsidR="00EB2F85" w:rsidRDefault="00772CAE">
      <w:pPr>
        <w:pStyle w:val="BodyText"/>
      </w:pPr>
      <w:r>
        <w:t>The governance monitoring layer operationalises FPIC renewal through a set of defined milestones that function as mandatory checkpoints in the MRV annual cycle. These milestones include the finalisation of CREMA boundaries, the adoption of CREMA by-laws and governance constitutions, the establishment of access restrictions associated with restoration zones, and the first activation of carbon finance distribution. At each milestone, FPIC documentation must record the composition of consultations — disaggregated by gender, age, and community membership status — the specific information disclosed, the questions and concerns raised by participants, and a clear statement of the decision or consent reached. This documentation is archived within the national MRV database and is available for review by MLNR, MESTI, the Forestry Commission, and independent verifiers.</w:t>
      </w:r>
    </w:p>
    <w:p w14:paraId="105506B3" w14:textId="77777777" w:rsidR="00EB2F85" w:rsidRDefault="00772CAE">
      <w:pPr>
        <w:pStyle w:val="BodyText"/>
      </w:pPr>
      <w:r>
        <w:t>The challenge of making FPIC genuinely informed in communities where literacy rates are variable and where the legal and financial concepts associated with carbon markets have no established local referent — carbon rights, credit verification, benefit-sharing schedules — is explicitly addressed in the governance monitoring design. The framework requires that all FPIC consultation materials be produced in the dominant local languages of the project area: Ewe in the Keta and Songor landscapes, Dangme in the Ada area, and Fante in the Muni-Pomadze communities centred on Sankor. Visual formats, community radio dissemination, and participatory methods are specified where literacy barriers are documented. Critically, dedicated consultation sessions must be held separately for women, youth, PWDs, and migrant groups — not as a procedural gesture, but because the experience of the baseline fieldwork demonstrated that in mixed, male-dominated forums, these groups consistently self-censored or deferred to dominant community voices in ways that produced documented consent without meaningful agreement.</w:t>
      </w:r>
    </w:p>
    <w:p w14:paraId="105506B4" w14:textId="77777777" w:rsidR="00EB2F85" w:rsidRDefault="00772CAE">
      <w:pPr>
        <w:pStyle w:val="Heading2"/>
      </w:pPr>
      <w:bookmarkStart w:id="89" w:name="grievance-redress-mechanism"/>
      <w:bookmarkStart w:id="90" w:name="_Toc225323412"/>
      <w:r>
        <w:t>6.6 Grievance Redress Mechanism</w:t>
      </w:r>
      <w:bookmarkEnd w:id="89"/>
      <w:bookmarkEnd w:id="90"/>
    </w:p>
    <w:p w14:paraId="105506B5" w14:textId="77777777" w:rsidR="00EB2F85" w:rsidRDefault="00772CAE">
      <w:pPr>
        <w:pStyle w:val="FirstParagraph"/>
      </w:pPr>
      <w:r>
        <w:t xml:space="preserve">A functioning Grievance Redress Mechanism (GRM) is a mandatory infrastructure requirement at each of the three blue carbon landscapes. Given the baseline finding that formal grievance mechanisms are absent or non-functional in more than 80% of the </w:t>
      </w:r>
      <w:r>
        <w:lastRenderedPageBreak/>
        <w:t>37 profiled communities, establishing GRMs at Keta, Songor, and Muni-Pomadze is not a gradual governance maturity objective — it is an early implementation priority that must be addressed before restoration activities and access restrictions are operationalised on the ground.</w:t>
      </w:r>
    </w:p>
    <w:p w14:paraId="105506B6" w14:textId="77777777" w:rsidR="00EB2F85" w:rsidRDefault="00772CAE">
      <w:pPr>
        <w:pStyle w:val="BodyText"/>
      </w:pPr>
      <w:r>
        <w:t>The GRM design follows a three-tier escalation structure. At the community level, CCAs and designated CRMC Grievance Officers serve as the accessible first point of contact for community members raising concerns. The CCA network is particularly important in this role because CCAs are peer-nominated, locally trusted, and have demonstrated — in communities from Sankor to Dzita — an ability to receive and mediate concerns across community social lines without reproducing the power asymmetries of traditional authority structures. At this tier, the emphasis is on logging, listening, and informal resolution of straightforward concerns: confusion over restoration zone boundaries, questions about eligibility for livelihood support, or minor interpersonal disputes arising from project activities. The key requirement is documentation — a standardised GRM logbook in which every grievance is recorded regardless of how it is resolved.</w:t>
      </w:r>
    </w:p>
    <w:p w14:paraId="105506B7" w14:textId="77777777" w:rsidR="00EB2F85" w:rsidRDefault="00772CAE">
      <w:pPr>
        <w:pStyle w:val="BodyText"/>
      </w:pPr>
      <w:r>
        <w:t>The second tier involves formal mediation through the CREMA Executive Committee, with the participation of traditional leaders whose authority in conflict resolution has proven depth and legitimacy in communities where the baseline found taboo systems and elder-mediated dispute resolution to be highly effective. This tier handles grievances escalated from the community level and those of inherently greater complexity: intra-community disputes over restoration site boundaries, allegations of inequitable benefit distribution, or conflicts between traditional land-use practices and the access restrictions of a designated carbon zone. The CREMA’s dual role in this tier — as both the party responsible for implementing the decisions that generate grievances and the body that hears those grievances — requires careful governance design to prevent conflicts of interest, which is why the requirement for a designated Grievance Officer independent of the CREMA chair’s direct authority is built into the framework.</w:t>
      </w:r>
    </w:p>
    <w:p w14:paraId="105506B8" w14:textId="77777777" w:rsidR="00EB2F85" w:rsidRDefault="00772CAE">
      <w:pPr>
        <w:pStyle w:val="BodyText"/>
      </w:pPr>
      <w:r>
        <w:t>The third tier connects community and CREMA-level processes to the statutory administrative system through a joint Safeguards Desk comprising designated representatives from the District Assembly and the Wildlife Division. This tier handles grievances that could not be resolved below it, complaints made against CREMA leadership or project staff, and appeals of second-tier decisions. Its involvement is the escalation mechanism that gives the entire GRM credibility — without a tier that carries statutory authority and is accessible to community members who have exhausted local options, the first two tiers become closed loops that powerful community actors can manage to their own advantage.</w:t>
      </w:r>
    </w:p>
    <w:p w14:paraId="105506B9" w14:textId="77777777" w:rsidR="00EB2F85" w:rsidRDefault="00772CAE">
      <w:pPr>
        <w:pStyle w:val="BodyText"/>
      </w:pPr>
      <w:r>
        <w:t xml:space="preserve">The governance monitoring system tracks four GRM indicators on a quarterly basis: the number of grievances received, the nature and patterns of those grievances, the resolution rate, and the time taken to resolve cases. A pattern of unresolved or repeated grievances — particularly in a specific site or on a specific category of concern such as benefit distribution — is treated as a governance risk signal and triggers district-level review. This integration of grievance data with governance risk assessment is what </w:t>
      </w:r>
      <w:r>
        <w:lastRenderedPageBreak/>
        <w:t>distinguishes the GRM from a procedural compliance mechanism and makes it a live diagnostic tool within the MRV system.</w:t>
      </w:r>
    </w:p>
    <w:p w14:paraId="105506BA" w14:textId="77777777" w:rsidR="00EB2F85" w:rsidRDefault="00772CAE">
      <w:pPr>
        <w:pStyle w:val="Heading2"/>
      </w:pPr>
      <w:bookmarkStart w:id="91" w:name="benefit-sharing-transparency"/>
      <w:bookmarkStart w:id="92" w:name="_Toc225323413"/>
      <w:r>
        <w:t>6.7 Benefit-Sharing Transparency</w:t>
      </w:r>
      <w:bookmarkEnd w:id="91"/>
      <w:bookmarkEnd w:id="92"/>
    </w:p>
    <w:p w14:paraId="105506BB" w14:textId="77777777" w:rsidR="00EB2F85" w:rsidRDefault="00772CAE">
      <w:pPr>
        <w:pStyle w:val="FirstParagraph"/>
      </w:pPr>
      <w:r>
        <w:t>Where carbon finance or project benefits are distributed to communities, the governance monitoring system treats the conditions of that distribution as a direct indicator of governance health. The rationale is clear from the baseline: in a context where formal financial management systems are weak or absent in most community-based organisations, where financial literacy is generally low, and where the value of carbon credits is not yet widely understood in communities like Bomigo, Salo, or Elavanyo, opaque or poorly documented benefit flows create the ideal conditions for elite capture and for community disillusionment that undermines the social licence upon which carbon permanence ultimately depends.</w:t>
      </w:r>
    </w:p>
    <w:p w14:paraId="105506BC" w14:textId="77777777" w:rsidR="00EB2F85" w:rsidRDefault="00772CAE">
      <w:pPr>
        <w:pStyle w:val="BodyText"/>
      </w:pPr>
      <w:r>
        <w:t>The governance layer monitors four conditions of benefit-sharing transparency. Benefit-sharing arrangements must be publicly documented and made available to the full community in an accessible format — not restricted to CREMA committee members or traditional leadership. Distribution must demonstrably follow the agreed allocation criteria established through the FPIC process; deviations require documented justification and community consultation. Benefit allocation decisions must be subject to community review, providing a structured opportunity for community members to raise concerns before a distribution cycle closes. And benefit documentation must capture access by marginalised groups — disaggregated by gender and youth participation — to confirm that the distribution is reaching beyond the dominant social actors who typically control community financial flows.</w:t>
      </w:r>
    </w:p>
    <w:p w14:paraId="105506BD" w14:textId="77777777" w:rsidR="00EB2F85" w:rsidRDefault="00772CAE">
      <w:pPr>
        <w:pStyle w:val="BodyText"/>
      </w:pPr>
      <w:r>
        <w:t>These requirements are not externally imposed compliance conditions in the abstract; they emerge directly from the baseline’s documentation of governance failure modes. Women’s groups — including the Midakpenam Fish Processors Association and the Boafo Ye Na Association, which operate across the Keta and Muni-Pomadze landscapes — have demonstrated financial management capabilities and social cohesion that make them not only the logical partners for co-benefit delivery but the most credible accountability actors within community benefit systems. The governance monitoring framework specifically recommends channelling a defined portion of project co-benefits and livelihood support grants through established women’s groups and Village Savings and Loan Associations (VSLAs), both to leverage their proven financial management capacity and to ensure that women’s economic access to project benefits is structurally secured rather than subject to household- or community-level male gatekeeping.</w:t>
      </w:r>
    </w:p>
    <w:p w14:paraId="105506BE" w14:textId="77777777" w:rsidR="00EB2F85" w:rsidRDefault="00772CAE">
      <w:pPr>
        <w:pStyle w:val="BodyText"/>
      </w:pPr>
      <w:r>
        <w:t xml:space="preserve">The broader implication for the MRV system is that benefit transparency is not merely a social welfare indicator. It is a leading indicator of CREMA institutional health. A CREMA that manages benefit flows transparently, distributes them equitably, and maintains the trust of its full community membership is one that has the social licence to enforce its by-laws, resist elite capture, and maintain the governance conditions that protect carbon permanence. Conversely, a CREMA that concentrates benefit flows and generates unresolved grievances about allocation is one whose institutional legitimacy </w:t>
      </w:r>
      <w:r>
        <w:lastRenderedPageBreak/>
        <w:t>will erode, whose community compliance with access restrictions will weaken, and whose carbon stocks are at elevated risk. The governance monitoring layer makes this connection explicit, treating benefit-sharing transparency data as part of the same integrated risk picture as ecological pressure alerts and land conversion signals.</w:t>
      </w:r>
    </w:p>
    <w:p w14:paraId="105506BF" w14:textId="77777777" w:rsidR="00EB2F85" w:rsidRDefault="00772CAE">
      <w:pPr>
        <w:pStyle w:val="Heading2"/>
      </w:pPr>
      <w:bookmarkStart w:id="93" w:name="X13da509a6a0106f7e0bd438f1222f8f03ec6f0f"/>
      <w:bookmarkStart w:id="94" w:name="_Toc225323414"/>
      <w:r>
        <w:t>6.8 Site-Specific Governance Monitoring Priorities</w:t>
      </w:r>
      <w:bookmarkEnd w:id="93"/>
      <w:bookmarkEnd w:id="94"/>
    </w:p>
    <w:p w14:paraId="105506C0" w14:textId="77777777" w:rsidR="00EB2F85" w:rsidRDefault="00772CAE">
      <w:pPr>
        <w:pStyle w:val="FirstParagraph"/>
      </w:pPr>
      <w:r>
        <w:t>The three Ramsar landscapes present governance monitoring priorities that are distinct in character, not merely in degree, and the framework is designed accordingly.</w:t>
      </w:r>
    </w:p>
    <w:p w14:paraId="105506C1" w14:textId="77777777" w:rsidR="00EB2F85" w:rsidRDefault="00772CAE">
      <w:pPr>
        <w:pStyle w:val="BodyText"/>
      </w:pPr>
      <w:r>
        <w:t>At Muni-Pomadze, where communities centred on Sankor demonstrate the highest baseline CREMA readiness of the three sites — active and organised women’s groups, a history of constructive engagement with the Winneba Wildlife Division office, and strong cultural cohesion anchored in shared spiritual traditions including the Aboakyer Festival — the governance monitoring priority is consolidation and formalisation rather than remediation. The social capital required to build a functional CREMA is present; the governance monitoring system is designed to track whether that momentum is being sustained and institutionalised as the CREMA constitution drafting and by-law adoption process advances. Specific indicators include the frequency and documented inclusiveness of community governance meetings, the progress of formal registration under the Wildlife Resources Management Act, 2023 (Act 1115), and the maintenance of female representation at or above the 40% threshold in CREMA leadership bodies. Because Sankor is designated as the early action hub for Muni-Pomadze under the MRV framework, the governance monitoring record at this site will also serve as the reference model — the “demonstration CREMA” — whose documentation trail and governance standards will inform CREMA establishment at Songor and Keta as those processes develop.</w:t>
      </w:r>
    </w:p>
    <w:p w14:paraId="105506C2" w14:textId="77777777" w:rsidR="00EB2F85" w:rsidRDefault="00772CAE">
      <w:pPr>
        <w:pStyle w:val="BodyText"/>
      </w:pPr>
      <w:r>
        <w:t>At Songor, where the focal community of Pute sits within a landscape defined by deep land tenure disputes between traditional fishing communities and commercial salt mining operations — with communities like Elavanyo and Obane documented as epicentres of conflict — the governance monitoring priority is conflict tracking and pre-conditions for CREMA formation rather than CREMA governance per se. Attempting to establish a formal CREMA governance structure in an environment of unresolved boundary disputes and documented community factionalism would be, in the risk assessment’s terms, a recipe for that structure being immediately captured or delegitimised by the dominant faction. The governance monitoring indicators for Songor therefore track the progress of conflict mediation processes, the outputs of any participatory land-use mapping exercises, and the evidence of emerging consensus between competing stakeholder groups as necessary preconditions for formal CREMA establishment. Land tenure disputes between artisanal and industrial actors are monitored as a cross-cutting risk signal — escalating conflict at Songor is treated as an environmental pressure risk as well as a governance risk, given the baseline documentation that salt pan expansion in and around Elavanyo has been directly associated with mangrove clearance.</w:t>
      </w:r>
    </w:p>
    <w:p w14:paraId="105506C3" w14:textId="77777777" w:rsidR="00EB2F85" w:rsidRDefault="00772CAE">
      <w:pPr>
        <w:pStyle w:val="BodyText"/>
      </w:pPr>
      <w:r>
        <w:t xml:space="preserve">At the Keta Lagoon Complex, the governance monitoring challenge is scale and fragmentation. The lagoon and its surrounding communities span a geographic extent </w:t>
      </w:r>
      <w:r>
        <w:lastRenderedPageBreak/>
        <w:t>and social diversity that make a single-CREMA governance design unworkable. The baseline found pockets of organisational readiness — the Dzita–Agbatsivi cluster in particular, where CCAs have demonstrated effective social mobilisation and where community desire to address severe mangrove degradation provides strong motivation — alongside communities like Galotse and Bomigo where institutional capacity is weaker and vulnerability to coastal erosion and resource depletion is acute. The governance monitoring framework for Keta tracks progress within a phased, cluster-based CREMA formation strategy: the Dzita–Agbatsivi cluster as the first formation unit, with subsequent clusters building on its documentation and governance standards. Specific monitoring priorities include CREMA boundary demarcation progress, the inclusion of migrant fishers in consultation and governance processes, and the escalation of any governance breakdown signals — particularly in the Anloga district communities, where the 46.2% female-headed household rate makes meaningful female CREMA leadership not just an equity objective but the empirically grounded governance standard for this landscape.</w:t>
      </w:r>
    </w:p>
    <w:p w14:paraId="105506C4" w14:textId="77777777" w:rsidR="00EB2F85" w:rsidRDefault="00772CAE">
      <w:pPr>
        <w:pStyle w:val="BodyText"/>
      </w:pPr>
      <w:r>
        <w:t>Across all three sites, the integration of governance monitoring into the broader MRV system means that signals from Layer III do not sit in a separate social management silo. A pattern of unresolved grievances at Keta, an escalating conflict over restoration zone boundaries at Songor, or a decline in women’s participation in Sankor’s CREMA committees are all treated, within the MRV system’s analytical architecture, as early-warning indicators that the governance conditions protecting carbon permanence may be deteriorating. MESTI, MLNR, and the Forestry Commission receive these signals through the same quarterly and annual reporting cycle that carries ecological and pressure data, enabling an integrated institutional response that treats governance failure and ecological risk as what the baseline evidence confirms them to be: the same problem viewed from different angles.</w:t>
      </w:r>
    </w:p>
    <w:p w14:paraId="105506C5" w14:textId="77777777" w:rsidR="00EB2F85" w:rsidRDefault="00000000">
      <w:r>
        <w:pict w14:anchorId="10550856">
          <v:rect id="_x0000_i1069" style="width:0;height:1.5pt" o:hralign="center" o:hrstd="t" o:hr="t"/>
        </w:pict>
      </w:r>
    </w:p>
    <w:p w14:paraId="105506C6" w14:textId="77777777" w:rsidR="00EB2F85" w:rsidRDefault="00772CAE">
      <w:pPr>
        <w:pStyle w:val="Heading1"/>
      </w:pPr>
      <w:bookmarkStart w:id="95" w:name="Xff432aba1894b5bff45790351536f499f1587a5"/>
      <w:bookmarkStart w:id="96" w:name="_Toc225323415"/>
      <w:r>
        <w:t>Chapter 7: Wetland Ecosystem Monitoring (Keta and Ada)</w:t>
      </w:r>
      <w:bookmarkEnd w:id="95"/>
      <w:bookmarkEnd w:id="96"/>
    </w:p>
    <w:p w14:paraId="105506C7" w14:textId="77777777" w:rsidR="00EB2F85" w:rsidRDefault="00000000">
      <w:r>
        <w:pict w14:anchorId="10550857">
          <v:rect id="_x0000_i1070" style="width:0;height:1.5pt" o:hralign="center" o:hrstd="t" o:hr="t"/>
        </w:pict>
      </w:r>
    </w:p>
    <w:p w14:paraId="105506C8" w14:textId="77777777" w:rsidR="00EB2F85" w:rsidRDefault="00772CAE">
      <w:pPr>
        <w:pStyle w:val="Heading2"/>
      </w:pPr>
      <w:bookmarkStart w:id="97" w:name="X83885a1c3c876b5626f8231314c9e02421a6afd"/>
      <w:bookmarkStart w:id="98" w:name="_Toc225323416"/>
      <w:r>
        <w:t>7.1 Rationale for the Keta and Ada Monitoring Network</w:t>
      </w:r>
      <w:bookmarkEnd w:id="97"/>
      <w:bookmarkEnd w:id="98"/>
    </w:p>
    <w:p w14:paraId="105506C9" w14:textId="77777777" w:rsidR="00EB2F85" w:rsidRDefault="00772CAE">
      <w:pPr>
        <w:pStyle w:val="FirstParagraph"/>
      </w:pPr>
      <w:r>
        <w:t>The decision to establish a dedicated, operational wetland monitoring network at Keta and Ada — before the equivalent infrastructure existed at any other project site — was not arbitrary. It followed directly from the ecological reality revealed by the December 2025 baseline assessment: that these two sites together define the strategic core of Ghana’s national blue carbon programme, and that understanding how their ecosystems are behaving in real time is not optional for sound management. They are the two sites where ecological dynamics are both most significant and least understood.</w:t>
      </w:r>
    </w:p>
    <w:p w14:paraId="105506CA" w14:textId="77777777" w:rsidR="00EB2F85" w:rsidRDefault="00772CAE">
      <w:pPr>
        <w:pStyle w:val="BodyText"/>
      </w:pPr>
      <w:r>
        <w:t xml:space="preserve">The case for Keta is quantitative and unambiguous. The Keta Lagoon Complex Ramsar Site contains an estimated 20,717.95 hectares of mangroves — approximately 69% of </w:t>
      </w:r>
      <w:r>
        <w:lastRenderedPageBreak/>
        <w:t xml:space="preserve">Ghana’s entire coastal mangrove resource. This concentration is not a gradual ecological transition from surrounding landscapes; it is a discrete, immense expanse of </w:t>
      </w:r>
      <w:r>
        <w:rPr>
          <w:i/>
        </w:rPr>
        <w:t>Rhizophora racemosa</w:t>
      </w:r>
      <w:r>
        <w:t xml:space="preserve"> and </w:t>
      </w:r>
      <w:r>
        <w:rPr>
          <w:i/>
        </w:rPr>
        <w:t>Avicennia germinans</w:t>
      </w:r>
      <w:r>
        <w:t xml:space="preserve"> stands extending in large, continuous stretches between the main lagoon body and the Volta River estuary, separated from the Gulf of Guinea by a coastal ridge as narrow as 0.92 kilometres at its narrowest point. A site of this scale, containing this proportion of the national carbon asset, requires its own monitoring infrastructure. No sampling approach designed for a smaller or more typical coastal wetland can adequately characterise the spatial variability in water chemistry, sediment conditions, and habitat quality across a 530 km² wetland complex. The 57 sampling stations established for Keta under the Monitoring, Reporting, and Verification (MRV) system represent the minimum spatial coverage necessary to detect ecologically meaningful variation across the site’s distinct sub-zones: the Anyanui-Dzita area near the Volta estuary, the Salo-Galotse-Agortoe-Agbastivi corridor where well-developed </w:t>
      </w:r>
      <w:r>
        <w:rPr>
          <w:i/>
        </w:rPr>
        <w:t>Rhizophora</w:t>
      </w:r>
      <w:r>
        <w:t xml:space="preserve"> stands are concentrated, the proposed restoration zones at Aborlorvi and Norlopi, and the main lagoon bank stretching from Afiadenyigba through Havedzi, Vodza, and Woe to the Anloga area.</w:t>
      </w:r>
    </w:p>
    <w:p w14:paraId="105506CB" w14:textId="77777777" w:rsidR="00EB2F85" w:rsidRDefault="00772CAE">
      <w:pPr>
        <w:pStyle w:val="BodyText"/>
      </w:pPr>
      <w:r>
        <w:t>The case for Ada is structurally different but equally compelling. The Songor Ramsar Site and UNESCO Biosphere Reserve retains only 465.76 hectares of mangroves — 2% of the national total — distributed as fragmented patches across a landscape where salt pan expansion at Elavanyo, Obane, and surrounding areas has progressively displaced wetland vegetation. By area, Songor is ecologically depleted. But the Songor system is hydrologically connected to the Volta River estuary, encompasses three distinct habitat types — brackish lagoon, riverine floodplain, and marine coastal fringe — and is surrounded by communities including Pute, Totokpoe, Azizanya, and Wasakuse whose livelihoods intersect the wetland in complex and contested ways. The 23 monitoring stations at Ada are positioned to track the ecological condition of what remains, to detect the signals of further degradation before they become irreversible, and to provide the baseline evidence against which any future restoration investment can be assessed. At a site defined by its ecological pressures rather than its intact stocks, pressure surveillance and trend detection are the monitoring system’s primary functions.</w:t>
      </w:r>
    </w:p>
    <w:p w14:paraId="105506CC" w14:textId="77777777" w:rsidR="00EB2F85" w:rsidRDefault="00772CAE">
      <w:pPr>
        <w:pStyle w:val="BodyText"/>
      </w:pPr>
      <w:r>
        <w:t>Together, Keta and Ada form the two-site nucleus of Ghana’s national wetland ecosystem monitoring system. The combined 80-station network — 57 at Keta, 23 at Ada — provides the empirical foundation for monitoring Ghana’s principal blue carbon conservation site alongside its principal blue carbon restoration opportunity.</w:t>
      </w:r>
    </w:p>
    <w:p w14:paraId="105506CD" w14:textId="77777777" w:rsidR="00EB2F85" w:rsidRDefault="00000000">
      <w:r>
        <w:pict w14:anchorId="10550858">
          <v:rect id="_x0000_i1071" style="width:0;height:1.5pt" o:hralign="center" o:hrstd="t" o:hr="t"/>
        </w:pict>
      </w:r>
    </w:p>
    <w:p w14:paraId="105506CE" w14:textId="77777777" w:rsidR="00EB2F85" w:rsidRDefault="00772CAE">
      <w:pPr>
        <w:pStyle w:val="Heading2"/>
      </w:pPr>
      <w:bookmarkStart w:id="99" w:name="the-monitoring-station-network"/>
      <w:bookmarkStart w:id="100" w:name="_Toc225323417"/>
      <w:r>
        <w:t>7.2 The Monitoring Station Network</w:t>
      </w:r>
      <w:bookmarkEnd w:id="99"/>
      <w:bookmarkEnd w:id="100"/>
    </w:p>
    <w:p w14:paraId="105506CF" w14:textId="77777777" w:rsidR="00EB2F85" w:rsidRDefault="00772CAE">
      <w:pPr>
        <w:pStyle w:val="FirstParagraph"/>
      </w:pPr>
      <w:r>
        <w:t xml:space="preserve">The 57 sampling stations at the Keta Lagoon Complex Ramsar Site were positioned using a supervised Geographic Information System (GIS) map of the study area, developed in consultation with Community Change Agents (CCAs) — community members trained in field data collection during the December 2025 baseline assessment. The positioning logic was spatial and ecological rather than administrative: stations were distributed to capture the full range of habitat types and pressure zones </w:t>
      </w:r>
      <w:r>
        <w:lastRenderedPageBreak/>
        <w:t xml:space="preserve">across the complex, rather than clustered around accessible entry points. Because the Keta complex is large — extending approximately 40 kilometres along the coast — and because its ecological conditions vary significantly between the fresher, Volta-influenced waters of the northwestern section and the more saline, evaporation-concentrated lagoon waters of the south and east, spatial coverage was designed to represent this gradient. Stations in the Anyanui-Dzita corridor, where the anomalous low pH of 2.7 recorded at Anyanui-Tunu road during the baseline assessment requires ongoing investigation, are among the highest monitoring priority in the network. Stations in the Salo-Galotse zone, where salinity values of 10.6 to 40 parts per thousand (ppt) support some of the best-developed </w:t>
      </w:r>
      <w:r>
        <w:rPr>
          <w:i/>
        </w:rPr>
        <w:t>Rhizophora racemosa</w:t>
      </w:r>
      <w:r>
        <w:t xml:space="preserve"> stands in the complex, provide the health benchmark against which degraded sub-zones are compared. The proposed restoration sites at Aborlorvi, adjacent to Norlopi, are covered by stations specifically positioned to detect whether hydrological conditions at those sites are suitable for mangrove re-establishment — a question that turns on soil nutrient availability, water salinity, and sediment moisture, all of which the monitoring protocol directly measures.</w:t>
      </w:r>
    </w:p>
    <w:p w14:paraId="105506D0" w14:textId="77777777" w:rsidR="00EB2F85" w:rsidRDefault="00772CAE">
      <w:pPr>
        <w:pStyle w:val="BodyText"/>
      </w:pPr>
      <w:r>
        <w:t>At the Songor Ramsar Site, the 23 stations were distributed across the three main habitat components of the system. The lagoon and creek network — including the Pute lagoon intake, Togbloku lagoon, Wasakusewayo restoration site, and Obane creek — is covered by stations whose primary function is to track salinity dynamics, dissolved oxygen, and oxidation-reduction potential in a water body that is largely closed off from the sea and therefore highly responsive to changes in freshwater inflow from the Volta. The estuary-proximate stations at Azizanya and Ayigbo provide the comparison baseline, registering the Volta River’s diluting influence and distinguishing it from the higher-salinity, higher-conductivity conditions prevailing in the interior lagoon. The creek systems at Futuenya and Big Ada capture the intermediate hydrological zone, where the interaction between tidal exchange, river flow, and evaporation produces some of the most ecologically sensitive conditions in the landscape.</w:t>
      </w:r>
    </w:p>
    <w:p w14:paraId="105506D1" w14:textId="77777777" w:rsidR="00EB2F85" w:rsidRDefault="00772CAE">
      <w:pPr>
        <w:pStyle w:val="BodyText"/>
      </w:pPr>
      <w:r>
        <w:t>Under the approved quarterly monitoring schedule, field teams visit each of the 80 stations four times per year. This cadence was designed to provide temporal density sufficient to detect seasonal variation — the Keta lagoon in particular exhibits significant shifts in salinity and conductivity between the dry season, when evaporation concentrates lagoon water to hyper-saline conditions, and wet season periods when freshwater inflow dilutes the system. The December 2025 baseline data was collected during a period nominally classified as the dry season but in which unseasonal rainfall occurred, demonstrating that a single annual snapshot cannot capture the system’s behaviour. Four sampling rounds per year, distributed across the seasons, allow the network to build a multi-year record of normal seasonal oscillation against which anomalies — pollution incidents, salinity spikes linked to altered freshwater inflow, sudden drops in dissolved oxygen — can be detected and attributed. The quarterly schedule also reflects the operational reality of community-based monitoring: CCAs trained during the baseline assessment can maintain the station network at this cadence with appropriate equipment and institutional support from the Wildlife Division, which sits within the national MRV institutional tier responsible for district-level validation.</w:t>
      </w:r>
    </w:p>
    <w:p w14:paraId="105506D2" w14:textId="77777777" w:rsidR="00EB2F85" w:rsidRDefault="00000000">
      <w:r>
        <w:lastRenderedPageBreak/>
        <w:pict w14:anchorId="10550859">
          <v:rect id="_x0000_i1072" style="width:0;height:1.5pt" o:hralign="center" o:hrstd="t" o:hr="t"/>
        </w:pict>
      </w:r>
    </w:p>
    <w:p w14:paraId="105506D3" w14:textId="77777777" w:rsidR="00EB2F85" w:rsidRDefault="00772CAE">
      <w:pPr>
        <w:pStyle w:val="Heading2"/>
      </w:pPr>
      <w:bookmarkStart w:id="101" w:name="water-quality-parameters"/>
      <w:bookmarkStart w:id="102" w:name="_Toc225323418"/>
      <w:r>
        <w:t>7.3 Water Quality Parameters</w:t>
      </w:r>
      <w:bookmarkEnd w:id="101"/>
      <w:bookmarkEnd w:id="102"/>
    </w:p>
    <w:p w14:paraId="105506D4" w14:textId="77777777" w:rsidR="00EB2F85" w:rsidRDefault="00772CAE">
      <w:pPr>
        <w:pStyle w:val="FirstParagraph"/>
      </w:pPr>
      <w:r>
        <w:t>At each of the 80 stations, water quality is assessed for nine physico-chemical parameters using calibrated field instruments. The December 2025 baseline assessment used the Apera SX751 multiparameter water testing device, with all station positions georeferenced using a Garmin Inreach Explorer. The parameters and their ecological relevance are as follows.</w:t>
      </w:r>
    </w:p>
    <w:p w14:paraId="105506D5" w14:textId="77777777" w:rsidR="00EB2F85" w:rsidRDefault="00772CAE">
      <w:pPr>
        <w:pStyle w:val="BodyText"/>
      </w:pPr>
      <w:r>
        <w:rPr>
          <w:b/>
        </w:rPr>
        <w:t>pH</w:t>
      </w:r>
      <w:r>
        <w:t xml:space="preserve"> measures the acidity or alkalinity of the water column and directly governs the bioavailability of nutrients, the biochemistry of decomposition, and the physiological tolerances of aquatic biota. At the Keta Lagoon Complex, the baseline assessment found mean pH values ranging from 6.8 to 7.96 across sampling stations, with ecologically significant variation between sub-zones. The Salo, Galotse, and Genui area — where </w:t>
      </w:r>
      <w:r>
        <w:rPr>
          <w:i/>
        </w:rPr>
        <w:t>Rhizophora racemosa</w:t>
      </w:r>
      <w:r>
        <w:t xml:space="preserve"> stands are most developed — recorded pH values of 6.5 to 7.6, within the optimal range for mangrove productivity. The main lagoon bank from Afiadenyigba to Anloga recorded values of 7.8 to 8.2, influenced by temperature variation and reduced freshwater input. The exceptional pH reading of 2.7 recorded at the Anyanui-Tunu road station during the baseline assessment represents a critical monitoring signal: highly acidic water at the edge of mangrove habitat indicates potential acid sulphate soil conditions, which can become actively toxic to </w:t>
      </w:r>
      <w:r>
        <w:rPr>
          <w:i/>
        </w:rPr>
        <w:t>Rhizophora</w:t>
      </w:r>
      <w:r>
        <w:t xml:space="preserve"> root systems if exposed through drainage or hydrological disruption. Quarterly monitoring at the Anyanui stations is essential to determine whether this is a spatially isolated anomaly or an expanding condition. At Songor, Ada, pH values of 7.3 to 7.76 were recorded across most stations, with slightly elevated values of 8.1 to 8.6 at the Futue and Luhue creeks, reflecting the influence of wind-induced mixing and carbonate buffering in the open lagoon system.</w:t>
      </w:r>
    </w:p>
    <w:p w14:paraId="105506D6" w14:textId="77777777" w:rsidR="00EB2F85" w:rsidRDefault="00772CAE">
      <w:pPr>
        <w:pStyle w:val="BodyText"/>
      </w:pPr>
      <w:r>
        <w:rPr>
          <w:b/>
        </w:rPr>
        <w:t>Water temperature</w:t>
      </w:r>
      <w:r>
        <w:t xml:space="preserve"> affects dissolved oxygen solubility, metabolic rates of aquatic organisms, and the rate of organic matter decomposition in sediments — all of which directly influence carbon cycling within the wetland. At Keta, mean temperatures varied between 30.24°C and 31.3°C, with an afternoon peak range of 31.19°C to 37.3°C reflecting solar heating in shallow water bodies. At Songor, the mean range was 31.2°C to 34.6°C. Temperature monitoring provides the seasonal context within which other parameters are interpreted: an elevated salinity reading in the dry season is expected and ecologically manageable; an elevated salinity reading combined with elevated temperatures and depressed dissolved oxygen in the wet season may indicate a hydrological disruption requiring investigation.</w:t>
      </w:r>
    </w:p>
    <w:p w14:paraId="105506D7" w14:textId="77777777" w:rsidR="00EB2F85" w:rsidRDefault="00772CAE">
      <w:pPr>
        <w:pStyle w:val="BodyText"/>
      </w:pPr>
      <w:r>
        <w:rPr>
          <w:b/>
        </w:rPr>
        <w:t>Electrical conductivity</w:t>
      </w:r>
      <w:r>
        <w:t xml:space="preserve"> measures the water’s ability to conduct an electric current and is a direct proxy for the total concentration of dissolved ions — primarily sodium, chloride, calcium, and magnesium — in the water column. At the Keta Lagoon Complex, the highest conductivity of 63.1 μS was recorded at Dzita, a station near the main lagoon body where evaporative concentration is highest. The lowest values, approximately 69.3 μS, were recorded at stations influenced by seasonal rainfall. At Songor, conductivity ranged from 31.4 to 50.4 μS, with the highest values in the interior creeks and lagoon and relatively low values of 6.23 μS at Azizanya and 2.64 μS at </w:t>
      </w:r>
      <w:r>
        <w:lastRenderedPageBreak/>
        <w:t>Ayigbo, close to the Volta River estuary where freshwater dilution is greatest. Conductivity trends over successive quarters at Keta will be among the most sensitive early indicators of changes in the hydrological regime, particularly those attributable to altered freshwater discharge patterns related to dam operations.</w:t>
      </w:r>
    </w:p>
    <w:p w14:paraId="105506D8" w14:textId="77777777" w:rsidR="00EB2F85" w:rsidRDefault="00772CAE">
      <w:pPr>
        <w:pStyle w:val="BodyText"/>
      </w:pPr>
      <w:r>
        <w:rPr>
          <w:b/>
        </w:rPr>
        <w:t>Salinity</w:t>
      </w:r>
      <w:r>
        <w:t xml:space="preserve"> is the most ecologically informative single parameter in this monitoring network. In coastal mangrove systems, salinity determines which species can establish, how rapidly they grow, and how much organic carbon their below-ground biomass and associated soils accumulate. At the Keta Lagoon Complex, salinity values ranged from 4.3 ppt at stations under freshwater influence to 40 ppt at Dzita — a hyper-saline condition that reflects the Keta lagoon’s partial isolation from the sea and its exposure to intense evaporation during the dry season. Sites in the Anyanui, Tunu, Akplotorkor, Saviatula, and Genui sub-zones recorded salinity values between 10.6 and 40 ppt, conditions that the baseline assessment confirmed are supportive of active mangrove development. At Songor, the highest salinity in the lagoon — 28.6 ppt at Pute lagoon and 28.2 ppt at the Pute creek lagoon intake — contrasts sharply with the near-freshwater conditions of 0.2 ppt recorded at the Futue creek bridge where the Volta River’s influence is strongest. This salinity gradient is not ecologically neutral: the mangroves remaining at Songor are concentrated in the intermediate salinity zones between the hyper-saline ponds associated with salt production and the near-freshwater conditions of the Volta estuary. Monitoring salinity quarterly across the 23 Ada stations directly tracks whether the ecological space available to mangroves at Songor is expanding or contracting.</w:t>
      </w:r>
    </w:p>
    <w:p w14:paraId="105506D9" w14:textId="77777777" w:rsidR="00EB2F85" w:rsidRDefault="00772CAE">
      <w:pPr>
        <w:pStyle w:val="BodyText"/>
      </w:pPr>
      <w:r>
        <w:rPr>
          <w:b/>
        </w:rPr>
        <w:t>Total Dissolved Solids (TDS)</w:t>
      </w:r>
      <w:r>
        <w:t xml:space="preserve"> complements conductivity by quantifying the aggregate mass of dissolved material per unit volume of water. At Keta, TDS peaked at 88.1 parts per million (ppm) at Dzita, declining to approximately 100 ppm at stations under rainfall influence. At Songor, TDS reached 57.3 ppm at Pute lagoon and fell to 1.95 ppm at Ayigbo bridge. TDS integrates contributions from all dissolved substances — including suspended organic material and biological exudate — making it a useful cross-check on conductivity measurements and a sensitive indicator of water clarity conditions that affect light penetration and aquatic primary productivity.</w:t>
      </w:r>
    </w:p>
    <w:p w14:paraId="105506DA" w14:textId="77777777" w:rsidR="00EB2F85" w:rsidRDefault="00772CAE">
      <w:pPr>
        <w:pStyle w:val="BodyText"/>
      </w:pPr>
      <w:r>
        <w:rPr>
          <w:b/>
        </w:rPr>
        <w:t>Dissolved oxygen (DO)</w:t>
      </w:r>
      <w:r>
        <w:t xml:space="preserve"> is the parameter most directly indicative of aquatic ecosystem health. Adequate dissolved oxygen sustains fish populations, supports the aerobic decomposition of organic matter, and maintains the redox conditions in surface sediments that determine whether organic carbon is preserved or mineralised. At the Keta Lagoon Complex, DO values at stations such as Anyanui, Agblodome, Apklotorkor, Saviatula, and Salo were relatively high, influenced by shallow water depth, wind agitation, high water temperatures, and the photosynthetic activity of well-developed mangrove and aquatic plant communities. The relatively moderate DO of 13.23 mg/l recorded at Dzita alongside its high salinity and conductivity values reflects the complex interplay between evaporative concentration and biological oxygen demand in that sub-zone. At Songor, DO ranged from 5.51 to 7.13 mg/l across most stations, with the highest values of 6.09 mg/l and 6.91 mg/l recorded at the Futue and Luhue creek bridges respectively, benefiting from open lagoon conditions, high wind exposure, and the absence of significant algal mat growth on sediments. A sustained depression of DO values at any station — particularly in the mangrove creek stations — </w:t>
      </w:r>
      <w:r>
        <w:lastRenderedPageBreak/>
        <w:t>is one of the clearest early warning signals of organic pollution, eutrophication, or the onset of anaerobic conditions in the sediment column.</w:t>
      </w:r>
    </w:p>
    <w:p w14:paraId="105506DB" w14:textId="77777777" w:rsidR="00EB2F85" w:rsidRDefault="00772CAE">
      <w:pPr>
        <w:pStyle w:val="BodyText"/>
      </w:pPr>
      <w:r>
        <w:rPr>
          <w:b/>
        </w:rPr>
        <w:t>Oxidation-Reduction Potential (ORP)</w:t>
      </w:r>
      <w:r>
        <w:t xml:space="preserve"> quantifies the water’s capacity to act as either an oxidising or a reducing agent, and is directly related to the presence of dissolved oxygen and the thermodynamic conditions governing nutrient cycling, metal speciation, and decomposition. Higher positive ORP values indicate greater oxygen availability and self-cleaning capacity in the water. At Keta, the relatively moderate ORP of 160 mV recorded at Dzita alongside its high salinity reflects wetland waterlogged conditions typical of mangrove habitats, where the presence of anoxic micro-zones influences the availability of iron, manganese, and other elements critical to soil fertility. At Songor, ORP values in the lagoon and interior creeks ranged from 832 to 1,236 mV — substantially higher than at the Volta estuary stations, where values of 11 to 76.6 mV were recorded near the freshwater inflow. This strong ORP gradient across the Ada network signals a site where oxidation conditions vary dramatically across short distances, creating a mosaic of anaerobic and aerobic micro-environments that governs where mangrove regeneration is possible and where sediment carbon is stable.</w:t>
      </w:r>
    </w:p>
    <w:p w14:paraId="105506DC" w14:textId="77777777" w:rsidR="00EB2F85" w:rsidRDefault="00772CAE">
      <w:pPr>
        <w:pStyle w:val="BodyText"/>
      </w:pPr>
      <w:r>
        <w:rPr>
          <w:b/>
        </w:rPr>
        <w:t>Resistivity</w:t>
      </w:r>
      <w:r>
        <w:t xml:space="preserve"> is the inverse of conductivity and provides a complementary measure of water purity: in low-salinity, low-conductivity water, resistivity is high; in high-salinity, high-conductivity water, resistivity is low. The high resistivity value of 15.8 KΩ recorded at Dzita, despite that station’s high conductivity, reflects the specific ionic composition of hyper-saline lagoon water as distinct from, for example, a polluted or chemically contaminated freshwater source. Tracking resistivity alongside conductivity over successive monitoring rounds helps distinguish between salinity-driven changes in water chemistry — which are ecologically expected — and pollution-driven changes, which are not.</w:t>
      </w:r>
    </w:p>
    <w:p w14:paraId="105506DD" w14:textId="77777777" w:rsidR="00EB2F85" w:rsidRDefault="00772CAE">
      <w:pPr>
        <w:pStyle w:val="BodyText"/>
      </w:pPr>
      <w:r>
        <w:t>Taken together, changes in salinity, dissolved oxygen, and conductivity across consecutive quarterly monitoring rounds are the most powerful diagnostic combination for detecting altered hydrology at Keta. The Akosombo Dam, constructed in 1964, now traps more than 90% of the Volta River’s sediment load before it reaches the coast. This sediment starvation is the landscape-level existential risk to the Keta Lagoon Complex: without the sediment and freshwater once delivered by the Volta, the lagoon is subject to progressive salinisation, the blockage of inter-connecting channels, and the disruption of the natural drainage system that historically regulated lagoon water levels. A sustained upward trend in salinity or conductivity at the Anyanui stations — closest to the former Volta influence — combined with declining DO in those same stations, would be an early and actionable signal of worsening hydrological stress. The quarterly monitoring network is designed specifically to provide enough temporal resolution to detect such trends before the ecological damage becomes irreversible.</w:t>
      </w:r>
    </w:p>
    <w:p w14:paraId="105506DE" w14:textId="77777777" w:rsidR="00EB2F85" w:rsidRDefault="00000000">
      <w:r>
        <w:pict w14:anchorId="1055085A">
          <v:rect id="_x0000_i1073" style="width:0;height:1.5pt" o:hralign="center" o:hrstd="t" o:hr="t"/>
        </w:pict>
      </w:r>
    </w:p>
    <w:p w14:paraId="105506DF" w14:textId="77777777" w:rsidR="00EB2F85" w:rsidRDefault="00772CAE">
      <w:pPr>
        <w:pStyle w:val="Heading2"/>
      </w:pPr>
      <w:bookmarkStart w:id="103" w:name="soil-parameters"/>
      <w:bookmarkStart w:id="104" w:name="_Toc225323419"/>
      <w:r>
        <w:t>7.4 Soil Parameters</w:t>
      </w:r>
      <w:bookmarkEnd w:id="103"/>
      <w:bookmarkEnd w:id="104"/>
    </w:p>
    <w:p w14:paraId="105506E0" w14:textId="77777777" w:rsidR="00EB2F85" w:rsidRDefault="00772CAE">
      <w:pPr>
        <w:pStyle w:val="FirstParagraph"/>
      </w:pPr>
      <w:r>
        <w:t xml:space="preserve">At selected stations across both sites, soil conditions are assessed for seven chemical and biological indicators using the Portable Terminal 4002-BXSZD Ver 1.0 handheld </w:t>
      </w:r>
      <w:r>
        <w:lastRenderedPageBreak/>
        <w:t>quick-test platform. The December 2025 baseline collected 140 soil samples across 21 stations at Keta and 28 soil samples across four primary station areas at Ada, providing the first systematic soil chemistry dataset for these sites under the WACA Blue Carbon Assessment. The seven parameters and their significance to carbon stock monitoring are as follows.</w:t>
      </w:r>
    </w:p>
    <w:p w14:paraId="105506E1" w14:textId="77777777" w:rsidR="00EB2F85" w:rsidRDefault="00772CAE">
      <w:pPr>
        <w:pStyle w:val="BodyText"/>
      </w:pPr>
      <w:r>
        <w:rPr>
          <w:b/>
        </w:rPr>
        <w:t>Nitrate</w:t>
      </w:r>
      <w:r>
        <w:t xml:space="preserve"> serves as the primary nitrogen source for mangrove growth and the microbial communities driving organic matter decomposition in wetland soils. At the Keta Lagoon Complex, nitrate values ranged from 1 to 23 mg/kg in upland stations and from 37 to 73 mg/kg in the moist, waterlogged stations typical of active mangrove habitat. At Songor, the contrast was extreme: nitrate reached 984 mg/kg at Wasakusengwa, driven by cattle grazing and organic waste accumulation, while Pute lagoon recorded only 3 mg/kg. Monitoring nitrate over successive quarters provides a direct signal of agricultural runoff and domestic waste inputs to the wetland — both identified as chronic pressure sources at Keta and Songor in the environmental pressures baseline. A progressive increase in nitrate at stations near community settlements or agricultural land margins signals eutrophication risk, which at high levels promotes algal blooms, depresses dissolved oxygen, and can shift mangrove soils from carbon-accumulating to carbon-emitting.</w:t>
      </w:r>
    </w:p>
    <w:p w14:paraId="105506E2" w14:textId="77777777" w:rsidR="00EB2F85" w:rsidRDefault="00772CAE">
      <w:pPr>
        <w:pStyle w:val="BodyText"/>
      </w:pPr>
      <w:r>
        <w:rPr>
          <w:b/>
        </w:rPr>
        <w:t>Phosphate</w:t>
      </w:r>
      <w:r>
        <w:t xml:space="preserve"> drives primary productivity in phosphorus-limited tropical coastal soils and plays a critical role in mangrove root growth, seed germination, and the establishment of regeneration. At Keta, phosphate values in moist mangrove-proximate soils ranged from 52 to 103 mg/kg — substantially higher than the 1 to 32 mg/kg recorded in upland stations — reflecting the phosphorus enrichment of waterlogged soils near active leaf litter fall and decomposition. At Obane in the Songor system, phosphate reached an exceptional 705 mg/kg, a level that the December 2025 assessment attributed to cattle grazing and the concentration of organic waste at that location. While elevated phosphate supports plant growth in the short term, phosphate loading from non-natural sources indicates that human pressures are altering the nutrient chemistry of the soils at these stations and may be masking the underlying degradation of organic soil structure.</w:t>
      </w:r>
    </w:p>
    <w:p w14:paraId="105506E3" w14:textId="77777777" w:rsidR="00EB2F85" w:rsidRDefault="00772CAE">
      <w:pPr>
        <w:pStyle w:val="BodyText"/>
      </w:pPr>
      <w:r>
        <w:rPr>
          <w:b/>
        </w:rPr>
        <w:t>Potassium</w:t>
      </w:r>
      <w:r>
        <w:t xml:space="preserve"> is essential for the cellular regulation, osmotic adjustment, and photosynthetic efficiency of all wetland vegetation, including mangroves under saline conditions. At Keta, potassium ranged from 2 to 65 mg/kg in upland stations to 78 to 201 mg/kg in moist sites; the mean potassium value across the sampling area reached 56.25 mg/kg, with the highest concentrations at Agbastivi and Galotse — precisely the zones where the most developed </w:t>
      </w:r>
      <w:r>
        <w:rPr>
          <w:i/>
        </w:rPr>
        <w:t>Rhizophora racemosa</w:t>
      </w:r>
      <w:r>
        <w:t xml:space="preserve"> stands were observed. At Songor, potassium reached 1,280 mg/kg at Obane and contrasted with only 7 mg/kg at Pute lagoon, a difference that likely reflects both the cattle-mediated nutrient enrichment at Obane and the nutrient-depleted condition of the Pute lagoon’s heavily stressed soils. Tracking potassium trends over time provides indirect evidence of changes in soil organic matter cycling, since potassium is released during decomposition of leaf litter and woody material — the same process that contributes to soil organic carbon (SOC) accumulation.</w:t>
      </w:r>
    </w:p>
    <w:p w14:paraId="105506E4" w14:textId="77777777" w:rsidR="00EB2F85" w:rsidRDefault="00772CAE">
      <w:pPr>
        <w:pStyle w:val="BodyText"/>
      </w:pPr>
      <w:r>
        <w:rPr>
          <w:b/>
        </w:rPr>
        <w:t>Soil pH</w:t>
      </w:r>
      <w:r>
        <w:t xml:space="preserve"> governs the chemical availability of all soil nutrients and directly determines whether decomposition pathways are dominated by aerobic bacterial activity (higher pH, </w:t>
      </w:r>
      <w:r>
        <w:lastRenderedPageBreak/>
        <w:t>aerobic conditions) or anaerobic microbial processes (lower pH, waterlogged conditions). It is the single most important determinant of SOC stability in mangrove soils: acidic, waterlogged, anaerobic soils suppress microbial decomposition and are the dominant mechanism by which blue carbon ecosystems sequester carbon at rates up to ten times those of terrestrial forests. At Keta, soil pH ranged from 5.55 to 7.0, with the highest values recorded at the well-developed mangrove stations in the Salo and Galotse corridor. A pH range of 6.2 to 7.0 is considered ideal for phosphate availability and the activity of the soil microbial communities that drive nutrient cycling. At Songor, pH ranged from 5.57 to 6.84, with an exceptional low value of 4.78 recorded at Pute lagoon — indicating the presence of potential acid sulphate conditions similar to those flagged at the Anyanui-Tunu road water station at Keta, and consistent with a degraded, drainage-exposed soil environment.</w:t>
      </w:r>
    </w:p>
    <w:p w14:paraId="105506E5" w14:textId="77777777" w:rsidR="00EB2F85" w:rsidRDefault="00772CAE">
      <w:pPr>
        <w:pStyle w:val="BodyText"/>
      </w:pPr>
      <w:r>
        <w:rPr>
          <w:b/>
        </w:rPr>
        <w:t>Moisture content</w:t>
      </w:r>
      <w:r>
        <w:t xml:space="preserve"> is the foundational parameter linking soil chemistry to ecosystem function: waterlogged soils with high moisture are anaerobic, producing the conditions that preserve organic carbon; dry, aerated soils are aerobic and decompose organic matter rapidly, releasing CO₂. At Keta, moisture levels were higher at stations closer to water bodies — Aborlorvi at 25.4%, Afiadenyigba bridge at 26.4%, Genui at 38.7%, and Galotse at 40.4% — and lower at upland stations. At Songor, moisture ranged from 21.5 to 29.45%, with the highest values at Pute lagoon intake (30.6%) and Obane (25.1%), consistent with those stations’ position within active lagoon and mangrove habitat. Tracking moisture content quarterly captures the seasonal drying and rewetting of mangrove soils, which governs whether the carbon stored in those soils is stable across the year or is exposed to episodic oxidation during the dry season — a risk that is heightened if drainage or hydrological disruption increases the depth of the dry-season water table drawdown.</w:t>
      </w:r>
    </w:p>
    <w:p w14:paraId="105506E6" w14:textId="77777777" w:rsidR="00EB2F85" w:rsidRDefault="00772CAE">
      <w:pPr>
        <w:pStyle w:val="BodyText"/>
      </w:pPr>
      <w:r>
        <w:rPr>
          <w:b/>
        </w:rPr>
        <w:t>Humus content</w:t>
      </w:r>
      <w:r>
        <w:t xml:space="preserve"> quantifies the stable, decomposed organic fraction of the soil — the primary reservoir of soil organic carbon in mangrove systems. High humus content reflects the long-term accumulation of leaf litter, root turnover, and decomposed woody material under anaerobic conditions; it is the material substance of the blue carbon stock that this MRV system is designed to protect. At Keta, humus content ranged from 14.6 to 26.2%, with the highest values at Tunu (44.3%), Galotse (40.6%), and Agortoe (37.5%) — stations where dead mangroves, leaf fall, and decomposed organic matter were directly observed during the December 2025 field assessment. At Songor, the Obane restored mangrove site recorded a humus level of 26.0%, the highest at that site, consistent with active organic matter accumulation in a recovering mangrove stand. The exceptionally low humus of 4.78% at Pute lagoon indicates severely depleted soil organic matter, likely the combined result of historic drainage, salt pan encroachment, and the absence of mangrove canopy cover to supply the litter inputs that build humus over time. Declining humus trends at any station across successive monitoring rounds would constitute a direct signal of SOC loss and must trigger a field investigation.</w:t>
      </w:r>
    </w:p>
    <w:p w14:paraId="105506E7" w14:textId="77777777" w:rsidR="00EB2F85" w:rsidRDefault="00772CAE">
      <w:pPr>
        <w:pStyle w:val="BodyText"/>
      </w:pPr>
      <w:r>
        <w:rPr>
          <w:b/>
        </w:rPr>
        <w:t>Soil temperature</w:t>
      </w:r>
      <w:r>
        <w:t xml:space="preserve"> integrates moisture, solar radiation, and organic matter content and is a master variable governing the rate of microbial decomposition. Higher soil temperatures accelerate decomposition and the mineralisation of organic carbon; lower temperatures, combined with high moisture, slow decomposition and favour SOC </w:t>
      </w:r>
      <w:r>
        <w:lastRenderedPageBreak/>
        <w:t>preservation. At Songor, soil temperature reached 38.4°C at Pute walkway — a hot, exposed surface under low vegetation cover — and 34.2°C at the Obane restored mangrove site, where canopy shade provided measurable cooling. This temperature gradient across a relatively small area illustrates the micro-climatic effect of mangrove canopy cover on soil carbon stability: restored mangrove stands begin generating the cooler, more stable soil thermal environment within which SOC accumulates, even at an early stage of recovery.</w:t>
      </w:r>
    </w:p>
    <w:p w14:paraId="105506E8" w14:textId="77777777" w:rsidR="00EB2F85" w:rsidRDefault="00000000">
      <w:r>
        <w:pict w14:anchorId="1055085B">
          <v:rect id="_x0000_i1074" style="width:0;height:1.5pt" o:hralign="center" o:hrstd="t" o:hr="t"/>
        </w:pict>
      </w:r>
    </w:p>
    <w:p w14:paraId="105506E9" w14:textId="77777777" w:rsidR="00EB2F85" w:rsidRDefault="00772CAE">
      <w:pPr>
        <w:pStyle w:val="Heading2"/>
      </w:pPr>
      <w:bookmarkStart w:id="105" w:name="integration-with-the-mrv-layers"/>
      <w:bookmarkStart w:id="106" w:name="_Toc225323420"/>
      <w:r>
        <w:t>7.5 Integration with the MRV Layers</w:t>
      </w:r>
      <w:bookmarkEnd w:id="105"/>
      <w:bookmarkEnd w:id="106"/>
    </w:p>
    <w:p w14:paraId="105506EA" w14:textId="77777777" w:rsidR="00EB2F85" w:rsidRDefault="00772CAE">
      <w:pPr>
        <w:pStyle w:val="FirstParagraph"/>
      </w:pPr>
      <w:r>
        <w:t>The monitoring station network at Keta and Ada is not a standalone environmental assessment programme. It is operationally integrated into the three functional layers of the national MRV system, each of which draws on the station data for a distinct analytical purpose.</w:t>
      </w:r>
    </w:p>
    <w:p w14:paraId="105506EB" w14:textId="77777777" w:rsidR="00EB2F85" w:rsidRDefault="00772CAE">
      <w:pPr>
        <w:pStyle w:val="BodyText"/>
      </w:pPr>
      <w:r>
        <w:t>Layer I — the Ecological and Carbon Integrity Layer — uses water and soil data from the 80 stations as continuous ecosystem health proxies that sit alongside and support the biomass and soil carbon measurements taken at Permanent Sample Plots (PSPs). PSP re-measurement provides the direct carbon accounting data on a three-to-five year cycle; the station network provides the quarterly ecological context within which changes in carbon stocks are interpreted. A declining trend in dissolved oxygen and rising salinity at the Salo-Galotse stations, combined with falling humus values at adjacent soil stations, provides early evidence of mangrove stress before die-back becomes visible in satellite imagery or PSP re-measurement. This early warning function is particularly important at Keta, where the historical deforestation rate of 2.15% per year — driven in part by hydrological changes traceable to Akosombo Dam operations — means that delays in detecting ecological deterioration translate directly into carbon stock losses that cannot be recovered on management timescales.</w:t>
      </w:r>
    </w:p>
    <w:p w14:paraId="105506EC" w14:textId="77777777" w:rsidR="00EB2F85" w:rsidRDefault="00772CAE">
      <w:pPr>
        <w:pStyle w:val="BodyText"/>
      </w:pPr>
      <w:r>
        <w:t xml:space="preserve">Layer II — the Environmental Pressure Surveillance layer — uses the station network to detect pollution events, salinity anomalies, and evidence of physical disturbance that are the direct signatures of the pressures identified in the baseline assessment. The Keta Lagoon Complex is subject to chronic fish-smoking fuelwood demand, which drives selective harvesting of </w:t>
      </w:r>
      <w:r>
        <w:rPr>
          <w:i/>
        </w:rPr>
        <w:t>Rhizophora racemosa</w:t>
      </w:r>
      <w:r>
        <w:t xml:space="preserve"> — but it is also subject to acute events: domestic waste discharges, chemical spills, and the episodic blockage of inter-connecting channels. An acute pollution event at a station near Anloga, Woe, or Havedzi would appear in the monitoring data as a sudden depression of DO, a spike in conductivity or TDS, and potentially an anomalous shift in pH — a multi-parameter signal that is distinguishable from normal seasonal variation. At Songor, the contested land-use at Obane, where cattle grazing is elevating nitrate and phosphate values to levels ten to twenty times those recorded at comparable stations, is already visible in the December 2025 baseline data. Quarterly monitoring will establish whether those values are stable, declining, or increasing — directly informing whether the land-use pressure at Obane requires escalation to the Ada East District Assembly or the Greater Accra Regional Wildlife Division.</w:t>
      </w:r>
    </w:p>
    <w:p w14:paraId="105506ED" w14:textId="77777777" w:rsidR="00EB2F85" w:rsidRDefault="00772CAE">
      <w:pPr>
        <w:pStyle w:val="BodyText"/>
      </w:pPr>
      <w:r>
        <w:lastRenderedPageBreak/>
        <w:t>Layer III — the Governance and Safeguard Assurance layer — draws on the station network in a less direct but structurally important way: the functioning of the monitoring network is itself a governance indicator. Whether CCAs maintain access to their designated stations, whether data is submitted on schedule, and whether communities are actively engaged in field sampling are all observable outcomes that reflect the operational condition of the community-level governance structure. A monitoring station that becomes inaccessible because community relations have broken down, or because a land-use conflict has cut off access to a sampling point, is a Layer III signal as much as it is an operational inconvenience. MLNR and MESTI, as joint national custodians of the MRV system, use the completeness and regularity of monitoring data submissions as one of their indicators of whether governance and community engagement at the site level are functioning as designed.</w:t>
      </w:r>
    </w:p>
    <w:p w14:paraId="105506EE" w14:textId="77777777" w:rsidR="00EB2F85" w:rsidRDefault="00000000">
      <w:r>
        <w:pict w14:anchorId="1055085C">
          <v:rect id="_x0000_i1075" style="width:0;height:1.5pt" o:hralign="center" o:hrstd="t" o:hr="t"/>
        </w:pict>
      </w:r>
    </w:p>
    <w:p w14:paraId="105506EF" w14:textId="77777777" w:rsidR="00EB2F85" w:rsidRDefault="00772CAE">
      <w:pPr>
        <w:pStyle w:val="Heading2"/>
      </w:pPr>
      <w:bookmarkStart w:id="107" w:name="reporting-from-the-monitoring-network"/>
      <w:bookmarkStart w:id="108" w:name="_Toc225323421"/>
      <w:r>
        <w:t>7.6 Reporting from the Monitoring Network</w:t>
      </w:r>
      <w:bookmarkEnd w:id="107"/>
      <w:bookmarkEnd w:id="108"/>
    </w:p>
    <w:p w14:paraId="105506F0" w14:textId="77777777" w:rsidR="00EB2F85" w:rsidRDefault="00772CAE">
      <w:pPr>
        <w:pStyle w:val="FirstParagraph"/>
      </w:pPr>
      <w:r>
        <w:t>Quarterly data from the 80 stations — 57 at Keta and 23 at Ada — follows a defined pathway from field collection to institutional action. Field teams, led by trained CCAs and supervised by Wildlife Division officers at the district level, record all parameter readings with GPS coordinates, device model and calibration information, and any field observations of ecological or social anomalies. Data sheets are completed at the time of sampling; digital transcription occurs at the district validation stage and then at the national platform level, where the data is aggregated, quality-checked, and archived.</w:t>
      </w:r>
    </w:p>
    <w:p w14:paraId="105506F1" w14:textId="77777777" w:rsidR="00EB2F85" w:rsidRDefault="00772CAE">
      <w:pPr>
        <w:pStyle w:val="BodyText"/>
      </w:pPr>
      <w:r>
        <w:t>Annual analysis of the multi-quarter dataset distinguishes between seasonal patterns — which are expected and ecologically normal — and multi-year trends, which are the primary signals for adaptive management. A three-year period of quarterly data provides sufficient resolution to separate the Keta lagoon’s predictable dry-season salinity increase from a structural trend of increasing annual salinity that would indicate progressive hydrological deterioration. Trend analysis reports are prepared annually and submitted to MLNR, MESTI, and the Wildlife Division, as well as to the district Municipal and Metropolitan District Assemblies (MMDAs) with jurisdiction over the monitoring areas.</w:t>
      </w:r>
    </w:p>
    <w:p w14:paraId="105506F2" w14:textId="77777777" w:rsidR="00EB2F85" w:rsidRDefault="00772CAE">
      <w:pPr>
        <w:pStyle w:val="BodyText"/>
      </w:pPr>
      <w:r>
        <w:t xml:space="preserve">Any parameter reading exceeding the defined alert thresholds at any station triggers an escalation protocol that operates independently of the annual reporting cycle. Thresholds are set for each parameter based on the ecological ranges established in the December 2025 baseline assessment: a pH below 4.0 or above 9.0, a DO reading below 3.0 mg/l, a salinity spike exceeding 50 ppt, or a nitrate reading above 500 mg/kg at a mangrove-proximate soil station are each examples of alert-level readings that require immediate follow-up. An alert-level reading triggers first a field verification visit within 14 days to confirm whether the anomaly is an instrument error, a one-off event, or a sustained change. If the follow-up confirms a sustained anomaly, a formal escalation report is submitted to the district Wildlife Division within 30 days. If the Wildlife Division does not resolve the issue within 60 days of the escalation report — either by identifying the cause and initiating a management response, or by determining that the anomaly is not of management concern — the issue escalates to MLNR and MESTI. This </w:t>
      </w:r>
      <w:r>
        <w:lastRenderedPageBreak/>
        <w:t>structured escalation ensures that the monitoring data produces management decisions, not simply an archive of readings.</w:t>
      </w:r>
    </w:p>
    <w:p w14:paraId="105506F3" w14:textId="77777777" w:rsidR="00EB2F85" w:rsidRDefault="00772CAE">
      <w:pPr>
        <w:pStyle w:val="BodyText"/>
      </w:pPr>
      <w:r>
        <w:t>The overall goal of the monitoring network is not data collection for its own sake. It is to provide the continuous, spatially explicit, multi-parameter evidence base that allows Ghana’s principal blue carbon landscapes to be managed adaptively — detecting ecological change early, attributing it to its causes, and routing that information to the institutions with the authority and capacity to respond.</w:t>
      </w:r>
    </w:p>
    <w:p w14:paraId="105506F4" w14:textId="77777777" w:rsidR="00EB2F85" w:rsidRDefault="00000000">
      <w:r>
        <w:pict w14:anchorId="1055085D">
          <v:rect id="_x0000_i1076" style="width:0;height:1.5pt" o:hralign="center" o:hrstd="t" o:hr="t"/>
        </w:pict>
      </w:r>
    </w:p>
    <w:p w14:paraId="105506F5" w14:textId="77777777" w:rsidR="00EB2F85" w:rsidRDefault="00772CAE">
      <w:pPr>
        <w:pStyle w:val="FirstParagraph"/>
      </w:pPr>
      <w:r>
        <w:rPr>
          <w:i/>
        </w:rPr>
        <w:t>Chapter 7 authored March 2026. Sources: Ecosystem Assessment of Keta and Songor Ramsar Sites (Ecological Nest Ltd., January 2026); Monitoring Plan for Keta and Ada Wetlands Ecosystem; Geo-Social Mangrove Extent Baseline Report (Ecological Nest Ltd., August 2025). Station numbers, parameter ranges, and named site locations are drawn directly from the December 2025 field assessment.</w:t>
      </w:r>
    </w:p>
    <w:p w14:paraId="105506F6" w14:textId="77777777" w:rsidR="00EB2F85" w:rsidRDefault="00000000">
      <w:r>
        <w:pict w14:anchorId="1055085E">
          <v:rect id="_x0000_i1077" style="width:0;height:1.5pt" o:hralign="center" o:hrstd="t" o:hr="t"/>
        </w:pict>
      </w:r>
    </w:p>
    <w:p w14:paraId="105506F7" w14:textId="77777777" w:rsidR="00EB2F85" w:rsidRDefault="00772CAE">
      <w:pPr>
        <w:pStyle w:val="Heading1"/>
      </w:pPr>
      <w:bookmarkStart w:id="109" w:name="X17964fe5bbcedd5e46dde8319b4da760449438d"/>
      <w:bookmarkStart w:id="110" w:name="_Toc225323422"/>
      <w:r>
        <w:t>Chapter 8: Digital Platform and Data Architecture</w:t>
      </w:r>
      <w:bookmarkEnd w:id="109"/>
      <w:bookmarkEnd w:id="110"/>
    </w:p>
    <w:p w14:paraId="105506F8" w14:textId="77777777" w:rsidR="00EB2F85" w:rsidRDefault="00000000">
      <w:r>
        <w:pict w14:anchorId="1055085F">
          <v:rect id="_x0000_i1078" style="width:0;height:1.5pt" o:hralign="center" o:hrstd="t" o:hr="t"/>
        </w:pict>
      </w:r>
    </w:p>
    <w:p w14:paraId="105506F9" w14:textId="77777777" w:rsidR="00EB2F85" w:rsidRDefault="00772CAE">
      <w:pPr>
        <w:pStyle w:val="Heading2"/>
      </w:pPr>
      <w:bookmarkStart w:id="111" w:name="purpose-of-the-digital-platform"/>
      <w:bookmarkStart w:id="112" w:name="_Toc225323423"/>
      <w:r>
        <w:t>8.1 Purpose of the Digital Platform</w:t>
      </w:r>
      <w:bookmarkEnd w:id="111"/>
      <w:bookmarkEnd w:id="112"/>
    </w:p>
    <w:p w14:paraId="105506FA" w14:textId="77777777" w:rsidR="00EB2F85" w:rsidRDefault="00772CAE">
      <w:pPr>
        <w:pStyle w:val="FirstParagraph"/>
      </w:pPr>
      <w:r>
        <w:t>A national Monitoring, Reporting, and Verification (MRV) system generates data across multiple institutional tiers, dozens of monitoring sites, and several parallel reporting obligations. Ghana’s national Blue Carbon MRV system generates data from 57 field monitoring stations at the Keta Lagoon Complex, 23 stations at Ada, a network of Permanent Sample Plots (PSPs), satellite-derived mangrove extent analyses, governance participation records, and quarterly pressure surveillance reports compiled by Community Resource Management Areas (CREMAs) and Community Change Agents (CCAs) at sites including Dzita, Pute, and Sankor. Without a centralised digital architecture to receive, store, validate, and present this data, the system cannot function as an integrated national monitoring framework. Field observations collected at Keta remain disconnected from national carbon accounting unless there is a platform that links them. PSP re-measurement records have no auditable continuity unless they are archived in a structured database with version control and access logging. Governance participation data cannot be assessed for trends unless it is deposited in a system that allows comparison across time periods and across the three landscapes.</w:t>
      </w:r>
    </w:p>
    <w:p w14:paraId="105506FB" w14:textId="77777777" w:rsidR="00EB2F85" w:rsidRDefault="00772CAE">
      <w:pPr>
        <w:pStyle w:val="BodyText"/>
      </w:pPr>
      <w:r>
        <w:t xml:space="preserve">The digital platform is not, therefore, a supplementary reporting convenience. It is the connective tissue between field data collection, institutional validation, national reporting, and carbon market disclosure. The Ministry of Lands and Natural Resources (MLNR) and the Ministry of Environment, Science, Technology and Innovation (MESTI) — the joint custodians of the national MRV system — depend on this platform to fulfil their oversight and reporting obligations. Carbon market verifiers assessing Ghana’s blue carbon assets require access to an audit-grade data environment that </w:t>
      </w:r>
      <w:r>
        <w:lastRenderedPageBreak/>
        <w:t>demonstrates institutional continuity, methodological consistency, and traceability from individual plot measurements to national stock estimates. The platform architecture described in this chapter is designed to meet both requirements: operational utility for government institutions managing the monitoring system, and investment-grade data infrastructure for development partners and market participants.</w:t>
      </w:r>
    </w:p>
    <w:p w14:paraId="105506FC" w14:textId="77777777" w:rsidR="00EB2F85" w:rsidRDefault="00000000">
      <w:r>
        <w:pict w14:anchorId="10550860">
          <v:rect id="_x0000_i1079" style="width:0;height:1.5pt" o:hralign="center" o:hrstd="t" o:hr="t"/>
        </w:pict>
      </w:r>
    </w:p>
    <w:p w14:paraId="105506FD" w14:textId="77777777" w:rsidR="00EB2F85" w:rsidRDefault="00772CAE">
      <w:pPr>
        <w:pStyle w:val="Heading2"/>
      </w:pPr>
      <w:bookmarkStart w:id="113" w:name="platform-architecture"/>
      <w:bookmarkStart w:id="114" w:name="_Toc225323424"/>
      <w:r>
        <w:t>8.2 Platform Architecture</w:t>
      </w:r>
      <w:bookmarkEnd w:id="113"/>
      <w:bookmarkEnd w:id="114"/>
    </w:p>
    <w:p w14:paraId="105506FE" w14:textId="77777777" w:rsidR="00EB2F85" w:rsidRDefault="00772CAE">
      <w:pPr>
        <w:pStyle w:val="FirstParagraph"/>
      </w:pPr>
      <w:r>
        <w:t>The Blue Carbon MRV digital platform is developed and maintained by GAB Climate Smart Investment Ltd, a Ghanaian company with responsibility for the technical build and deployment of the MRV system’s digital infrastructure. The platform is built on a modern, cloud-native technology stack designed for scientific data accuracy and secure multi-institutional access.</w:t>
      </w:r>
    </w:p>
    <w:p w14:paraId="105506FF" w14:textId="77777777" w:rsidR="00EB2F85" w:rsidRDefault="00772CAE">
      <w:pPr>
        <w:pStyle w:val="BodyText"/>
      </w:pPr>
      <w:r>
        <w:t>The front-end application is built in Next.js using the App Router architecture, which enables both server-rendered and client-side interface components. This allows the platform to serve lightweight, role-appropriate views to field-based CCAs and CREMA members accessing the system via smartphone, while simultaneously providing richer, data-intensive dashboards to national-level users at MLNR and MESTI. The user interface is designed with Tailwind CSS and shadcn/ui component libraries, with Mapbox GL JS providing the interactive spatial map views that are central to the platform’s monitoring and visualisation functions.</w:t>
      </w:r>
    </w:p>
    <w:p w14:paraId="10550700" w14:textId="77777777" w:rsidR="00EB2F85" w:rsidRDefault="00772CAE">
      <w:pPr>
        <w:pStyle w:val="BodyText"/>
      </w:pPr>
      <w:r>
        <w:t xml:space="preserve">The database is hosted on Supabase Pro — a managed PostgreSQL service with PostGIS spatial extension support — under the project reference </w:t>
      </w:r>
      <w:r>
        <w:rPr>
          <w:rStyle w:val="VerbatimChar"/>
        </w:rPr>
        <w:t>eavqytqxeaswfbytguxs</w:t>
      </w:r>
      <w:r>
        <w:t>. The use of PostgreSQL with PostGIS is technically appropriate for this application: the MRV system is fundamentally a spatial data system, and PostGIS enables the platform to store, query, and serve georeferenced data — including mangrove extent polygons, PSP locations, restoration site boundaries, and pressure hotspot overlays — within a relational database that also manages user authentication, access control, and non-spatial records such as field data submissions and governance participation logs. The Supabase environment enforces role-based access control at the database level, meaning that data visibility and editing rights are not simply managed through application logic but are enforced by the underlying data architecture.</w:t>
      </w:r>
    </w:p>
    <w:p w14:paraId="10550701" w14:textId="77777777" w:rsidR="00EB2F85" w:rsidRDefault="00772CAE">
      <w:pPr>
        <w:pStyle w:val="BodyText"/>
      </w:pPr>
      <w:r>
        <w:t xml:space="preserve">The platform is deployed and hosted on Vercel at </w:t>
      </w:r>
      <w:r>
        <w:rPr>
          <w:rStyle w:val="VerbatimChar"/>
        </w:rPr>
        <w:t>blue-carbon-mrv-green.vercel.app</w:t>
      </w:r>
      <w:r>
        <w:t xml:space="preserve">, with continuous deployment managed through the GitHub repository at </w:t>
      </w:r>
      <w:r>
        <w:rPr>
          <w:rStyle w:val="VerbatimChar"/>
        </w:rPr>
        <w:t>GAB-Climate-Smart/blue-carbon-mrv</w:t>
      </w:r>
      <w:r>
        <w:t>. The Vercel hosting environment manages automated deployment on code commit, environment variable management, and serves both the Next.js application and API layer. This configuration enables a disciplined development workflow in which database schema changes and application updates pass through version-controlled release stages before reaching the production environment.</w:t>
      </w:r>
    </w:p>
    <w:p w14:paraId="10550702" w14:textId="77777777" w:rsidR="00EB2F85" w:rsidRDefault="00772CAE">
      <w:pPr>
        <w:pStyle w:val="BodyText"/>
      </w:pPr>
      <w:r>
        <w:t xml:space="preserve">What the platform stores and what workflows it enables are inseparable from its architecture. The database is designed to hold Ghana’s national blue carbon dataset in its entirety: the Year 0 baseline geospatial layers covering 30,025 hectares of coastal </w:t>
      </w:r>
      <w:r>
        <w:lastRenderedPageBreak/>
        <w:t>mangrove extent; the PSP registry with georeferenced plot locations, carbon pool classifications, and measurement histories; field-based ecological monitoring records from the 80 monitoring stations across Keta and Ada; environmental pressure surveillance data submitted by CCAs and district-level Wildlife Division officers; and governance and safeguard records including CREMA participation records, grievance logs, and benefit-sharing summaries. The workflows the platform enables are structured around the institutional tiers that the MRV system is designed to serve: community-level data submission, district-level validation, national-level review and reporting, and independent audit access.</w:t>
      </w:r>
    </w:p>
    <w:p w14:paraId="10550703" w14:textId="77777777" w:rsidR="00EB2F85" w:rsidRDefault="00000000">
      <w:r>
        <w:pict w14:anchorId="10550861">
          <v:rect id="_x0000_i1080" style="width:0;height:1.5pt" o:hralign="center" o:hrstd="t" o:hr="t"/>
        </w:pict>
      </w:r>
    </w:p>
    <w:p w14:paraId="10550704" w14:textId="77777777" w:rsidR="00EB2F85" w:rsidRDefault="00772CAE">
      <w:pPr>
        <w:pStyle w:val="Heading2"/>
      </w:pPr>
      <w:bookmarkStart w:id="115" w:name="eosda-continuous-satellite-monitoring"/>
      <w:bookmarkStart w:id="116" w:name="_Toc225323425"/>
      <w:r>
        <w:t>8.3 EOSDA Continuous Satellite Monitoring</w:t>
      </w:r>
      <w:bookmarkEnd w:id="115"/>
      <w:bookmarkEnd w:id="116"/>
    </w:p>
    <w:p w14:paraId="10550705" w14:textId="77777777" w:rsidR="00EB2F85" w:rsidRDefault="00772CAE">
      <w:pPr>
        <w:pStyle w:val="FirstParagraph"/>
      </w:pPr>
      <w:r>
        <w:t>The Blue Carbon MRV platform is designed to integrate with EOS Data Analytics (EOSDA), a commercial satellite imagery and monitoring platform that enables continuous observation of defined areas of interest using recurring satellite passes. Within the MRV architecture, EOSDA is intended to provide the continuous satellite monitoring layer that complements ground-based field observations: detecting changes in mangrove canopy cover, identifying potential land conversion events within restoration and protection zones, and generating the automated alert signals that trigger escalation through the institutional response chain.</w:t>
      </w:r>
    </w:p>
    <w:p w14:paraId="10550706" w14:textId="77777777" w:rsidR="00EB2F85" w:rsidRDefault="00772CAE">
      <w:pPr>
        <w:pStyle w:val="BodyText"/>
      </w:pPr>
      <w:r>
        <w:t>The named monitoring units for EOSDA integration are already spatially defined. The repository contains dated boundary files for the Dzita restoration areas, the Salo restoration area, the Salo Permanent Sample Plot 1, the Avu protection area, the Aborlove protection area, and the Keta Lagoon and Keta Lagoon Ramsar boundaries. These files — produced between February and March 2026 as part of the spatial baseline package — constitute a practical set of polygons that can be uploaded to EOSDA as areas of interest, enabling recurring observation schedules to be attached to each named monitoring unit. The spatial scaffold is in place.</w:t>
      </w:r>
    </w:p>
    <w:p w14:paraId="10550707" w14:textId="77777777" w:rsidR="00EB2F85" w:rsidRDefault="00772CAE">
      <w:pPr>
        <w:pStyle w:val="BodyText"/>
      </w:pPr>
      <w:r>
        <w:t>What the current evidence base does not yet confirm is that EOSDA account configuration, area-of-interest uploads, and active recurring monitoring workflows have been completed. No upload confirmations, EOSDA platform screenshots, or monitoring output exports are currently archived in the project repository. The EOSDA integration must therefore be described accurately as a prepared and well-grounded next step, not as an already-operational continuous monitoring service. The distinction matters for accountability: MLNR and MESTI should understand precisely what is ready to be operationalised and what still requires institutional action to activate.</w:t>
      </w:r>
    </w:p>
    <w:p w14:paraId="10550708" w14:textId="77777777" w:rsidR="00EB2F85" w:rsidRDefault="00772CAE">
      <w:pPr>
        <w:pStyle w:val="BodyText"/>
      </w:pPr>
      <w:r>
        <w:t xml:space="preserve">Once EOSDA is activated, the intended workflow is as follows. Named polygon boundaries for restoration areas, protection zones, and PSP locations are uploaded as areas of interest within the EOSDA platform. EOSDA then applies recurring satellite observation schedules — drawing on Sentinel-2 and higher-resolution imagery — to those defined areas. Normalised Difference Moisture Index (NDMI) outputs, which the existing boundary files already reference in their naming conventions (e.g., </w:t>
      </w:r>
      <w:r>
        <w:rPr>
          <w:rStyle w:val="VerbatimChar"/>
        </w:rPr>
        <w:t>dzita_restoration_areas_ndmi_03mar2026_boundary</w:t>
      </w:r>
      <w:r>
        <w:t xml:space="preserve">), provide a proxy measure of </w:t>
      </w:r>
      <w:r>
        <w:lastRenderedPageBreak/>
        <w:t>vegetation water stress and condition change that is ecologically meaningful for mangrove monitoring. Where NDMI values fall outside expected seasonal ranges, or where change detection algorithms identify canopy loss or encroachment within a protected or restoration zone, the system flags the relevant area for institutional review. MLNR and MESTI access EOSDA outputs through the platform’s reporting interface, which aggregates satellite-derived change signals alongside field-based monitoring records. The intended monitoring cadence is weekly satellite imagery updates, with automated alert generation for detected changes intersecting ecologically sensitive areas.</w:t>
      </w:r>
    </w:p>
    <w:p w14:paraId="10550709" w14:textId="77777777" w:rsidR="00EB2F85" w:rsidRDefault="00772CAE">
      <w:pPr>
        <w:pStyle w:val="BodyText"/>
      </w:pPr>
      <w:r>
        <w:t>The integration between EOSDA and the Supabase database ensures that satellite-derived signals are stored alongside field observations in a single data environment. This is operationally important: a satellite alert is most useful when it can be cross-referenced against the field monitoring record for the same location, the PSP re-measurement history for plots within the flagged area, and the governance record for the CREMA responsible for that landscape segment. The platform architecture is designed to enable this cross-referencing. Activating the EOSDA integration is the next implementation milestone required to make continuous satellite monitoring operational.</w:t>
      </w:r>
    </w:p>
    <w:p w14:paraId="1055070A" w14:textId="77777777" w:rsidR="00EB2F85" w:rsidRDefault="00000000">
      <w:r>
        <w:pict w14:anchorId="10550862">
          <v:rect id="_x0000_i1081" style="width:0;height:1.5pt" o:hralign="center" o:hrstd="t" o:hr="t"/>
        </w:pict>
      </w:r>
    </w:p>
    <w:p w14:paraId="1055070B" w14:textId="77777777" w:rsidR="00EB2F85" w:rsidRDefault="00772CAE">
      <w:pPr>
        <w:pStyle w:val="Heading2"/>
      </w:pPr>
      <w:bookmarkStart w:id="117" w:name="year-0-data-archiving"/>
      <w:bookmarkStart w:id="118" w:name="_Toc225323426"/>
      <w:r>
        <w:t>8.4 Year 0 Data Archiving</w:t>
      </w:r>
      <w:bookmarkEnd w:id="117"/>
      <w:bookmarkEnd w:id="118"/>
    </w:p>
    <w:p w14:paraId="1055070C" w14:textId="77777777" w:rsidR="00EB2F85" w:rsidRDefault="00772CAE">
      <w:pPr>
        <w:pStyle w:val="FirstParagraph"/>
      </w:pPr>
      <w:r>
        <w:t>The 2025 national baseline constitutes Ghana’s Year 0 blue carbon dataset: the anchor against which all future monitoring is benchmarked and all carbon stock changes are measured. This dataset includes the national mangrove extent mapping covering 30,025 hectares of coastal mangroves across 35 districts; the stratified carbon inventory results for above-ground biomass (AGB), below-ground biomass (BGB), deadwood where relevant, and soil organic carbon (SOC) to 100 cm depth; georeferenced PSP locations and their initial measurement records; soil core sampling results from the field campaign; field data sheets from the monitoring station network at Keta and Ada; governance baseline records including CREMA readiness assessments, participation documentation, and community profiles for the 37 communities surveyed; and the geospatial boundary files that define restoration areas, protection zones, and PSP plot extents.</w:t>
      </w:r>
    </w:p>
    <w:p w14:paraId="1055070D" w14:textId="77777777" w:rsidR="00EB2F85" w:rsidRDefault="00772CAE">
      <w:pPr>
        <w:pStyle w:val="BodyText"/>
      </w:pPr>
      <w:r>
        <w:t>The integrity of this archive is not a technical nicety. It is a legal and scientific requirement. Carbon market standards — including the Voluntary Carbon Standard (Verra/VCS), Gold Standard, and Plan Vivo — require that baseline carbon stocks be documented with methodological transparency and that the data underpinning those stocks be preserved in a form that supports independent verification. Any future carbon credit issuance will be assessed against the Year 0 inventory. If the archive is degraded, overwritten without versioning, or insufficiently documented, the entire accounting chain from baseline to credit issuance is compromised.</w:t>
      </w:r>
    </w:p>
    <w:p w14:paraId="1055070E" w14:textId="77777777" w:rsidR="00EB2F85" w:rsidRDefault="00772CAE">
      <w:pPr>
        <w:pStyle w:val="BodyText"/>
      </w:pPr>
      <w:r>
        <w:t xml:space="preserve">The platform’s data archiving architecture addresses these requirements through several mechanisms. All data entries are time-stamped at the point of submission and assigned unique record identifiers within the Supabase PostgreSQL database. </w:t>
      </w:r>
      <w:r>
        <w:lastRenderedPageBreak/>
        <w:t>Database schema changes are version-controlled through the Supabase migration system, ensuring that structural changes to the data environment are tracked and reversible. The Supabase Pro hosting environment provides automated database backups with point-in-time recovery, meaning that data can be restored to any earlier state if records are accidentally modified or corrupted. Role-based access control at the database level ensures that the Year 0 baseline layers — once deposited — can only be modified by authorised administrators, with any modification logged in the audit trail.</w:t>
      </w:r>
    </w:p>
    <w:p w14:paraId="1055070F" w14:textId="77777777" w:rsidR="00EB2F85" w:rsidRDefault="00772CAE">
      <w:pPr>
        <w:pStyle w:val="BodyText"/>
      </w:pPr>
      <w:r>
        <w:t>Beyond the platform itself, the Year 0 archiving strategy requires that the raw field data — physical data sheets, laboratory analysis reports, GPS coordinates from field measurements, and drone-linked spatial boundaries — are digitised, named consistently, and deposited in the project repository alongside the database records. The existing boundary files in the repository already demonstrate this practice: the NDMI-linked polygon files carry explicit date stamps and descriptive names that allow any user to identify what the file represents, when it was produced, and which monitoring unit it corresponds to. This naming discipline must be applied consistently to all Year 0 materials as they are finalised and deposited. Version management for the baseline geospatial layers — particularly the national mangrove extent classification — requires that the Year 0 raster and vector outputs are archived as read-only reference layers, with any updated classification products stored as versioned annual updates rather than overwrites of the original.</w:t>
      </w:r>
    </w:p>
    <w:p w14:paraId="10550710" w14:textId="77777777" w:rsidR="00EB2F85" w:rsidRDefault="00000000">
      <w:r>
        <w:pict w14:anchorId="10550863">
          <v:rect id="_x0000_i1082" style="width:0;height:1.5pt" o:hralign="center" o:hrstd="t" o:hr="t"/>
        </w:pict>
      </w:r>
    </w:p>
    <w:p w14:paraId="10550711" w14:textId="77777777" w:rsidR="00EB2F85" w:rsidRDefault="00772CAE">
      <w:pPr>
        <w:pStyle w:val="Heading2"/>
      </w:pPr>
      <w:bookmarkStart w:id="119" w:name="user-roles-and-data-flows"/>
      <w:bookmarkStart w:id="120" w:name="_Toc225323427"/>
      <w:r>
        <w:t>8.5 User Roles and Data Flows</w:t>
      </w:r>
      <w:bookmarkEnd w:id="119"/>
      <w:bookmarkEnd w:id="120"/>
    </w:p>
    <w:p w14:paraId="10550712" w14:textId="77777777" w:rsidR="00EB2F85" w:rsidRDefault="00772CAE">
      <w:pPr>
        <w:pStyle w:val="FirstParagraph"/>
      </w:pPr>
      <w:r>
        <w:t>The platform’s user role structure maps directly to the four institutional tiers of the national MRV system. Each tier has a defined relationship to data: submitting it, validating it, reviewing it, or auditing it. The role architecture ensures that data flows upward through the institutional hierarchy with validation checks at each level, and that the integrity of the national dataset is protected against unvalidated or erroneous submissions.</w:t>
      </w:r>
    </w:p>
    <w:p w14:paraId="10550713" w14:textId="77777777" w:rsidR="00EB2F85" w:rsidRDefault="00772CAE">
      <w:pPr>
        <w:pStyle w:val="BodyText"/>
      </w:pPr>
      <w:r>
        <w:t xml:space="preserve">At the community tier, CCAs and CREMA members submit field observation data through the platform’s smartphone-compatible interface. Submissions include quarterly monitoring records from the 57 stations at the Keta Lagoon Complex and the 23 stations at Ada, covering the water quality and soil parameter readings specified in the monitoring plan: pH, temperature, conductivity, salinity, total dissolved solids, dissolved oxygen, and oxidation-reduction potential for water; and nitrate, phosphate, potassium, pH, moisture, humus content, and temperature for soil. CCAs and CREMA members also submit pressure surveillance observations — recorded cutting events, encroachment incidents, salt pan expansion observations, and livelihood-stress signals — through the platform’s community reporting interface. At Dzita, where the Keta Lagoon early action hub is based, CCAs operating the 57-station monitoring network submit records on a quarterly cycle. At Pute in Songor and Sankor in Muni-Pomadze, CREMA members submit observations as the governance structures at those sites develop. The platform’s community-level interface provides simplified map overlays of each CCA’s or CREMA’s designated monitoring zone, so that observations can be </w:t>
      </w:r>
      <w:r>
        <w:lastRenderedPageBreak/>
        <w:t>geographically anchored at the point of submission rather than requiring manual cross-referencing against maps at the validation stage.</w:t>
      </w:r>
    </w:p>
    <w:p w14:paraId="10550714" w14:textId="77777777" w:rsidR="00EB2F85" w:rsidRDefault="00772CAE">
      <w:pPr>
        <w:pStyle w:val="BodyText"/>
      </w:pPr>
      <w:r>
        <w:t>At the district tier, Wildlife Division officers and Municipal and District Assembly (MMDA) officials review community-submitted records, validate observations against their own field knowledge, and flag anomalies for follow-up. Data submitted by CCAs enters a validation queue within the platform; district-level users have the editing and flagging rights necessary to mark records as validated, query them for clarification, or reject and return them for correction. This validation step ensures that measurement errors, transcription mistakes, and implausible values are caught before they propagate into national reporting. The Wildlife Division’s district-level role is particularly important for pressure surveillance data, where distinguishing a genuine cutting event from a misidentified seasonal variation requires local ecological knowledge that CCAs in early stages of training may not yet possess.</w:t>
      </w:r>
    </w:p>
    <w:p w14:paraId="10550715" w14:textId="77777777" w:rsidR="00EB2F85" w:rsidRDefault="00772CAE">
      <w:pPr>
        <w:pStyle w:val="BodyText"/>
      </w:pPr>
      <w:r>
        <w:t>At the national tier, MLNR and MESTI access national-level reporting dashboards and data summaries rather than individual field records. Their interface presents aggregated spatial views of mangrove extent and condition, carbon stock status, pressure trends by landscape, and governance indicator summaries. MLNR and MESTI can download audit-ready data exports for national climate reporting purposes, including Nationally Determined Contribution (NDC) progress summaries and the Annual National Blue Carbon MRV Report. Administrative functions — adding new users, managing institutional access levels, and approving data publications — are reserved for system administrators at MLNR in coordination with GAB Climate Smart.</w:t>
      </w:r>
    </w:p>
    <w:p w14:paraId="10550716" w14:textId="77777777" w:rsidR="00EB2F85" w:rsidRDefault="00772CAE">
      <w:pPr>
        <w:pStyle w:val="BodyText"/>
      </w:pPr>
      <w:r>
        <w:t>At the independent review tier, accredited carbon market verifiers and external auditors access a restricted but complete export of audit-grade data: the full PSP measurement record with methodology documentation, the satellite-derived extent change record, the pressure surveillance log, and the governance participation archive. This access tier does not permit editing or real-time interaction with the live dataset; it provides read-only export access to verified, validated data packages prepared for each verification cycle, consistent with the data disclosure requirements of Verra/VCS, Gold Standard, and Plan Vivo verification procedures.</w:t>
      </w:r>
    </w:p>
    <w:p w14:paraId="10550717" w14:textId="77777777" w:rsidR="00EB2F85" w:rsidRDefault="00772CAE">
      <w:pPr>
        <w:pStyle w:val="BodyText"/>
      </w:pPr>
      <w:r>
        <w:t>The data flow structure linking these tiers runs from community submission through district validation to national database integration and ultimately to platform-mediated annual reporting. All data updates are time-stamped and logged, and the audit trail linking any field observation to the national carbon stock estimate it informs is preserved in the database architecture from the point of original submission.</w:t>
      </w:r>
    </w:p>
    <w:p w14:paraId="10550718" w14:textId="77777777" w:rsidR="00EB2F85" w:rsidRDefault="00000000">
      <w:r>
        <w:pict w14:anchorId="10550864">
          <v:rect id="_x0000_i1083" style="width:0;height:1.5pt" o:hralign="center" o:hrstd="t" o:hr="t"/>
        </w:pict>
      </w:r>
    </w:p>
    <w:p w14:paraId="10550719" w14:textId="77777777" w:rsidR="00EB2F85" w:rsidRDefault="00772CAE">
      <w:pPr>
        <w:pStyle w:val="Heading2"/>
      </w:pPr>
      <w:bookmarkStart w:id="121" w:name="reporting-outputs-from-the-platform"/>
      <w:bookmarkStart w:id="122" w:name="_Toc225323428"/>
      <w:r>
        <w:t>8.6 Reporting Outputs from the Platform</w:t>
      </w:r>
      <w:bookmarkEnd w:id="121"/>
      <w:bookmarkEnd w:id="122"/>
    </w:p>
    <w:p w14:paraId="1055071A" w14:textId="77777777" w:rsidR="00EB2F85" w:rsidRDefault="00772CAE">
      <w:pPr>
        <w:pStyle w:val="FirstParagraph"/>
      </w:pPr>
      <w:r>
        <w:t>The platform produces four categories of reporting output, each serving a distinct institutional audience and operating on a different temporal cycle.</w:t>
      </w:r>
    </w:p>
    <w:p w14:paraId="1055071B" w14:textId="77777777" w:rsidR="00EB2F85" w:rsidRDefault="00772CAE">
      <w:pPr>
        <w:pStyle w:val="BodyText"/>
      </w:pPr>
      <w:r>
        <w:t xml:space="preserve">The Annual National Blue Carbon MRV Report is the primary national disclosure instrument. It is produced by MLNR and MESTI on an annual cycle, drawing on the full </w:t>
      </w:r>
      <w:r>
        <w:lastRenderedPageBreak/>
        <w:t>dataset assembled in the platform over the preceding twelve months. The report presents the national mangrove extent change summary — derived from Sentinel-2 satellite analysis at 10–20 metre resolution — alongside the restoration performance assessment for active sites, the environmental pressure trend analysis across the three Ramsar landscapes, the governance and safeguard performance review, and the carbon risk assessment summary. The platform generates the underlying datasets and visualisations that populate each of these sections; the institutional authors at MLNR and MESTI compile the analytical narrative and approve the final report for publication. The Annual Report serves as the principal reference for government planning under Ghana’s WACA ResIP 2 commitments (World Bank Project P175625), for donor review by the World Bank and development partners, and for private sector due diligence by investors and carbon market participants.</w:t>
      </w:r>
    </w:p>
    <w:p w14:paraId="1055071C" w14:textId="77777777" w:rsidR="00EB2F85" w:rsidRDefault="00772CAE">
      <w:pPr>
        <w:pStyle w:val="BodyText"/>
      </w:pPr>
      <w:r>
        <w:t xml:space="preserve">Quarterly pressure surveillance summaries are the platform’s most frequent reporting output. They are generated from the rolling dataset of community-submitted pressure observations and district-validated records, and present a spatial summary of cutting incidence, encroachment signals, charcoal production activity, and conflict indicators across each landscape. These summaries are circulated to the Wildlife Division and MMDAs for operational response planning. At the Keta Lagoon Complex — where fuelwood harvesting by fish-smoking communities at Dzita, Salo, Galotse, and Agbatsivi represents the most persistent pressure on </w:t>
      </w:r>
      <w:r>
        <w:rPr>
          <w:i/>
        </w:rPr>
        <w:t>Rhizophora racemosa</w:t>
      </w:r>
      <w:r>
        <w:t xml:space="preserve"> stands — quarterly summaries provide the early-warning signal that allows the Wildlife Division to mobilise CREMA mediation or enforcement response before pressure events escalate into measurable canopy loss.</w:t>
      </w:r>
    </w:p>
    <w:p w14:paraId="1055071D" w14:textId="77777777" w:rsidR="00EB2F85" w:rsidRDefault="00772CAE">
      <w:pPr>
        <w:pStyle w:val="BodyText"/>
      </w:pPr>
      <w:r>
        <w:t>Carbon stock update reports are generated on the PSP re-measurement cycle of every three to five years. The platform produces these reports by combining the current PSP measurement dataset against the Year 0 baseline record, calculating stock changes by carbon pool and by landscape stratum, and applying the uncertainty quantification framework established in the national carbon accounting protocol. The output supports carbon market verification by providing a documented, traceable record of stock changes from baseline to the current measurement date, prepared in a format compatible with Verra/VCS and related standard audit requirements.</w:t>
      </w:r>
    </w:p>
    <w:p w14:paraId="1055071E" w14:textId="77777777" w:rsidR="00EB2F85" w:rsidRDefault="00772CAE">
      <w:pPr>
        <w:pStyle w:val="BodyText"/>
      </w:pPr>
      <w:r>
        <w:t>Governance indicator dashboards provide MLNR and MESTI with a real-time view of CREMA composition statistics, gender and youth representation against the minimum 40% female leadership requirement, grievance redress performance metrics, and conflict mediation outcomes at each landscape. These dashboards draw directly from governance data submitted through the platform and provide the operational basis for the governance and safeguard performance chapter of the Annual MRV Report. They also provide the evidence base for adaptive management decisions — for example, identifying where female participation rates are falling below the approved minimum, or where grievance logs are showing unresolved complaints that require escalation.</w:t>
      </w:r>
    </w:p>
    <w:p w14:paraId="1055071F" w14:textId="77777777" w:rsidR="00EB2F85" w:rsidRDefault="00000000">
      <w:r>
        <w:pict w14:anchorId="10550865">
          <v:rect id="_x0000_i1084" style="width:0;height:1.5pt" o:hralign="center" o:hrstd="t" o:hr="t"/>
        </w:pict>
      </w:r>
    </w:p>
    <w:p w14:paraId="10550720" w14:textId="77777777" w:rsidR="00EB2F85" w:rsidRDefault="00772CAE">
      <w:pPr>
        <w:pStyle w:val="Heading2"/>
      </w:pPr>
      <w:bookmarkStart w:id="123" w:name="current-development-status-and-roadmap"/>
      <w:bookmarkStart w:id="124" w:name="_Toc225323429"/>
      <w:r>
        <w:lastRenderedPageBreak/>
        <w:t>8.7 Current Development Status and Roadmap</w:t>
      </w:r>
      <w:bookmarkEnd w:id="123"/>
      <w:bookmarkEnd w:id="124"/>
    </w:p>
    <w:p w14:paraId="10550721" w14:textId="77777777" w:rsidR="00EB2F85" w:rsidRDefault="00772CAE">
      <w:pPr>
        <w:pStyle w:val="FirstParagraph"/>
      </w:pPr>
      <w:r>
        <w:t>Understanding the current status of the platform requires distinguishing between three categories of work: infrastructure that is provisioned and operational, features that are under active development, and capabilities that are designed but not yet built.</w:t>
      </w:r>
    </w:p>
    <w:p w14:paraId="10550722" w14:textId="77777777" w:rsidR="00EB2F85" w:rsidRDefault="00772CAE">
      <w:pPr>
        <w:pStyle w:val="BodyText"/>
      </w:pPr>
      <w:r>
        <w:t>At the infrastructure level, the core technical components are in place. The Supabase project (</w:t>
      </w:r>
      <w:r>
        <w:rPr>
          <w:rStyle w:val="VerbatimChar"/>
        </w:rPr>
        <w:t>eavqytqxeaswfbytguxs</w:t>
      </w:r>
      <w:r>
        <w:t xml:space="preserve">) is provisioned and connected to the application. The Vercel hosting environment is active, and the application deploys to </w:t>
      </w:r>
      <w:r>
        <w:rPr>
          <w:rStyle w:val="VerbatimChar"/>
        </w:rPr>
        <w:t>blue-carbon-mrv-green.vercel.app</w:t>
      </w:r>
      <w:r>
        <w:t xml:space="preserve"> via the GitHub repository at </w:t>
      </w:r>
      <w:r>
        <w:rPr>
          <w:rStyle w:val="VerbatimChar"/>
        </w:rPr>
        <w:t>GAB-Climate-Smart/blue-carbon-mrv</w:t>
      </w:r>
      <w:r>
        <w:t>. The deployment pipeline is functional: code committed to the main branch triggers automated deployment through GitHub Actions, using the Supabase CLI for database migration management and the Vercel CLI for application deployment. This infrastructure baseline — provisioned database, live hosting, version-controlled CI/CD pipeline — represents a meaningful foundation that distinguishes the platform from a purely paper-based design.</w:t>
      </w:r>
    </w:p>
    <w:p w14:paraId="10550723" w14:textId="77777777" w:rsidR="00EB2F85" w:rsidRDefault="00772CAE">
      <w:pPr>
        <w:pStyle w:val="BodyText"/>
      </w:pPr>
      <w:r>
        <w:t>The AI_BLUEPRINT.md development guide further indicates that the platform is one of four active projects maintained by GAB Climate Smart within this technical environment, alongside the GAB OS company dashboard, the GAB Farms ERP, and the GAB Ramsar Map. The Blue Carbon MRV application is designed with the same architectural standards that govern these parallel projects: Next.js App Router, Supabase Pro with PostGIS, role-based authentication, and spatial map views through Mapbox GL JS. The consistency of technical approach across projects indicates that the team has accumulated operational experience with this stack.</w:t>
      </w:r>
    </w:p>
    <w:p w14:paraId="10550724" w14:textId="77777777" w:rsidR="00EB2F85" w:rsidRDefault="00772CAE">
      <w:pPr>
        <w:pStyle w:val="BodyText"/>
      </w:pPr>
      <w:r>
        <w:t>What is not yet confirmed in the current evidence base is the build status of specific application features. The platform design specifies community data submission interfaces, district-level validation workflows, national reporting dashboards, EOSDA satellite monitoring integration, and audit-grade data export functions. The AI_BLUEPRINT.md is a developer working guide — it describes the intended architecture and development workflow, not a completed feature inventory. The current version of the platform should be described as a technically functional prototype with a well-defined development roadmap, rather than a fully operational multi-institutional data system.</w:t>
      </w:r>
    </w:p>
    <w:p w14:paraId="10550725" w14:textId="77777777" w:rsidR="00EB2F85" w:rsidRDefault="00772CAE">
      <w:pPr>
        <w:pStyle w:val="BodyText"/>
      </w:pPr>
      <w:r>
        <w:t>The EOSDA integration represents the most important near-term development milestone. The spatial boundary files required to initiate EOSDA monitoring are already produced and deposited in the repository. The next step — uploading these polygons to EOSDA, configuring recurring observation schedules, and linking EOSDA output feeds to the platform database — requires institutional action alongside technical build work. MLNR should treat EOSDA account configuration as a priority operational task, distinct from the ongoing application development, and should designate a named technical officer to manage the EOSDA account, approve uploaded boundaries, and oversee the first cycle of monitoring output review.</w:t>
      </w:r>
    </w:p>
    <w:p w14:paraId="10550726" w14:textId="77777777" w:rsidR="00EB2F85" w:rsidRDefault="00772CAE">
      <w:pPr>
        <w:pStyle w:val="BodyText"/>
      </w:pPr>
      <w:r>
        <w:t xml:space="preserve">The medium-term development roadmap includes three further capability areas. The community data submission interface — designed to be smartphone-compatible for use </w:t>
      </w:r>
      <w:r>
        <w:lastRenderedPageBreak/>
        <w:t>by CCAs in the field at sites including the 57-station Keta network and the 23-station Ada network — requires usability testing with field staff before the quarterly reporting cycle can run entirely through the platform. The carbon stock update reporting module, which aggregates PSP re-measurement data against the Year 0 baseline, requires both the data entry interface for field measurement records and the calculation and export functions that generate the re-measurement report outputs. The governance dashboard, which draws on CREMA composition records and grievance logs, requires integration with the governance data submission workflow and the reporting templates approved by MLNR and MESTI.</w:t>
      </w:r>
    </w:p>
    <w:p w14:paraId="10550727" w14:textId="77777777" w:rsidR="00EB2F85" w:rsidRDefault="00772CAE">
      <w:pPr>
        <w:pStyle w:val="BodyText"/>
      </w:pPr>
      <w:r>
        <w:t>Beyond these feature-level development priorities, the platform’s long-term scalability depends on two institutional commitments. The first is the sustained investment by MLNR and MESTI in the data governance protocols — the user management, access review, backup verification, and data quality audit functions — that keep a living database authoritative over time. The second is the progressive expansion of the platform to cover additional blue carbon landscapes as the MRV system extends beyond the Keta pilot to Songor and Muni-Pomadze. The architecture is designed to accommodate this expansion: new PSP registries, new monitoring station networks, and new CREMA reporting units can be added to the existing database structure without requiring a rebuild. The foundational investment made at Keta — the Year 0 baseline, the 57-station monitoring network, the CREMA governance structure at Dzita — establishes the data model and institutional workflow that the expanded system will replicate.</w:t>
      </w:r>
    </w:p>
    <w:p w14:paraId="10550728" w14:textId="77777777" w:rsidR="00EB2F85" w:rsidRDefault="00000000">
      <w:r>
        <w:pict w14:anchorId="10550866">
          <v:rect id="_x0000_i1085" style="width:0;height:1.5pt" o:hralign="center" o:hrstd="t" o:hr="t"/>
        </w:pict>
      </w:r>
    </w:p>
    <w:p w14:paraId="10550729" w14:textId="77777777" w:rsidR="00EB2F85" w:rsidRDefault="00000000">
      <w:r>
        <w:pict w14:anchorId="10550867">
          <v:rect id="_x0000_i1086" style="width:0;height:1.5pt" o:hralign="center" o:hrstd="t" o:hr="t"/>
        </w:pict>
      </w:r>
    </w:p>
    <w:p w14:paraId="1055072A" w14:textId="77777777" w:rsidR="00EB2F85" w:rsidRDefault="00772CAE">
      <w:pPr>
        <w:pStyle w:val="Heading1"/>
      </w:pPr>
      <w:bookmarkStart w:id="125" w:name="chapter-9-carbon-accounting-protocol"/>
      <w:bookmarkStart w:id="126" w:name="_Toc225323430"/>
      <w:r>
        <w:t>Chapter 9: Carbon Accounting Protocol</w:t>
      </w:r>
      <w:bookmarkEnd w:id="125"/>
      <w:bookmarkEnd w:id="126"/>
    </w:p>
    <w:p w14:paraId="1055072B" w14:textId="77777777" w:rsidR="00EB2F85" w:rsidRDefault="00000000">
      <w:r>
        <w:pict w14:anchorId="10550868">
          <v:rect id="_x0000_i1087" style="width:0;height:1.5pt" o:hralign="center" o:hrstd="t" o:hr="t"/>
        </w:pict>
      </w:r>
    </w:p>
    <w:p w14:paraId="1055072C" w14:textId="77777777" w:rsidR="00EB2F85" w:rsidRDefault="00772CAE">
      <w:pPr>
        <w:pStyle w:val="Heading2"/>
      </w:pPr>
      <w:bookmarkStart w:id="127" w:name="carbon-market-alignment"/>
      <w:bookmarkStart w:id="128" w:name="_Toc225323431"/>
      <w:r>
        <w:t>9.1 Carbon Market Alignment</w:t>
      </w:r>
      <w:bookmarkEnd w:id="127"/>
      <w:bookmarkEnd w:id="128"/>
    </w:p>
    <w:p w14:paraId="1055072D" w14:textId="77777777" w:rsidR="00EB2F85" w:rsidRDefault="00772CAE">
      <w:pPr>
        <w:pStyle w:val="FirstParagraph"/>
      </w:pPr>
      <w:r>
        <w:t>Ghana’s blue carbon assessment has been designed from inception to meet the foundational requirements of international voluntary and compliance carbon standards: the Verified Carbon Standard (Verra/VCS), the Gold Standard, and the Plan Vivo Standard. The assessment is not a general ecological survey retrofitted for carbon market purposes. From the framing of its baseline methodology through to the design of its Monitoring, Reporting, and Verification (MRV) system, every technical decision has been taken with the requirements of these standards in view — including the selection of measurement depth for soil organic carbon, the structure of the Permanent Sample Plot (PSP) network, the use of participatory ground-truth validation, and the design of the governance and safeguard architecture that carbon standards increasingly require as a condition of certification.</w:t>
      </w:r>
    </w:p>
    <w:p w14:paraId="1055072E" w14:textId="77777777" w:rsidR="00EB2F85" w:rsidRDefault="00772CAE">
      <w:pPr>
        <w:pStyle w:val="BodyText"/>
      </w:pPr>
      <w:r>
        <w:t xml:space="preserve">This chapter documents the carbon accounting protocol that enables Ghana to participate in these markets and to report credibly against its Nationally Determined </w:t>
      </w:r>
      <w:r>
        <w:lastRenderedPageBreak/>
        <w:t>Contribution (NDC) commitments under the Paris Agreement. The protocol is anchored in the 2013 Intergovernmental Panel on Climate Change (IPCC) Wetlands Supplement — the internationally recognised accounting methodology for coastal and tidal wetland carbon — and draws on the specific guidance within that supplement for mangrove ecosystems, including pool definitions, allometric approaches, and soil carbon sampling standards. Consistency with IPCC Wetlands Supplement methodology is not optional for market participation under Verra or Gold Standard; it is a prerequisite. Ghana’s adoption of this framework from the outset of the assessment places the baseline data in a form that independent verifiers can assess without methodological conversion or reinterpretation.</w:t>
      </w:r>
    </w:p>
    <w:p w14:paraId="1055072F" w14:textId="77777777" w:rsidR="00EB2F85" w:rsidRDefault="00772CAE">
      <w:pPr>
        <w:pStyle w:val="BodyText"/>
      </w:pPr>
      <w:r>
        <w:t>The carbon accounting protocol described in this chapter is built on the ecological and monitoring foundations described in Chapter 4 and Chapter 7. Chapter 4 establishes how carbon stocks are measured, by whom, and at what intervals through the Ecological and Carbon Integrity Layer. Chapter 7 establishes the wider wetland monitoring network at Keta and Ada. This chapter addresses the accounting dimension: how measurements are translated into documented carbon stocks and changes, how additionality and permanence are established, how uncertainty is managed conservatively, and how the credit issuance pathway from field data to verified registry submission functions. Taken together, these three chapters constitute a carbon accounting and monitoring package that a Verra, Gold Standard, or Plan Vivo project developer can use as the credible national reference framework the Terms of Reference mandate the assessment to provide.</w:t>
      </w:r>
    </w:p>
    <w:p w14:paraId="10550730" w14:textId="77777777" w:rsidR="00EB2F85" w:rsidRDefault="00772CAE">
      <w:pPr>
        <w:pStyle w:val="BodyText"/>
      </w:pPr>
      <w:r>
        <w:t>The strategic context for carbon market participation is unambiguous. Blue carbon ecosystems store up to ten times more carbon per hectare than terrestrial forests. Ghana’s 30,025 hectares of coastal mangroves — mapped at 10 to 20 metre resolution using Sentinel-2 imagery and a Random Forest algorithm on Google Earth Engine (GEE), validated against 319 participatory ground-truth reference points — represent a national carbon asset of climate significance whose full magnitude was previously unmeasured. The Ministry of Lands and Natural Resources (MLNR) and the Ministry of Environment, Science, Technology and Innovation (MESTI) now hold, for the first time, a carbon inventory that is methodologically defensible before an international panel of standard reviewers. The accounting protocol in this chapter ensures that this inventory is maintained, updated, and reported in a form that translates its ecological significance into durable, verifiable climate finance.</w:t>
      </w:r>
    </w:p>
    <w:p w14:paraId="10550731" w14:textId="77777777" w:rsidR="00EB2F85" w:rsidRDefault="00000000">
      <w:r>
        <w:pict w14:anchorId="10550869">
          <v:rect id="_x0000_i1088" style="width:0;height:1.5pt" o:hralign="center" o:hrstd="t" o:hr="t"/>
        </w:pict>
      </w:r>
    </w:p>
    <w:p w14:paraId="10550732" w14:textId="77777777" w:rsidR="00EB2F85" w:rsidRDefault="00772CAE">
      <w:pPr>
        <w:pStyle w:val="Heading2"/>
      </w:pPr>
      <w:bookmarkStart w:id="129" w:name="the-four-carbon-pools"/>
      <w:bookmarkStart w:id="130" w:name="_Toc225323432"/>
      <w:r>
        <w:t>9.2 The Four Carbon Pools</w:t>
      </w:r>
      <w:bookmarkEnd w:id="129"/>
      <w:bookmarkEnd w:id="130"/>
    </w:p>
    <w:p w14:paraId="10550733" w14:textId="77777777" w:rsidR="00EB2F85" w:rsidRDefault="00772CAE">
      <w:pPr>
        <w:pStyle w:val="FirstParagraph"/>
      </w:pPr>
      <w:r>
        <w:t>The protocol accounts for carbon across four pools, consistent with IPCC Wetlands Supplement guidance and with the pool definitions applied in the 2025 national baseline inventory.</w:t>
      </w:r>
    </w:p>
    <w:p w14:paraId="10550734" w14:textId="77777777" w:rsidR="00EB2F85" w:rsidRDefault="00772CAE">
      <w:pPr>
        <w:pStyle w:val="BodyText"/>
      </w:pPr>
      <w:r>
        <w:t>Above-ground biomass (AGB) covers all live tree and shrub biomass above the soil surface — stems, branches, leaves, and aerial root structures. In the mangrove stands of the Keta Lagoon Complex and Songor Ramsar Site, AGB is calculated from species-</w:t>
      </w:r>
      <w:r>
        <w:lastRenderedPageBreak/>
        <w:t xml:space="preserve">specific allometric equations applied to Diameter at Breast Height (DBH) and height measurements collected at each PSP. The choice of allometric equation is methodologically significant: equations derived from one mangrove species or region can produce substantially different biomass estimates when applied to another, and the use of species-appropriate equations for </w:t>
      </w:r>
      <w:r>
        <w:rPr>
          <w:i/>
        </w:rPr>
        <w:t>Rhizophora racemosa</w:t>
      </w:r>
      <w:r>
        <w:t xml:space="preserve"> and </w:t>
      </w:r>
      <w:r>
        <w:rPr>
          <w:i/>
        </w:rPr>
        <w:t>Avicennia germinans</w:t>
      </w:r>
      <w:r>
        <w:t xml:space="preserve"> — the two dominant species across Ghana’s coastal mangroves — is a minimum requirement for methodological credibility under Verra’s methodology for Tidal Wetland and Seagrass Restoration (VM0033) and the IPCC Wetlands Supplement.</w:t>
      </w:r>
    </w:p>
    <w:p w14:paraId="10550735" w14:textId="77777777" w:rsidR="00EB2F85" w:rsidRDefault="00772CAE">
      <w:pPr>
        <w:pStyle w:val="BodyText"/>
      </w:pPr>
      <w:r>
        <w:t xml:space="preserve">Below-ground biomass (BGB) captures the living root and rhizome systems that mangrove trees invest significantly in. For </w:t>
      </w:r>
      <w:r>
        <w:rPr>
          <w:i/>
        </w:rPr>
        <w:t>Rhizophora racemosa</w:t>
      </w:r>
      <w:r>
        <w:t>, the extensive prop root architecture is both a carbon pool of independent significance and the structural mechanism by which the tree anchors itself — and the surrounding sediment — against tidal movement. BGB is estimated using root-to-shoot ratios drawn from published literature for these species in comparable West African coastal environments. The published ratios provide a methodologically accepted approach where direct below-ground measurement is logistically impractical across a national inventory, and their application is consistent with IPCC Tier 1 and Tier 2 approaches depending on the available species-specific data.</w:t>
      </w:r>
    </w:p>
    <w:p w14:paraId="10550736" w14:textId="77777777" w:rsidR="00EB2F85" w:rsidRDefault="00772CAE">
      <w:pPr>
        <w:pStyle w:val="BodyText"/>
      </w:pPr>
      <w:r>
        <w:t>Deadwood — standing dead trees and fallen coarse woody debris — is included in the accounting protocol where ecologically relevant. In undisturbed primary mangrove stands, deadwood is typically a minor pool relative to living biomass. In the degraded and partially harvested stands that characterise significant portions of the Keta Lagoon fringe, however, deadwood can represent a non-negligible proportion of standing carbon stock, particularly where cutting events have left stem bases and root structures in situ. Excluding deadwood from degraded areas without measurement would systematically underestimate total carbon stocks in precisely those zones most subject to pressure — a bias that would also affect the calculation of carbon loss when these areas are fully cleared. The protocol therefore includes deadwood assessment at PSP locations where field teams document visible dead stems and fallen woody material.</w:t>
      </w:r>
    </w:p>
    <w:p w14:paraId="10550737" w14:textId="77777777" w:rsidR="00EB2F85" w:rsidRDefault="00772CAE">
      <w:pPr>
        <w:pStyle w:val="BodyText"/>
      </w:pPr>
      <w:r>
        <w:t>Soil organic carbon (SOC) is measured from the surface to 100 centimetres depth using bulk density cores and laboratory analysis of total organic carbon concentration. SOC is the dominant carbon pool in mangrove ecosystems globally, and it is the pool that defines the climate significance of mangrove conservation in Ghana. The explanation for this dominance lies in the hydrology of tidal wetland soils. Beneath the waterlogged surface of a mangrove forest, oxygen is effectively absent. The aerobic decomposition pathways that in terrestrial soils oxidise organic matter and release it as carbon dioxide cannot function in anaerobic conditions. The result is a process of long-term organic accumulation: leaf litter, dead root material, and sediment-associated carbon inputs are layered and compressed over decades and centuries into dense, peaty, carbon-rich profiles that extend many metres below the surface. The uppermost 100 centimetres of these profiles — the measurement depth specified by the IPCC Wetlands Supplement — contain carbon stocks that often exceed the entire above-ground biomass of the same stand by an order of magnitude.</w:t>
      </w:r>
    </w:p>
    <w:p w14:paraId="10550738" w14:textId="77777777" w:rsidR="00EB2F85" w:rsidRDefault="00772CAE">
      <w:pPr>
        <w:pStyle w:val="BodyText"/>
      </w:pPr>
      <w:r>
        <w:lastRenderedPageBreak/>
        <w:t>This makes SOC not only the most important pool to measure accurately but the most catastrophically vulnerable to loss when mangroves are degraded or cleared. When a mangrove forest is drained for salt pan conversion — the process documented at Elavanyo and Obane in the Songor Ramsar Site, where the 465.76 hectares of remaining mangroves represent what survives after decades of salt industry expansion — oxygen enters the soil profile for the first time in generations. Aerobic decomposition resumes, and the carbon accumulated over centuries oxidises rapidly, producing a pulse of carbon dioxide emissions that can continue for decades. A hectare of mangrove cleared for salt pan does not simply stop sequestering carbon; it becomes an active emitter, releasing the banked carbon of its deep soil profile over a sustained period. This is why mangrove conservation, framed correctly, represents avoided emissions far larger than its modest above-ground stock would suggest — and why the SOC measurement protocol, conducted to 100 cm depth with bulk density determination and laboratory carbon concentration analysis, is not a methodological refinement but a fundamental requirement for honest accounting. An assessment that measured only above-ground biomass in Ghana’s coastal mangroves would undercount the climate significance of these ecosystems by an order of magnitude, and would produce carbon credit estimates that misrepresent the true value of the interventions they are meant to measure.</w:t>
      </w:r>
    </w:p>
    <w:p w14:paraId="10550739" w14:textId="77777777" w:rsidR="00EB2F85" w:rsidRDefault="00772CAE">
      <w:pPr>
        <w:pStyle w:val="BodyText"/>
      </w:pPr>
      <w:r>
        <w:t>The 2025 soil measurements at the Salo Permanent Sample Plot 1 in the Keta Lagoon Complex confirm the characteristic pattern expected of intact mangrove peat soils: high total organic carbon (TOC) concentrations near the surface, declining through a profile that reflects the low bulk density and high porosity of undisturbed mangrove peat. These field measurements, now archived in the national MRV database, establish the Year 0 SOC reference point against which all future re-measurement at this PSP will be compared.</w:t>
      </w:r>
    </w:p>
    <w:tbl>
      <w:tblPr>
        <w:tblStyle w:val="Table"/>
        <w:tblW w:w="5000" w:type="pct"/>
        <w:tblLook w:val="07E0" w:firstRow="1" w:lastRow="1" w:firstColumn="1" w:lastColumn="1" w:noHBand="1" w:noVBand="1"/>
      </w:tblPr>
      <w:tblGrid>
        <w:gridCol w:w="1666"/>
        <w:gridCol w:w="2683"/>
        <w:gridCol w:w="2919"/>
        <w:gridCol w:w="2308"/>
      </w:tblGrid>
      <w:tr w:rsidR="00EB2F85" w14:paraId="1055073E" w14:textId="77777777">
        <w:tc>
          <w:tcPr>
            <w:tcW w:w="0" w:type="auto"/>
            <w:tcBorders>
              <w:bottom w:val="single" w:sz="0" w:space="0" w:color="auto"/>
            </w:tcBorders>
            <w:vAlign w:val="bottom"/>
          </w:tcPr>
          <w:p w14:paraId="1055073A" w14:textId="77777777" w:rsidR="00EB2F85" w:rsidRDefault="00772CAE">
            <w:pPr>
              <w:pStyle w:val="Compact"/>
            </w:pPr>
            <w:r>
              <w:t>Carbon Pool</w:t>
            </w:r>
          </w:p>
        </w:tc>
        <w:tc>
          <w:tcPr>
            <w:tcW w:w="0" w:type="auto"/>
            <w:tcBorders>
              <w:bottom w:val="single" w:sz="0" w:space="0" w:color="auto"/>
            </w:tcBorders>
            <w:vAlign w:val="bottom"/>
          </w:tcPr>
          <w:p w14:paraId="1055073B" w14:textId="77777777" w:rsidR="00EB2F85" w:rsidRDefault="00772CAE">
            <w:pPr>
              <w:pStyle w:val="Compact"/>
            </w:pPr>
            <w:r>
              <w:t>Measurement Method</w:t>
            </w:r>
          </w:p>
        </w:tc>
        <w:tc>
          <w:tcPr>
            <w:tcW w:w="0" w:type="auto"/>
            <w:tcBorders>
              <w:bottom w:val="single" w:sz="0" w:space="0" w:color="auto"/>
            </w:tcBorders>
            <w:vAlign w:val="bottom"/>
          </w:tcPr>
          <w:p w14:paraId="1055073C" w14:textId="77777777" w:rsidR="00EB2F85" w:rsidRDefault="00772CAE">
            <w:pPr>
              <w:pStyle w:val="Compact"/>
            </w:pPr>
            <w:r>
              <w:t>Primary Reference</w:t>
            </w:r>
          </w:p>
        </w:tc>
        <w:tc>
          <w:tcPr>
            <w:tcW w:w="0" w:type="auto"/>
            <w:tcBorders>
              <w:bottom w:val="single" w:sz="0" w:space="0" w:color="auto"/>
            </w:tcBorders>
            <w:vAlign w:val="bottom"/>
          </w:tcPr>
          <w:p w14:paraId="1055073D" w14:textId="77777777" w:rsidR="00EB2F85" w:rsidRDefault="00772CAE">
            <w:pPr>
              <w:pStyle w:val="Compact"/>
            </w:pPr>
            <w:r>
              <w:t>Relevance</w:t>
            </w:r>
          </w:p>
        </w:tc>
      </w:tr>
      <w:tr w:rsidR="00EB2F85" w14:paraId="10550743" w14:textId="77777777">
        <w:tc>
          <w:tcPr>
            <w:tcW w:w="0" w:type="auto"/>
          </w:tcPr>
          <w:p w14:paraId="1055073F" w14:textId="77777777" w:rsidR="00EB2F85" w:rsidRDefault="00772CAE">
            <w:pPr>
              <w:pStyle w:val="Compact"/>
            </w:pPr>
            <w:r>
              <w:t>Above-Ground Biomass (AGB)</w:t>
            </w:r>
          </w:p>
        </w:tc>
        <w:tc>
          <w:tcPr>
            <w:tcW w:w="0" w:type="auto"/>
          </w:tcPr>
          <w:p w14:paraId="10550740" w14:textId="77777777" w:rsidR="00EB2F85" w:rsidRDefault="00772CAE">
            <w:pPr>
              <w:pStyle w:val="Compact"/>
            </w:pPr>
            <w:r>
              <w:t>DBH and height measurements; species-specific allometric equations</w:t>
            </w:r>
          </w:p>
        </w:tc>
        <w:tc>
          <w:tcPr>
            <w:tcW w:w="0" w:type="auto"/>
          </w:tcPr>
          <w:p w14:paraId="10550741" w14:textId="77777777" w:rsidR="00EB2F85" w:rsidRDefault="00772CAE">
            <w:pPr>
              <w:pStyle w:val="Compact"/>
            </w:pPr>
            <w:r>
              <w:t xml:space="preserve">IPCC Wetlands Supplement; published allometrics for </w:t>
            </w:r>
            <w:r>
              <w:rPr>
                <w:i/>
              </w:rPr>
              <w:t>Rhizophora racemosa</w:t>
            </w:r>
            <w:r>
              <w:t xml:space="preserve"> and </w:t>
            </w:r>
            <w:r>
              <w:rPr>
                <w:i/>
              </w:rPr>
              <w:t>Avicennia germinans</w:t>
            </w:r>
          </w:p>
        </w:tc>
        <w:tc>
          <w:tcPr>
            <w:tcW w:w="0" w:type="auto"/>
          </w:tcPr>
          <w:p w14:paraId="10550742" w14:textId="77777777" w:rsidR="00EB2F85" w:rsidRDefault="00772CAE">
            <w:pPr>
              <w:pStyle w:val="Compact"/>
            </w:pPr>
            <w:r>
              <w:t>Captures harvestable biomass; reflects cutting pressure effects</w:t>
            </w:r>
          </w:p>
        </w:tc>
      </w:tr>
      <w:tr w:rsidR="00EB2F85" w14:paraId="10550748" w14:textId="77777777">
        <w:tc>
          <w:tcPr>
            <w:tcW w:w="0" w:type="auto"/>
          </w:tcPr>
          <w:p w14:paraId="10550744" w14:textId="77777777" w:rsidR="00EB2F85" w:rsidRDefault="00772CAE">
            <w:pPr>
              <w:pStyle w:val="Compact"/>
            </w:pPr>
            <w:r>
              <w:t>Below-Ground Biomass (BGB)</w:t>
            </w:r>
          </w:p>
        </w:tc>
        <w:tc>
          <w:tcPr>
            <w:tcW w:w="0" w:type="auto"/>
          </w:tcPr>
          <w:p w14:paraId="10550745" w14:textId="77777777" w:rsidR="00EB2F85" w:rsidRDefault="00772CAE">
            <w:pPr>
              <w:pStyle w:val="Compact"/>
            </w:pPr>
            <w:r>
              <w:t>Root-to-shoot ratios from published literature</w:t>
            </w:r>
          </w:p>
        </w:tc>
        <w:tc>
          <w:tcPr>
            <w:tcW w:w="0" w:type="auto"/>
          </w:tcPr>
          <w:p w14:paraId="10550746" w14:textId="77777777" w:rsidR="00EB2F85" w:rsidRDefault="00772CAE">
            <w:pPr>
              <w:pStyle w:val="Compact"/>
            </w:pPr>
            <w:r>
              <w:t>IPCC Wetlands Supplement Tier 1/2</w:t>
            </w:r>
          </w:p>
        </w:tc>
        <w:tc>
          <w:tcPr>
            <w:tcW w:w="0" w:type="auto"/>
          </w:tcPr>
          <w:p w14:paraId="10550747" w14:textId="77777777" w:rsidR="00EB2F85" w:rsidRDefault="00772CAE">
            <w:pPr>
              <w:pStyle w:val="Compact"/>
            </w:pPr>
            <w:r>
              <w:t xml:space="preserve">Structural stability pool; significant for </w:t>
            </w:r>
            <w:r>
              <w:rPr>
                <w:i/>
              </w:rPr>
              <w:t>Rhizophora</w:t>
            </w:r>
            <w:r>
              <w:t xml:space="preserve"> prop root systems</w:t>
            </w:r>
          </w:p>
        </w:tc>
      </w:tr>
      <w:tr w:rsidR="00EB2F85" w14:paraId="1055074D" w14:textId="77777777">
        <w:tc>
          <w:tcPr>
            <w:tcW w:w="0" w:type="auto"/>
          </w:tcPr>
          <w:p w14:paraId="10550749" w14:textId="77777777" w:rsidR="00EB2F85" w:rsidRDefault="00772CAE">
            <w:pPr>
              <w:pStyle w:val="Compact"/>
            </w:pPr>
            <w:r>
              <w:t>Deadwood</w:t>
            </w:r>
          </w:p>
        </w:tc>
        <w:tc>
          <w:tcPr>
            <w:tcW w:w="0" w:type="auto"/>
          </w:tcPr>
          <w:p w14:paraId="1055074A" w14:textId="77777777" w:rsidR="00EB2F85" w:rsidRDefault="00772CAE">
            <w:pPr>
              <w:pStyle w:val="Compact"/>
            </w:pPr>
            <w:r>
              <w:t>Field measurement of standing dead and fallen woody debris</w:t>
            </w:r>
          </w:p>
        </w:tc>
        <w:tc>
          <w:tcPr>
            <w:tcW w:w="0" w:type="auto"/>
          </w:tcPr>
          <w:p w14:paraId="1055074B" w14:textId="77777777" w:rsidR="00EB2F85" w:rsidRDefault="00772CAE">
            <w:pPr>
              <w:pStyle w:val="Compact"/>
            </w:pPr>
            <w:r>
              <w:t>IPCC Wetlands Supplement</w:t>
            </w:r>
          </w:p>
        </w:tc>
        <w:tc>
          <w:tcPr>
            <w:tcW w:w="0" w:type="auto"/>
          </w:tcPr>
          <w:p w14:paraId="1055074C" w14:textId="77777777" w:rsidR="00EB2F85" w:rsidRDefault="00772CAE">
            <w:pPr>
              <w:pStyle w:val="Compact"/>
            </w:pPr>
            <w:r>
              <w:t>Non-negligible in degraded stands at Keta fringe</w:t>
            </w:r>
          </w:p>
        </w:tc>
      </w:tr>
      <w:tr w:rsidR="00EB2F85" w14:paraId="10550752" w14:textId="77777777">
        <w:tc>
          <w:tcPr>
            <w:tcW w:w="0" w:type="auto"/>
          </w:tcPr>
          <w:p w14:paraId="1055074E" w14:textId="77777777" w:rsidR="00EB2F85" w:rsidRDefault="00772CAE">
            <w:pPr>
              <w:pStyle w:val="Compact"/>
            </w:pPr>
            <w:r>
              <w:t>Soil Organic Carbon (SOC)</w:t>
            </w:r>
          </w:p>
        </w:tc>
        <w:tc>
          <w:tcPr>
            <w:tcW w:w="0" w:type="auto"/>
          </w:tcPr>
          <w:p w14:paraId="1055074F" w14:textId="77777777" w:rsidR="00EB2F85" w:rsidRDefault="00772CAE">
            <w:pPr>
              <w:pStyle w:val="Compact"/>
            </w:pPr>
            <w:r>
              <w:t>Bulk density cores and TOC laboratory analysis to 100 cm depth</w:t>
            </w:r>
          </w:p>
        </w:tc>
        <w:tc>
          <w:tcPr>
            <w:tcW w:w="0" w:type="auto"/>
          </w:tcPr>
          <w:p w14:paraId="10550750" w14:textId="77777777" w:rsidR="00EB2F85" w:rsidRDefault="00772CAE">
            <w:pPr>
              <w:pStyle w:val="Compact"/>
            </w:pPr>
            <w:r>
              <w:t>IPCC Wetlands Supplement (100 cm minimum depth)</w:t>
            </w:r>
          </w:p>
        </w:tc>
        <w:tc>
          <w:tcPr>
            <w:tcW w:w="0" w:type="auto"/>
          </w:tcPr>
          <w:p w14:paraId="10550751" w14:textId="77777777" w:rsidR="00EB2F85" w:rsidRDefault="00772CAE">
            <w:pPr>
              <w:pStyle w:val="Compact"/>
            </w:pPr>
            <w:r>
              <w:t>Dominant pool; most vulnerable to drainage and conversion</w:t>
            </w:r>
          </w:p>
        </w:tc>
      </w:tr>
    </w:tbl>
    <w:p w14:paraId="10550753" w14:textId="77777777" w:rsidR="00EB2F85" w:rsidRDefault="00772CAE">
      <w:pPr>
        <w:pStyle w:val="BodyText"/>
      </w:pPr>
      <w:r>
        <w:lastRenderedPageBreak/>
        <w:t>The combination of these four pools, measured and accounted for within a single nationally managed system, gives Ghana a carbon stock profile that is complete in the sense that IPCC Wetlands Supplement guidance and international carbon standards require. Omitting any pool without explicit and documented justification would constitute a methodological weakness that verification teams would identify.</w:t>
      </w:r>
    </w:p>
    <w:p w14:paraId="10550754" w14:textId="77777777" w:rsidR="00EB2F85" w:rsidRDefault="00000000">
      <w:r>
        <w:pict w14:anchorId="1055086A">
          <v:rect id="_x0000_i1089" style="width:0;height:1.5pt" o:hralign="center" o:hrstd="t" o:hr="t"/>
        </w:pict>
      </w:r>
    </w:p>
    <w:p w14:paraId="10550755" w14:textId="77777777" w:rsidR="00EB2F85" w:rsidRDefault="00772CAE">
      <w:pPr>
        <w:pStyle w:val="Heading2"/>
      </w:pPr>
      <w:bookmarkStart w:id="131" w:name="baseline-carbon-stocks"/>
      <w:bookmarkStart w:id="132" w:name="_Toc225323433"/>
      <w:r>
        <w:t>9.3 Baseline Carbon Stocks</w:t>
      </w:r>
      <w:bookmarkEnd w:id="131"/>
      <w:bookmarkEnd w:id="132"/>
    </w:p>
    <w:p w14:paraId="10550756" w14:textId="77777777" w:rsidR="00EB2F85" w:rsidRDefault="00772CAE">
      <w:pPr>
        <w:pStyle w:val="FirstParagraph"/>
      </w:pPr>
      <w:r>
        <w:t>The 2025 national baseline assessment establishes the Year 0 carbon inventory against which all future stock measurements, credit calculations, and emissions reporting will be benchmarked. The primary field location for the carbon inventory is the Salo Permanent Sample Plot 1 in the Keta Lagoon Complex, established as a georeferenced, permanently marked measurement point within the mangrove stands of the Keta fringe.</w:t>
      </w:r>
    </w:p>
    <w:p w14:paraId="10550757" w14:textId="77777777" w:rsidR="00EB2F85" w:rsidRDefault="00772CAE">
      <w:pPr>
        <w:pStyle w:val="BodyText"/>
      </w:pPr>
      <w:r>
        <w:t>The soil profile data from the Salo PSP 1 confirms the characteristic biogeochemical signature of intact West African mangrove peat: high total organic carbon concentrations in the uppermost soil horizons, reflecting recent litter inputs and active root deposition, declining with depth through a profile of low bulk density and high organic matter content. The low bulk density is itself diagnostic — compacted mineral soils have bulk densities typically exceeding 1.0 g cm⁻³, while intact mangrove peat profiles such as those at Salo measure substantially lower, reflecting the high proportion of incompletely decomposed organic material. This characteristic makes accurate bulk density determination essential to any reliable carbon stock calculation: a failure to account for the specific physical properties of mangrove peat produces systematic overestimates or underestimates depending on whether terrestrial soil density assumptions are applied.</w:t>
      </w:r>
    </w:p>
    <w:p w14:paraId="10550758" w14:textId="77777777" w:rsidR="00EB2F85" w:rsidRDefault="00772CAE">
      <w:pPr>
        <w:pStyle w:val="BodyText"/>
      </w:pPr>
      <w:r>
        <w:t xml:space="preserve">The above-ground biomass data from the Salo PSP 1 reflects a stand under historical harvesting pressure. Trees measured during the 2025 inventory are generally shorter and have smaller trunk diameters than primary forest benchmarks for these species in undisturbed West African coastal environments. This suppressed stature is the direct physical record of the “death by a thousand cuts” dynamic that has characterised the Keta Lagoon fringe for decades — incremental fuelwood harvesting events preventing canopy maturation, particularly the selective cutting of </w:t>
      </w:r>
      <w:r>
        <w:rPr>
          <w:i/>
        </w:rPr>
        <w:t>Rhizophora racemosa</w:t>
      </w:r>
      <w:r>
        <w:t>, which is preferred by the fish-smoking operators of communities including Agbatsivi, Galotse, Bomigo, and Salo for the heat output and the characteristic flavour it imparts to smoked fish. The carbon accounting implications of this harvesting history are significant: current AGB stock estimates at Salo are lower than they would be in an unharvested stand, meaning that the additionality argument for conservation at Keta is also, in part, an argument for the recovery of suppressed biomass stocks — stocks that will grow as harvesting pressure is reduced through Community Resource Management Area (CREMA) governance and livelihood diversification.</w:t>
      </w:r>
    </w:p>
    <w:p w14:paraId="10550759" w14:textId="77777777" w:rsidR="00EB2F85" w:rsidRDefault="00772CAE">
      <w:pPr>
        <w:pStyle w:val="BodyText"/>
      </w:pPr>
      <w:r>
        <w:t xml:space="preserve">The full quantitative carbon stock inventory — pool-specific stock estimates in tonnes of carbon per hectare, stratified by species zone and canopy density class — is archived in the national MRV database under the 2025 baseline records for Salo PSP 1 and </w:t>
      </w:r>
      <w:r>
        <w:lastRenderedPageBreak/>
        <w:t>constitutes the operational data record to which future re-measurement events will be compared. These archived measurements are the authoritative baseline for carbon stock accounting under this protocol.</w:t>
      </w:r>
    </w:p>
    <w:p w14:paraId="1055075A" w14:textId="77777777" w:rsidR="00EB2F85" w:rsidRDefault="00772CAE">
      <w:pPr>
        <w:pStyle w:val="BodyText"/>
      </w:pPr>
      <w:r>
        <w:t>The national significance of Keta’s carbon stocks is best understood through the combination of site extent and ecosystem type. At 20,717.95 hectares — approximately 69% of Ghana’s total coastal mangrove resource — the Keta Lagoon Complex holds the vast majority of the country’s blue carbon asset. Blue carbon ecosystems store up to ten times more carbon per hectare than terrestrial forests. Applied to the Keta extent, this relationship means that the carbon held in the soils and biomass of the Keta Lagoon Complex is disproportionately large relative to the area it occupies. Any significant loss of mangrove cover at Keta — through the continuation of the 2.15% per year historical deforestation trajectory, through accelerated coastal erosion driven by sediment starvation following the construction of the Akosombo Dam in 1964, or through saltwater intrusion events — does not simply reduce a local ecosystem; it reduces a nationally significant carbon stock that contributes directly to Ghana’s ability to meet its NDC commitments and to credibly participate in international carbon markets.</w:t>
      </w:r>
    </w:p>
    <w:p w14:paraId="1055075B" w14:textId="77777777" w:rsidR="00EB2F85" w:rsidRDefault="00772CAE">
      <w:pPr>
        <w:pStyle w:val="BodyText"/>
      </w:pPr>
      <w:r>
        <w:t>The Songor Ramsar Site, with 465.76 hectares of mangrove distributed as small fragmented patches across a landscape dominated by salt pans and grassland, holds a materially different baseline carbon position. The extent fragmentation at Songor, driven by salt pan expansion at Elavanyo, Obane, and surrounding areas, reflects not just ecological degradation but decades of active carbon stock loss — the cumulative result of converting mangrove land to salt production, a conversion that, as discussed in Section 9.2, produces sustained SOC emissions long after the clearance event itself. The 465.76 hectares that remain are therefore both ecologically and climatically significant as a conservation priority and as the remnant anchor for any future restoration-based carbon accounting in the Songor landscape.</w:t>
      </w:r>
    </w:p>
    <w:p w14:paraId="1055075C" w14:textId="77777777" w:rsidR="00EB2F85" w:rsidRDefault="00772CAE">
      <w:pPr>
        <w:pStyle w:val="BodyText"/>
      </w:pPr>
      <w:r>
        <w:t>At Muni-Pomadze, mangrove cover is ecologically insignificant at this baseline. The site’s strategic role in the carbon programme is therefore restoration-based — future carbon stock generation from re-established mangroves at Sankor and surrounding areas — rather than conservation of existing stocks. Carbon credits from Muni-Pomadze, when generated, will be classified as carbon removals from restoration activity rather than avoided emissions from conservation.</w:t>
      </w:r>
    </w:p>
    <w:p w14:paraId="1055075D" w14:textId="77777777" w:rsidR="00EB2F85" w:rsidRDefault="00000000">
      <w:r>
        <w:pict w14:anchorId="1055086B">
          <v:rect id="_x0000_i1090" style="width:0;height:1.5pt" o:hralign="center" o:hrstd="t" o:hr="t"/>
        </w:pict>
      </w:r>
    </w:p>
    <w:p w14:paraId="1055075E" w14:textId="77777777" w:rsidR="00EB2F85" w:rsidRDefault="00772CAE">
      <w:pPr>
        <w:pStyle w:val="Heading2"/>
      </w:pPr>
      <w:bookmarkStart w:id="133" w:name="additionality"/>
      <w:bookmarkStart w:id="134" w:name="_Toc225323434"/>
      <w:r>
        <w:t>9.4 Additionality</w:t>
      </w:r>
      <w:bookmarkEnd w:id="133"/>
      <w:bookmarkEnd w:id="134"/>
    </w:p>
    <w:p w14:paraId="1055075F" w14:textId="77777777" w:rsidR="00EB2F85" w:rsidRDefault="00772CAE">
      <w:pPr>
        <w:pStyle w:val="FirstParagraph"/>
      </w:pPr>
      <w:r>
        <w:t>Carbon market standards require that any credits issued to a project must represent real, measurable climate benefits that would not have occurred in the absence of project activities. This requirement — additionality — is the foundational test that separates carbon finance from greenwash, and it is a test that Ghana’s blue carbon programme is specifically designed to meet.</w:t>
      </w:r>
    </w:p>
    <w:p w14:paraId="10550760" w14:textId="77777777" w:rsidR="00EB2F85" w:rsidRDefault="00772CAE">
      <w:pPr>
        <w:pStyle w:val="BodyText"/>
      </w:pPr>
      <w:r>
        <w:t xml:space="preserve">Additionality is established by defining the baseline scenario: the trajectory of carbon stocks that would be expected if no intervention took place. For the Keta Lagoon </w:t>
      </w:r>
      <w:r>
        <w:lastRenderedPageBreak/>
        <w:t>Complex, the baseline scenario is defined by the historical deforestation rate of 2.15% per year, derived from the multi-decadal land cover change analysis conducted as part of the 2025 national baseline. This rate is not an estimate drawn from regional averages or proxy datasets; it is calculated from the specific land cover change history of the Keta Lagoon landscape, making it a site-specific reference rate that satisfies the specificity requirements of Verra VM0033 and equivalent standard methodologies for avoiding unplanned deforestation and degradation.</w:t>
      </w:r>
    </w:p>
    <w:p w14:paraId="10550761" w14:textId="77777777" w:rsidR="00EB2F85" w:rsidRDefault="00772CAE">
      <w:pPr>
        <w:pStyle w:val="BodyText"/>
      </w:pPr>
      <w:r>
        <w:t xml:space="preserve">The drivers behind the 2.15% rate are well-documented in the baseline. The dominant pressure is the demand for fuelwood by fish-smoking operators — predominantly women — in communities across the Keta fringe including Agbatsivi, Galotse, Bomigo, and Salo. </w:t>
      </w:r>
      <w:r>
        <w:rPr>
          <w:i/>
        </w:rPr>
        <w:t>Rhizophora racemosa</w:t>
      </w:r>
      <w:r>
        <w:t xml:space="preserve"> is the preferred species for fish-smoking kilns: its wood burns hot, and the smoke imparts a distinctive colour and flavour to smoked fish that commands a premium in local and regional markets. This commercial preference creates a structurally persistent demand for Rhizophora wood that tracks fish catch volumes rather than any administrative control regime. Compounding the fuelwood pressure are incremental agricultural encroachment at the landward margins of the lagoon and the ongoing coastal erosion of the sandbar separating the lagoon from the Atlantic Ocean — a geomorphological process driven by the loss of sediment supply following the Akosombo Dam’s impoundment of more than 90% of the Volta River’s natural sediment load since 1964. These drivers are not temporary anomalies; they are structural features of the Keta landscape that will persist in the absence of deliberate intervention.</w:t>
      </w:r>
    </w:p>
    <w:p w14:paraId="10550762" w14:textId="77777777" w:rsidR="00EB2F85" w:rsidRDefault="00772CAE">
      <w:pPr>
        <w:pStyle w:val="BodyText"/>
      </w:pPr>
      <w:r>
        <w:t>Applied to the 20,717.95 hectares of the Keta Lagoon Complex, a 2.15% annual loss rate represents approximately 445 hectares of mangrove loss per year in the business-as-usual scenario. Over a typical ten-year crediting period, this trajectory would eliminate more than 4,400 hectares of mangrove from Ghana’s largest blue carbon landscape — erasing carbon stocks accumulated over centuries, releasing long-sequestered SOC as the drained soils oxidise, and progressively destroying the ecological foundation of the livelihood systems that communities across the Keta fringe depend upon. The ten-year counterfactual loss is not a theoretical model; it is the empirical extrapolation of a trend that the multi-decadal land cover record confirms was already underway before this programme was initiated.</w:t>
      </w:r>
    </w:p>
    <w:p w14:paraId="10550763" w14:textId="77777777" w:rsidR="00EB2F85" w:rsidRDefault="00772CAE">
      <w:pPr>
        <w:pStyle w:val="BodyText"/>
      </w:pPr>
      <w:r>
        <w:t xml:space="preserve">Project activities are additional because they intervene directly against this trajectory. CREMA governance structures, once fully formalised across the Keta landscape, establish community-based institutions with a legal mandate under the Wildlife Resources Management Act (Act 1115, 2023) to manage and protect mangrove resources within their boundaries. This institutional intervention changes the governance context in which fuelwood harvesting decisions are made — creating enforceable rules and social accountability mechanisms where previously none existed in formal terms. Restoration activities at Dzita and across the Keta fringe reverse the direction of net mangrove change from loss to gain, generating carbon removals above the baseline trajectory. And the broader programme of livelihood diversification and alternative fuel access documented in the baseline — improved fish-smoking cookstoves that reduce fuelwood consumption per unit of fish processed, alternative income streams that reduce harvesting pressure — addresses the demand-side root </w:t>
      </w:r>
      <w:r>
        <w:lastRenderedPageBreak/>
        <w:t>cause of the deforestation pressure that defines the baseline scenario. Without these interventions, the 2.15% annual loss rate has no structural reason to change.</w:t>
      </w:r>
    </w:p>
    <w:p w14:paraId="10550764" w14:textId="77777777" w:rsidR="00EB2F85" w:rsidRDefault="00772CAE">
      <w:pPr>
        <w:pStyle w:val="BodyText"/>
      </w:pPr>
      <w:r>
        <w:t>For Songor, additionality rests on a more complex landscape argument: CREMA formation at Pute, where proactive traditional leadership and strong community interest in CREMA governance have been documented, would establish conservation governance in a landscape where the dominant pressure — salt industry expansion by industrial operators at Elavanyo and Obane — operates largely outside community control. Additionality at Songor requires credible evidence that CREMA governance can hold the remaining 465.76 hectares against encroachment pressure that is driven by economic actors significantly more powerful than local communities acting alone. The project’s additionality argument at Songor therefore depends on both the community governance structures and the institutional backing of MLNR, MESTI, and the Wildlife Division as district-level enforcement actors.</w:t>
      </w:r>
    </w:p>
    <w:p w14:paraId="10550765" w14:textId="77777777" w:rsidR="00EB2F85" w:rsidRDefault="00000000">
      <w:r>
        <w:pict w14:anchorId="1055086C">
          <v:rect id="_x0000_i1091" style="width:0;height:1.5pt" o:hralign="center" o:hrstd="t" o:hr="t"/>
        </w:pict>
      </w:r>
    </w:p>
    <w:p w14:paraId="10550766" w14:textId="77777777" w:rsidR="00EB2F85" w:rsidRDefault="00772CAE">
      <w:pPr>
        <w:pStyle w:val="Heading2"/>
      </w:pPr>
      <w:bookmarkStart w:id="135" w:name="permanence-and-leakage"/>
      <w:bookmarkStart w:id="136" w:name="_Toc225323435"/>
      <w:r>
        <w:t>9.5 Permanence and Leakage</w:t>
      </w:r>
      <w:bookmarkEnd w:id="135"/>
      <w:bookmarkEnd w:id="136"/>
    </w:p>
    <w:p w14:paraId="10550767" w14:textId="77777777" w:rsidR="00EB2F85" w:rsidRDefault="00772CAE">
      <w:pPr>
        <w:pStyle w:val="Heading3"/>
      </w:pPr>
      <w:bookmarkStart w:id="137" w:name="permanence"/>
      <w:r>
        <w:t>Permanence</w:t>
      </w:r>
      <w:bookmarkEnd w:id="137"/>
    </w:p>
    <w:p w14:paraId="10550768" w14:textId="77777777" w:rsidR="00EB2F85" w:rsidRDefault="00772CAE">
      <w:pPr>
        <w:pStyle w:val="FirstParagraph"/>
      </w:pPr>
      <w:r>
        <w:t>A carbon credit represents a specific quantity of carbon dioxide equivalent that has been kept out of the atmosphere or removed from it. For that claim to be credible, the storage must be durable — the carbon must remain out of the atmosphere for the duration attributed to the credit. Permanence risk is the risk that stored carbon is subsequently released through reversal events: re-clearing of conserved forests, drainage of protected soils, collapse of the governance structures that prevent harvesting from resuming.</w:t>
      </w:r>
    </w:p>
    <w:p w14:paraId="10550769" w14:textId="77777777" w:rsidR="00EB2F85" w:rsidRDefault="00772CAE">
      <w:pPr>
        <w:pStyle w:val="BodyText"/>
      </w:pPr>
      <w:r>
        <w:t>The protocol manages permanence risk through three interconnected mechanisms. The first is the CREMA governance architecture, which creates long-term community stewardship of mangrove resources embedded in a legal institutional framework. CREMA boundaries, management plans, and by-laws are registered formal instruments that outlast individual community leaders and project cycles. A CREMA whose founding executive has retired in 2040 can still enforce its 2025 management plan because the plan is institutionalised, not personal. The design standard requiring a minimum of 40% female representation in CREMA executive leadership directly addresses the risk that governance capture by elite male actors — historically documented in comparable natural resource management contexts — would produce a governance reversal: the systematic exclusion of the majority stakeholder group (women, who dominate the fish-smoking industry and are therefore the primary agents of fuelwood pressure management) would undermine both the social legitimacy and the practical effectiveness of CREMA conservation commitments. Permanence, in the Keta Lagoon context, is partly a function of gender inclusion.</w:t>
      </w:r>
    </w:p>
    <w:p w14:paraId="1055076A" w14:textId="77777777" w:rsidR="00EB2F85" w:rsidRDefault="00772CAE">
      <w:pPr>
        <w:pStyle w:val="BodyText"/>
      </w:pPr>
      <w:r>
        <w:t xml:space="preserve">The second mechanism is institutional anchoring with MLNR and MESTI as national co-custodians of the MRV system. Carbon stocks monitored under this protocol are not held in a project-specific register that disappears when a project cycle ends; they are recorded in a nationally managed database under the institutional authority of two </w:t>
      </w:r>
      <w:r>
        <w:lastRenderedPageBreak/>
        <w:t>government ministries. The WACA ResIP 2 programme (World Bank Project P175625) established the framework, but the monitoring system is designed as a permanent national function. MLNR and MESTI’s institutional accountability for the accuracy and continuity of the monitoring record provides a governance permanence that project-specific structures alone cannot guarantee.</w:t>
      </w:r>
    </w:p>
    <w:p w14:paraId="1055076B" w14:textId="77777777" w:rsidR="00EB2F85" w:rsidRDefault="00772CAE">
      <w:pPr>
        <w:pStyle w:val="BodyText"/>
      </w:pPr>
      <w:r>
        <w:t>The third mechanism is a buffer pool, consistent with Verra’s Non-Permanence Risk Tool methodology. A defined percentage of credits generated from Ghana’s blue carbon programme is withheld from issuance and held in a risk buffer pool maintained by the relevant registry. This buffer pool exists to cover any reversal events that occur during the crediting period — if a portion of conserved mangroves is lost to unforeseen disturbance, the buffer pool absorbs the reversal without cancelling credits already issued to buyers. The buffer percentage is calculated through a risk assessment that accounts for site-specific permanence risks including governance stability, physical vulnerability to coastal erosion, and the structural pressure from fuelwood harvesting. The Akosombo Dam-driven coastal erosion risk at Keta — a landscape-level process that the project cannot control and can only adapt to — is a material input to that risk calculation, and the buffer percentage for Keta credits is expected to be higher than for less physically vulnerable mangrove landscapes.</w:t>
      </w:r>
    </w:p>
    <w:p w14:paraId="1055076C" w14:textId="77777777" w:rsidR="00EB2F85" w:rsidRDefault="00772CAE">
      <w:pPr>
        <w:pStyle w:val="Heading3"/>
      </w:pPr>
      <w:bookmarkStart w:id="138" w:name="leakage"/>
      <w:r>
        <w:t>Leakage</w:t>
      </w:r>
      <w:bookmarkEnd w:id="138"/>
    </w:p>
    <w:p w14:paraId="1055076D" w14:textId="77777777" w:rsidR="00EB2F85" w:rsidRDefault="00772CAE">
      <w:pPr>
        <w:pStyle w:val="FirstParagraph"/>
      </w:pPr>
      <w:r>
        <w:t>Leakage occurs when the conservation or reduction of degradation pressure within a project boundary displaces that pressure to areas outside the boundary, producing emissions elsewhere that partially or fully offset the climate benefit claimed within the project. In the context of the Keta Lagoon Complex, the primary leakage risk is market-driven fuelwood displacement: if CREMA governance successfully restricts harvesting within CREMA boundaries, but the demand for Rhizophora fuelwood by fish-smoking operators in communities including Agbatsivi, Galotse, Bomigo, and Salo remains unchanged, that demand will seek supply from adjacent unprotected mangrove areas outside the CREMA footprint. A carbon claim based only on in-boundary metrics, in this scenario, would overstate the net climate benefit.</w:t>
      </w:r>
    </w:p>
    <w:p w14:paraId="1055076E" w14:textId="77777777" w:rsidR="00EB2F85" w:rsidRDefault="00772CAE">
      <w:pPr>
        <w:pStyle w:val="BodyText"/>
      </w:pPr>
      <w:r>
        <w:t>Leakage is addressed in the carbon accounting protocol through two approaches. The first is demand-side management: interventions that reduce the total demand for mangrove fuelwood in the project landscape — improved cookstoves, alternative fuel access, livelihood diversification — reduce leakage risk at its source by shrinking the demand pressure that would otherwise be displaced. The annual Fuel Source Shift Monitoring surveys (Indicator 3 under Layer II — Environmental Pressure Surveillance, described in Chapter 5) track changes in household primary fuel source across CREMA communities, providing annual evidence of whether fuelwood dependency is declining. A household that has transitioned to improved cookstoves or LPG is not a leakage risk; a household that continues to depend exclusively on mangrove wood but has simply shifted procurement to an unmonitored adjacent area is. The survey data disaggregates these scenarios.</w:t>
      </w:r>
    </w:p>
    <w:p w14:paraId="1055076F" w14:textId="77777777" w:rsidR="00EB2F85" w:rsidRDefault="00772CAE">
      <w:pPr>
        <w:pStyle w:val="BodyText"/>
      </w:pPr>
      <w:r>
        <w:t xml:space="preserve">The second approach is spatial monitoring of adjacent areas through Layer II. The Environmental Pressure Surveillance system extends its monitoring footprint beyond </w:t>
      </w:r>
      <w:r>
        <w:lastRenderedPageBreak/>
        <w:t>CREMA boundaries to detect incidence of new cutting, charcoal production, and land conversion activity in areas adjacent to protected zones. Quarterly CREMA transect walks reporting fresh stumps, active cutting evidence, and charcoal kilns (Indicator 2: Mangrove Cutting Signal) are designed specifically to detect this displacement pattern. Where cutting incidence rises in adjacent areas concurrent with conservation within CREMA boundaries, the protocol flags this as a leakage signal requiring investigation and, where confirmed, applies a leakage deduction to the net carbon accounting for the relevant period.</w:t>
      </w:r>
    </w:p>
    <w:p w14:paraId="10550770" w14:textId="77777777" w:rsidR="00EB2F85" w:rsidRDefault="00772CAE">
      <w:pPr>
        <w:pStyle w:val="BodyText"/>
      </w:pPr>
      <w:r>
        <w:t>The leakage deduction methodology follows standard practice under Verra and Gold Standard: a discount factor is applied to the gross carbon benefit calculated within the project boundary, representing the estimated proportion of pressure displaced outside the boundary. For the Keta landscape, given the intensity of documented fuelwood demand and the relatively limited area covered by CREMA boundaries in the early implementation period, a conservative leakage factor is warranted. As CREMA coverage expands across the landscape and as demand-side interventions demonstrate measurable reductions in household fuelwood dependency, the leakage factor may be revised downward — but only on the basis of documented evidence from the Layer II monitoring indicators, not on the basis of assumed behavioural change.</w:t>
      </w:r>
    </w:p>
    <w:p w14:paraId="10550771" w14:textId="77777777" w:rsidR="00EB2F85" w:rsidRDefault="00000000">
      <w:r>
        <w:pict w14:anchorId="1055086D">
          <v:rect id="_x0000_i1092" style="width:0;height:1.5pt" o:hralign="center" o:hrstd="t" o:hr="t"/>
        </w:pict>
      </w:r>
    </w:p>
    <w:p w14:paraId="10550772" w14:textId="77777777" w:rsidR="00EB2F85" w:rsidRDefault="00772CAE">
      <w:pPr>
        <w:pStyle w:val="Heading2"/>
      </w:pPr>
      <w:bookmarkStart w:id="139" w:name="uncertainty-and-conservative-accounting"/>
      <w:bookmarkStart w:id="140" w:name="_Toc225323436"/>
      <w:r>
        <w:t>9.6 Uncertainty and Conservative Accounting</w:t>
      </w:r>
      <w:bookmarkEnd w:id="139"/>
      <w:bookmarkEnd w:id="140"/>
    </w:p>
    <w:p w14:paraId="10550773" w14:textId="77777777" w:rsidR="00EB2F85" w:rsidRDefault="00772CAE">
      <w:pPr>
        <w:pStyle w:val="FirstParagraph"/>
      </w:pPr>
      <w:r>
        <w:t>All field measurements contain uncertainty, and the carbon accounting protocol is explicit about how that uncertainty is characterised, quantified where possible, and managed conservatively in the credit calculation. The fundamental principle — consistent with both IPCC guidance and Verra methodology — is that where uncertainty cannot be eliminated through improved measurement, it is resolved in favour of lower, not higher, credit estimates. A carbon market reviewer should be able to review Ghana’s accounting records and be confident that the credits issued represent the lower bound of reasonable estimates, not an optimistic central value.</w:t>
      </w:r>
    </w:p>
    <w:p w14:paraId="10550774" w14:textId="77777777" w:rsidR="00EB2F85" w:rsidRDefault="00772CAE">
      <w:pPr>
        <w:pStyle w:val="BodyText"/>
      </w:pPr>
      <w:r>
        <w:t>Three sources of uncertainty are material to the Ghana protocol.</w:t>
      </w:r>
    </w:p>
    <w:p w14:paraId="10550775" w14:textId="77777777" w:rsidR="00EB2F85" w:rsidRDefault="00772CAE">
      <w:pPr>
        <w:pStyle w:val="BodyText"/>
      </w:pPr>
      <w:r>
        <w:t xml:space="preserve">The first is allometric equation uncertainty. Biomass estimates for above-ground and below-ground carbon pools are calculated from DBH and height measurements through allometric equations. These equations are empirical relationships derived from destructive sampling of trees in specific geographic and ecological contexts. When applied to a different population of trees — even the same species in a slightly different environment — they carry a prediction uncertainty that is typically expressed as a confidence interval around the mean estimate. For </w:t>
      </w:r>
      <w:r>
        <w:rPr>
          <w:i/>
        </w:rPr>
        <w:t>Rhizophora racemosa</w:t>
      </w:r>
      <w:r>
        <w:t xml:space="preserve"> and </w:t>
      </w:r>
      <w:r>
        <w:rPr>
          <w:i/>
        </w:rPr>
        <w:t>Avicennia germinans</w:t>
      </w:r>
      <w:r>
        <w:t xml:space="preserve"> in West African coastal contexts, published allometric equations provide the best available estimates, but the degree to which the specific stand conditions at Salo and other Keta Lagoon PSPs match the conditions under which those equations were derived introduces unavoidable uncertainty. The protocol documents the equations applied, their published uncertainty ranges, and applies a conservative downward adjustment to AGB estimates where the uncertainty range is wide. At future re-</w:t>
      </w:r>
      <w:r>
        <w:lastRenderedPageBreak/>
        <w:t>measurement events, national technical teams — under MLNR and MESTI oversight — are responsible for assessing whether new species-specific equations derived from Ghanaian mangrove stands have become available, and for updating the accounting methodology accordingly through a documented methodological note.</w:t>
      </w:r>
    </w:p>
    <w:p w14:paraId="10550776" w14:textId="77777777" w:rsidR="00EB2F85" w:rsidRDefault="00772CAE">
      <w:pPr>
        <w:pStyle w:val="BodyText"/>
      </w:pPr>
      <w:r>
        <w:t>The second is spatial classification uncertainty from the remote sensing analysis. The 2025 national baseline was produced using Sentinel-2 imagery at 10 to 20 metre resolution and a Random Forest classifier validated against 319 participatory ground-truth reference points. The Random Forest algorithm assigns classification probabilities rather than binary labels, and the 319 reference points — while sufficient to validate the national-scale classification at a high overall accuracy level — cannot eliminate all classification error, particularly at the boundaries between mangrove and adjacent land cover types such as fringing swamp, open grassland, or salt pan edge zones. Overestimation of mangrove extent at these boundary zones would overstate the baseline carbon stock. The protocol addresses this by applying the classification to a conservative threshold probability — areas classified as mangrove only where the Random Forest model assigns a high confidence probability — and by treating boundary zones with documented classification uncertainty as subject to additional ground-truth validation before inclusion in the baseline extent figure. Annual extent monitoring applies the same conservative threshold, ensuring that reported gains in restored area are only claimed where satellite classification confidence is high.</w:t>
      </w:r>
    </w:p>
    <w:p w14:paraId="10550777" w14:textId="77777777" w:rsidR="00EB2F85" w:rsidRDefault="00772CAE">
      <w:pPr>
        <w:pStyle w:val="BodyText"/>
      </w:pPr>
      <w:r>
        <w:t>The third is soil carbon sample variability. SOC concentrations in mangrove soils are spatially heterogeneous. Even within a single PSP, soil cores sampled at different positions within the plot can yield meaningfully different TOC concentrations and bulk density values, reflecting micro-topographic variations in flooding frequency, organic input rates, and historical disturbance. The protocol requires a minimum number of replicate cores per PSP to capture this within-plot variability, and the carbon stock estimate is calculated as the mean of those replicates rather than from any single core value. Where replicate variability is high, the uncertainty interval is wide, and the protocol applies a conservative deduction from the mean estimate — subtracting a portion of the standard deviation rather than claiming the central value as a point estimate. This approach is consistent with Verra’s guidance on uncertain parameters in carbon stock calculations and ensures that the credits issued from SOC-based accounting genuinely reflect the lower bound of reasonable estimates rather than a potentially inflated central value.</w:t>
      </w:r>
    </w:p>
    <w:p w14:paraId="10550778" w14:textId="77777777" w:rsidR="00EB2F85" w:rsidRDefault="00772CAE">
      <w:pPr>
        <w:pStyle w:val="BodyText"/>
      </w:pPr>
      <w:r>
        <w:t>The cumulative effect of these conservative adjustments is a carbon stock and credit estimate that is deliberately lower than the best-estimate central value. This is the correct posture for a programme entering international carbon markets for the first time. Underestimated credits that are later revised upward as measurement improves are a sign of methodological maturity; overestimated credits that require downward revision undermine buyer confidence and damage the credibility of the broader national blue carbon programme. Ghana’s protocol is calibrated to protect against the latter risk.</w:t>
      </w:r>
    </w:p>
    <w:p w14:paraId="10550779" w14:textId="77777777" w:rsidR="00EB2F85" w:rsidRDefault="00000000">
      <w:r>
        <w:pict w14:anchorId="1055086E">
          <v:rect id="_x0000_i1093" style="width:0;height:1.5pt" o:hralign="center" o:hrstd="t" o:hr="t"/>
        </w:pict>
      </w:r>
    </w:p>
    <w:p w14:paraId="1055077A" w14:textId="77777777" w:rsidR="00EB2F85" w:rsidRDefault="00772CAE">
      <w:pPr>
        <w:pStyle w:val="Heading2"/>
      </w:pPr>
      <w:bookmarkStart w:id="141" w:name="credit-issuance-pathway"/>
      <w:bookmarkStart w:id="142" w:name="_Toc225323437"/>
      <w:r>
        <w:lastRenderedPageBreak/>
        <w:t>9.7 Credit Issuance Pathway</w:t>
      </w:r>
      <w:bookmarkEnd w:id="141"/>
      <w:bookmarkEnd w:id="142"/>
    </w:p>
    <w:p w14:paraId="1055077B" w14:textId="77777777" w:rsidR="00EB2F85" w:rsidRDefault="00772CAE">
      <w:pPr>
        <w:pStyle w:val="FirstParagraph"/>
      </w:pPr>
      <w:r>
        <w:t>The process by which ecological field data becomes a verified carbon credit involves a defined sequence of steps, each with its own institutional responsibility and quality control requirement. This pathway links the field measurement activities of Chapter 4 and Chapter 7 to the national reporting framework of Chapter 10 and, ultimately, to the registry submission that makes credits available for sale or retirement.</w:t>
      </w:r>
    </w:p>
    <w:p w14:paraId="1055077C" w14:textId="77777777" w:rsidR="00EB2F85" w:rsidRDefault="00772CAE">
      <w:pPr>
        <w:pStyle w:val="BodyText"/>
      </w:pPr>
      <w:r>
        <w:rPr>
          <w:b/>
        </w:rPr>
        <w:t>Step 1 — Annual Data Compilation.</w:t>
      </w:r>
      <w:r>
        <w:t xml:space="preserve"> At the end of each monitoring year, MLNR and MESTI compile the annual monitoring dataset from the three data streams that feed the national system: satellite extent analysis outputs from the Layer I ecological and carbon monitoring, field data from quarterly CREMA pressure surveillance transects and PSP maintenance visits under Layers I and II, and governance and safeguard reporting from Layer III. The digital platform described in Chapter 8 centralises these data streams and maintains a time-stamped audit trail of all inputs and outputs. This step is currently operational in framework design; full operational functionality depends on the completion of the web platform build and the activation of automated data ingestion pathways from CREMA field reporting tools. Annual data compilation through MLNR and MESTI’s national technical teams is operationally ready.</w:t>
      </w:r>
    </w:p>
    <w:p w14:paraId="1055077D" w14:textId="77777777" w:rsidR="00EB2F85" w:rsidRDefault="00772CAE">
      <w:pPr>
        <w:pStyle w:val="BodyText"/>
      </w:pPr>
      <w:r>
        <w:rPr>
          <w:b/>
        </w:rPr>
        <w:t>Step 2 — National MRV Report Production.</w:t>
      </w:r>
      <w:r>
        <w:t xml:space="preserve"> Annual monitoring data are synthesised into the National Blue Carbon MRV Report, the primary national reporting product. This report documents extent changes, carbon stock updates from any re-measurement events, pressure indicator trends, restoration performance outcomes, and governance and safeguard status. The MRV Report is the record that Ghana’s NDC reporting draws upon for the coastal blue carbon contribution and the reference document that independent verifiers review when conducting carbon credit verification. The reporting framework for this document is described in Chapter 10. National MRV Report production is an operational function of MLNR and MESTI.</w:t>
      </w:r>
    </w:p>
    <w:p w14:paraId="1055077E" w14:textId="77777777" w:rsidR="00EB2F85" w:rsidRDefault="00772CAE">
      <w:pPr>
        <w:pStyle w:val="BodyText"/>
      </w:pPr>
      <w:r>
        <w:rPr>
          <w:b/>
        </w:rPr>
        <w:t>Step 3 — Independent Verification.</w:t>
      </w:r>
      <w:r>
        <w:t xml:space="preserve"> For carbon credits to be issued under Verra, Gold Standard, or Plan Vivo standards, an accredited independent verification body must review the project’s monitoring data, methodology, and reported carbon benefits against the relevant standard requirements. Verification involves desk review of monitoring records, field visits to PSP locations and restoration sites, and a formal audit of the carbon calculation methodology. The verification cycle is typically aligned with the crediting period rather than occurring annually, though Verra VM0033 requires verification at minimum every five years and permits more frequent voluntary verification. Independent verification as a formal step in the credit issuance pathway requires the project to be formally registered under a standard — a step that is a necessary next development for Ghana’s blue carbon programme and that is not yet complete. The preparation of a project description document (PDD), the definition of project boundaries, and the formal registration with a registry are development activities that follow from this baseline assessment and constitute the next stage of the carbon market participation pathway.</w:t>
      </w:r>
    </w:p>
    <w:p w14:paraId="1055077F" w14:textId="77777777" w:rsidR="00EB2F85" w:rsidRDefault="00772CAE">
      <w:pPr>
        <w:pStyle w:val="BodyText"/>
      </w:pPr>
      <w:r>
        <w:rPr>
          <w:b/>
        </w:rPr>
        <w:t>Step 4 — Credit Calculation.</w:t>
      </w:r>
      <w:r>
        <w:t xml:space="preserve"> Following verification, the verified carbon benefit — expressed in tonnes of carbon dioxide equivalent (tCO₂e) — is calculated by applying </w:t>
      </w:r>
      <w:r>
        <w:lastRenderedPageBreak/>
        <w:t>the verified carbon stock changes, the leakage deduction, the buffer pool withholding, and any conservative uncertainty adjustments to the gross emission reduction or removal figure. The credit calculation translates the ecological measurement record into the standardised currency of international carbon markets. This step requires a qualified carbon accountant working within the methodology framework of the relevant standard, using the field data archived in the national MRV system as the primary input.</w:t>
      </w:r>
    </w:p>
    <w:p w14:paraId="10550780" w14:textId="77777777" w:rsidR="00EB2F85" w:rsidRDefault="00772CAE">
      <w:pPr>
        <w:pStyle w:val="BodyText"/>
      </w:pPr>
      <w:r>
        <w:rPr>
          <w:b/>
        </w:rPr>
        <w:t>Step 5 — Registry Submission and Issuance.</w:t>
      </w:r>
      <w:r>
        <w:t xml:space="preserve"> Verified credits are submitted to the relevant registry (the Verra registry, the Gold Standard Impact Registry, or the Plan Vivo registry, depending on the standard under which the project is certified) for issuance. At this point, credits become publicly visible in the registry database, traceable to specific project locations and vintages, and available for retirement by buyers. Registry submission is dependent on the completion of Steps 3 and 4, and is therefore a future development step contingent on the completion of project registration and independent verification.</w:t>
      </w:r>
    </w:p>
    <w:p w14:paraId="10550781" w14:textId="77777777" w:rsidR="00EB2F85" w:rsidRDefault="00772CAE">
      <w:pPr>
        <w:pStyle w:val="BodyText"/>
      </w:pPr>
      <w:r>
        <w:t>The current operational status of the pathway is as follows. Steps 1 and 2 — data compilation and national MRV Report production — are designed, institutionally anchored, and operationally ready. The ecological and social baselines that feed these steps have been established through the 2025 assessment. Steps 3 through 5 — independent verification, credit calculation, and registry submission — require project registration under a carbon standard, which is the logical and recommended next step following the finalisation of this baseline assessment package. The assessment provided through the WACA Blue Carbon programme, including this MRV Standalone Report, constitutes the foundational technical documentation that a project developer would use to prepare the project description document required for standard registration. Ghana is, at the conclusion of this assessment, in the strongest position it has ever been to proceed to formal carbon market registration — with a methodologically credible baseline, an operational monitoring architecture, and an institutional governance framework that can sustain the monitoring cycle that market participation demands.</w:t>
      </w:r>
    </w:p>
    <w:p w14:paraId="10550782" w14:textId="77777777" w:rsidR="00EB2F85" w:rsidRDefault="00000000">
      <w:r>
        <w:pict w14:anchorId="1055086F">
          <v:rect id="_x0000_i1094" style="width:0;height:1.5pt" o:hralign="center" o:hrstd="t" o:hr="t"/>
        </w:pict>
      </w:r>
    </w:p>
    <w:p w14:paraId="10550783" w14:textId="77777777" w:rsidR="00EB2F85" w:rsidRDefault="00772CAE">
      <w:pPr>
        <w:pStyle w:val="FirstParagraph"/>
      </w:pPr>
      <w:r>
        <w:rPr>
          <w:i/>
        </w:rPr>
        <w:t>Chapter 9 cross-references: Chapter 4 (Ecological and Carbon Integrity Layer — PSP network, measurement protocols, re-measurement cycle); Chapter 5 (Environmental Pressure Surveillance — Layer II leakage detection system); Chapter 6 (Governance and Safeguard Assurance — CREMA governance structures and permanence); Chapter 7 (Wetland Ecosystem Monitoring — Keta and Ada monitoring stations); Chapter 10 (Reporting Framework — Annual MRV Report structure and reporting cycle).</w:t>
      </w:r>
    </w:p>
    <w:p w14:paraId="10550784" w14:textId="77777777" w:rsidR="00EB2F85" w:rsidRDefault="00000000">
      <w:r>
        <w:pict w14:anchorId="10550870">
          <v:rect id="_x0000_i1095" style="width:0;height:1.5pt" o:hralign="center" o:hrstd="t" o:hr="t"/>
        </w:pict>
      </w:r>
    </w:p>
    <w:p w14:paraId="10550785" w14:textId="77777777" w:rsidR="00EB2F85" w:rsidRDefault="00772CAE">
      <w:pPr>
        <w:pStyle w:val="Heading1"/>
      </w:pPr>
      <w:bookmarkStart w:id="143" w:name="chapter-10-reporting-framework"/>
      <w:bookmarkStart w:id="144" w:name="_Toc225323438"/>
      <w:r>
        <w:t>Chapter 10: Reporting Framework</w:t>
      </w:r>
      <w:bookmarkEnd w:id="143"/>
      <w:bookmarkEnd w:id="144"/>
    </w:p>
    <w:p w14:paraId="10550786" w14:textId="77777777" w:rsidR="00EB2F85" w:rsidRDefault="00000000">
      <w:r>
        <w:pict w14:anchorId="10550871">
          <v:rect id="_x0000_i1096" style="width:0;height:1.5pt" o:hralign="center" o:hrstd="t" o:hr="t"/>
        </w:pict>
      </w:r>
    </w:p>
    <w:p w14:paraId="10550787" w14:textId="77777777" w:rsidR="00EB2F85" w:rsidRDefault="00772CAE">
      <w:pPr>
        <w:pStyle w:val="Heading2"/>
      </w:pPr>
      <w:bookmarkStart w:id="145" w:name="purpose-of-the-reporting-framework"/>
      <w:bookmarkStart w:id="146" w:name="_Toc225323439"/>
      <w:r>
        <w:lastRenderedPageBreak/>
        <w:t>10.1 Purpose of the Reporting Framework</w:t>
      </w:r>
      <w:bookmarkEnd w:id="145"/>
      <w:bookmarkEnd w:id="146"/>
    </w:p>
    <w:p w14:paraId="10550788" w14:textId="77777777" w:rsidR="00EB2F85" w:rsidRDefault="00772CAE">
      <w:pPr>
        <w:pStyle w:val="FirstParagraph"/>
      </w:pPr>
      <w:r>
        <w:t>A Monitoring, Reporting, and Verification (MRV) system generates no practical value until its data becomes decisions. The ecological measurements, pressure surveillance records, and governance indicators described in Chapters 4 through 7 of this report exist to support a specific end: the production of credible, structured, and publicly accountable reporting outputs that translate raw monitoring data into governance intelligence, climate finance documentation, and evidence for national policy. The Reporting Framework described in this chapter defines how that translation happens — what is reported, when, by whom, to which audiences, and through which institutional channels — and establishes the quality assurance and transparency standards that give the reporting system its credibility.</w:t>
      </w:r>
    </w:p>
    <w:p w14:paraId="10550789" w14:textId="77777777" w:rsidR="00EB2F85" w:rsidRDefault="00772CAE">
      <w:pPr>
        <w:pStyle w:val="BodyText"/>
      </w:pPr>
      <w:r>
        <w:t>The framework operates across four nested cycles, from the quarterly field returns submitted by Community Resource Management Area (CREMA) members and Community Change Agents (CCAs) in communities such as Agbatsivi, Galotse, Bomigo, Salo, Dzita, Pute, Elavanyo, Obane, and Sankor, through to the Annual National Blue Carbon MRV Report produced by the Ministry of Lands and Natural Resources (MLNR) and the Ministry of Environment, Science, Technology and Innovation (MESTI) and the Five-Year Comprehensive Review that recalibrates the national baseline every three to five years. These cycles are not independent; each feeds the next. Community-level observations become district-level consolidated data; district data becomes national reporting inputs; national reports feed Ghana’s Nationally Determined Contribution (NDC) obligations under the Paris Agreement and, where applicable, the audit-grade documentation required by international carbon market standards including Verra, Gold Standard, and Plan Vivo.</w:t>
      </w:r>
    </w:p>
    <w:p w14:paraId="1055078A" w14:textId="77777777" w:rsidR="00EB2F85" w:rsidRDefault="00772CAE">
      <w:pPr>
        <w:pStyle w:val="BodyText"/>
      </w:pPr>
      <w:r>
        <w:t>The design philosophy is that reporting serves multiple audiences simultaneously, and that designing the system for its most demanding audience — the independent carbon market verifier — produces a level of methodological rigour and documentary completeness that also satisfies the requirements of every less demanding user of the same data. A reporting framework robust enough to withstand a Verra audit is robust enough for a World Bank programme review, a national greenhouse gas inventory process, and a community feedback meeting. The reporting architecture described here is built to that standard from the community level upward.</w:t>
      </w:r>
    </w:p>
    <w:p w14:paraId="1055078B" w14:textId="77777777" w:rsidR="00EB2F85" w:rsidRDefault="00000000">
      <w:r>
        <w:pict w14:anchorId="10550872">
          <v:rect id="_x0000_i1097" style="width:0;height:1.5pt" o:hralign="center" o:hrstd="t" o:hr="t"/>
        </w:pict>
      </w:r>
    </w:p>
    <w:p w14:paraId="1055078C" w14:textId="77777777" w:rsidR="00EB2F85" w:rsidRDefault="00772CAE">
      <w:pPr>
        <w:pStyle w:val="Heading2"/>
      </w:pPr>
      <w:bookmarkStart w:id="147" w:name="the-reporting-cycle"/>
      <w:bookmarkStart w:id="148" w:name="_Toc225323440"/>
      <w:r>
        <w:t>10.2 The Reporting Cycle</w:t>
      </w:r>
      <w:bookmarkEnd w:id="147"/>
      <w:bookmarkEnd w:id="148"/>
    </w:p>
    <w:p w14:paraId="1055078D" w14:textId="77777777" w:rsidR="00EB2F85" w:rsidRDefault="00772CAE">
      <w:pPr>
        <w:pStyle w:val="Heading3"/>
      </w:pPr>
      <w:bookmarkStart w:id="149" w:name="quarterly-field-returns"/>
      <w:r>
        <w:t>Quarterly Field Returns</w:t>
      </w:r>
      <w:bookmarkEnd w:id="149"/>
    </w:p>
    <w:p w14:paraId="1055078E" w14:textId="77777777" w:rsidR="00EB2F85" w:rsidRDefault="00772CAE">
      <w:pPr>
        <w:pStyle w:val="FirstParagraph"/>
      </w:pPr>
      <w:r>
        <w:t xml:space="preserve">The operational foundation of the reporting cycle is the quarterly field return submitted to the district Wildlife Division by CREMA members and CCAs across each blue carbon landscape. These standardised data sheets capture the three functional monitoring layers in their most granular form: pressure indicator records (fuelwood harvesting signals, fresh cutting evidence, charcoal production activity, salt pan expansion incursions), restoration survival checks at the early action hubs of Dzita in the Keta Lagoon Complex, Pute in the Songor Ramsar Site, and Sankor in the Muni-Pomadze </w:t>
      </w:r>
      <w:r>
        <w:lastRenderedPageBreak/>
        <w:t>Ramsar Site, and governance observations including CREMA meeting attendance records, benefit-sharing distribution confirmation, and grievance submissions.</w:t>
      </w:r>
    </w:p>
    <w:p w14:paraId="1055078F" w14:textId="77777777" w:rsidR="00EB2F85" w:rsidRDefault="00772CAE">
      <w:pPr>
        <w:pStyle w:val="BodyText"/>
      </w:pPr>
      <w:r>
        <w:t>Water and soil monitoring data from the 57 stations in the Keta Lagoon monitoring network and the 23 stations at Ada are compiled on the same quarterly schedule, following the standardised field protocols described in Chapter 7. Each station records water quality parameters — pH, temperature, conductivity, salinity, total dissolved solids (TDS), dissolved oxygen, and oxidation-reduction potential (ORP) — and soil health parameters including nitrate, phosphate, potassium, pH, moisture content, humus content, and temperature. The quarterly compilation of these data points across 80 stations provides a landscape-scale picture of ecosystem condition at a temporal resolution sufficient to detect emerging stress signals before they produce irreversible ecological change.</w:t>
      </w:r>
    </w:p>
    <w:p w14:paraId="10550790" w14:textId="77777777" w:rsidR="00EB2F85" w:rsidRDefault="00772CAE">
      <w:pPr>
        <w:pStyle w:val="BodyText"/>
      </w:pPr>
      <w:r>
        <w:t>Quarterly field returns are not simply data submissions; they are the institutional record of the community monitoring system. The standardised data sheet format ensures comparability across quarters and across sites, enabling trend analysis that a narrative report alone cannot provide. The Wildlife Division’s role at the district level is to receive, validate, and aggregate these returns — checking for internal consistency, flagging anomalies for field verification, and producing the consolidated dataset that feeds the annual district reporting process. The quarterly cadence also creates accountability: a community or CREMA that fails to submit returns triggers a welfare check and a capacity support response, not a punitive sanction, but a documented gap in the monitoring record that must be addressed before national reporting can claim complete coverage.</w:t>
      </w:r>
    </w:p>
    <w:p w14:paraId="10550791" w14:textId="77777777" w:rsidR="00EB2F85" w:rsidRDefault="00772CAE">
      <w:pPr>
        <w:pStyle w:val="Heading3"/>
      </w:pPr>
      <w:bookmarkStart w:id="150" w:name="annual-district-reports"/>
      <w:r>
        <w:t>Annual District Reports</w:t>
      </w:r>
      <w:bookmarkEnd w:id="150"/>
    </w:p>
    <w:p w14:paraId="10550792" w14:textId="77777777" w:rsidR="00EB2F85" w:rsidRDefault="00772CAE">
      <w:pPr>
        <w:pStyle w:val="FirstParagraph"/>
      </w:pPr>
      <w:r>
        <w:t>The Metropolitan, Municipal and District Assemblies (MMDAs) and the Wildlife Division compile consolidated annual reports to MLNR and MESTI covering all three monitoring layers across their district area. These reports aggregate the four quarterly field returns received from each CREMA within the district, cross-reference pressure indicator trends against the ecological monitoring data from satellite analysis, and summarise governance performance including CREMA leadership composition (including compliance with the minimum 40% female representation standard), grievance redress outcomes, and benefit-sharing transparency records.</w:t>
      </w:r>
    </w:p>
    <w:p w14:paraId="10550793" w14:textId="77777777" w:rsidR="00EB2F85" w:rsidRDefault="00772CAE">
      <w:pPr>
        <w:pStyle w:val="BodyText"/>
      </w:pPr>
      <w:r>
        <w:t>Annual district reports carry a specific analytical responsibility that goes beyond data consolidation. The Wildlife Division’s district officers are positioned to observe trends that individual quarterly returns cannot capture — gradual shifts in pressure geography, seasonal patterns in harvesting intensity, emerging land tenure conflicts of the kind that characterise the boundary between salt pan operations and remaining mangrove cover at Elavanyo and Obane in the Songor district. The district report is therefore required to provide not just aggregated statistics but an interpretive narrative: an account of what the year’s data means for ecosystem status and what, if anything, the district recommends by way of management response. District reports are submitted annually to MLNR and MESTI as the formal input to the national consolidation process.</w:t>
      </w:r>
    </w:p>
    <w:p w14:paraId="10550794" w14:textId="77777777" w:rsidR="00EB2F85" w:rsidRDefault="00772CAE">
      <w:pPr>
        <w:pStyle w:val="Heading3"/>
      </w:pPr>
      <w:bookmarkStart w:id="151" w:name="annual-national-blue-carbon-mrv-report"/>
      <w:r>
        <w:lastRenderedPageBreak/>
        <w:t>Annual National Blue Carbon MRV Report</w:t>
      </w:r>
      <w:bookmarkEnd w:id="151"/>
    </w:p>
    <w:p w14:paraId="10550795" w14:textId="77777777" w:rsidR="00EB2F85" w:rsidRDefault="00772CAE">
      <w:pPr>
        <w:pStyle w:val="FirstParagraph"/>
      </w:pPr>
      <w:r>
        <w:t>The Annual National Blue Carbon MRV Report is the primary national reporting product of Ghana’s Blue Carbon MRV System. It is produced jointly by MLNR and MESTI, drawing on district reports from all relevant districts, the annual satellite extent change analysis conducted on Sentinel-2 imagery at 10 to 20 metre resolution using the Random Forest algorithm on Google Earth Engine (GEE), and any Permanent Sample Plot (PSP) interim observations. The report is formally issued as a government document under the institutional authority of both ministries.</w:t>
      </w:r>
    </w:p>
    <w:p w14:paraId="10550796" w14:textId="77777777" w:rsidR="00EB2F85" w:rsidRDefault="00772CAE">
      <w:pPr>
        <w:pStyle w:val="BodyText"/>
      </w:pPr>
      <w:r>
        <w:t>The Annual Report covers seven substantive components. The national mangrove extent change summary documents the year-on-year change in coastal mangrove area across all 35 coastal districts and 550 kilometres of coastline, derived from the annual Sentinel-2 classification update. At the landscape level, this summary disaggregates extent change for the Keta Lagoon Complex — which holds 20,717.95 hectares and approximately 69% of Ghana’s national mangrove total — the Songor Ramsar Site’s 465.76 hectares of fragmented mangrove, and the ecologically insignificant but strategically important restoration target at Muni-Pomadze. The carbon stock status section reports any interim carbon stock observations since the Year 0 baseline without claiming the precision of a full PSP re-measurement; it is a conditional assessment, noting any disturbance events or restoration progress that may have altered stocks and identifying the direction of likely change pending the next five-year re-measurement. The pressure trend analysis summarises the Layer II — Environmental Pressure Surveillance findings for the year: trends in fuelwood harvesting incidence, fuel source transition rates in community surveys, land conversion detections, charcoal production hotspot changes, and the status of known pressure concentrations including the fish-smoking fuelwood demand from communities across the Keta fringe. The governance and safeguard performance section reports against the Layer III — Governance and Safeguard Assurance indicators, including CREMA composition statistics disaggregated by gender and youth representation, grievance redress performance metrics, and conflict mediation outcomes. The restoration progress section reports survival rates, canopy cover establishment, and seedling recruitment at Dzita, Pute, and Sankor. The adaptive management actions section documents what management interventions were triggered during the year by monitoring signals and what their outcomes were. Finally, the strategic recommendations section provides the analytical conclusions that the year’s monitoring record supports for policy and programme planning purposes.</w:t>
      </w:r>
    </w:p>
    <w:p w14:paraId="10550797" w14:textId="77777777" w:rsidR="00EB2F85" w:rsidRDefault="00772CAE">
      <w:pPr>
        <w:pStyle w:val="BodyText"/>
      </w:pPr>
      <w:r>
        <w:t>The Annual Report is the document through which the entire monitoring architecture earns its operational justification. It is the product that government officials, development partners, and future carbon market reviewers will assess as the primary indicator of whether the MRV system is functioning as designed. The reporting cycle that produces it must therefore be completed with sufficient lead time to enable MESTI and MLNR review before publication — a process described in Section 10.5 of this chapter.</w:t>
      </w:r>
    </w:p>
    <w:p w14:paraId="10550798" w14:textId="77777777" w:rsidR="00EB2F85" w:rsidRDefault="00772CAE">
      <w:pPr>
        <w:pStyle w:val="Heading3"/>
      </w:pPr>
      <w:bookmarkStart w:id="152" w:name="five-year-comprehensive-review"/>
      <w:r>
        <w:lastRenderedPageBreak/>
        <w:t>Five-Year Comprehensive Review</w:t>
      </w:r>
      <w:bookmarkEnd w:id="152"/>
    </w:p>
    <w:p w14:paraId="10550799" w14:textId="77777777" w:rsidR="00EB2F85" w:rsidRDefault="00772CAE">
      <w:pPr>
        <w:pStyle w:val="FirstParagraph"/>
      </w:pPr>
      <w:r>
        <w:t>The Five-Year Comprehensive Review is a full re-measurement and re-assessment cycle aligned with the PSP biomass re-measurement schedule, which occurs every three to five years as defined in the carbon accounting protocol (Chapter 9). The review produces a Carbon Stock Update Report that recalibrates the Year 0 baseline with measured PSP data — updated above-ground biomass (AGB) and below-ground biomass (BGB) estimates, re-collected soil organic carbon (SOC) cores to 100 centimetres depth, and a revised deadwood assessment at Salo PSP 1 and any additional PSPs established during the interval period. The Carbon Stock Update Report includes updated biomass and soil carbon estimates, an emissions and removals summary for the interval period, a revised uncertainty assessment, a risk-adjusted carbon balance, and a methodological consistency statement confirming that accounting methods remain aligned with IPCC Wetlands Supplement guidance and the requirements of the relevant carbon market standards.</w:t>
      </w:r>
    </w:p>
    <w:p w14:paraId="1055079A" w14:textId="77777777" w:rsidR="00EB2F85" w:rsidRDefault="00772CAE">
      <w:pPr>
        <w:pStyle w:val="BodyText"/>
      </w:pPr>
      <w:r>
        <w:t>Beyond the carbon stock recalibration, the Five-Year Comprehensive Review also triggers a strategic review of MRV priorities. Monitoring systems require recalibration of their own design: indicators that were correctly designed for Year 0 conditions may need adjustment as the landscape evolves, as CREMA coverage expands, or as new pressures emerge that the original indicator set did not anticipate. The Five-Year Review is the institutionally scheduled moment at which MLNR, MESTI, the Wildlife Division, and community representatives formally assess whether the monitoring framework remains fit for purpose, and initiate any revisions that the accumulated monitoring record indicates are necessary. This adaptive management dimension is integral to the framework’s long-term integrity and is not an optional supplement to the technical re-measurement process.</w:t>
      </w:r>
    </w:p>
    <w:p w14:paraId="1055079B" w14:textId="77777777" w:rsidR="00EB2F85" w:rsidRDefault="00000000">
      <w:r>
        <w:pict w14:anchorId="10550873">
          <v:rect id="_x0000_i1098" style="width:0;height:1.5pt" o:hralign="center" o:hrstd="t" o:hr="t"/>
        </w:pict>
      </w:r>
    </w:p>
    <w:p w14:paraId="1055079C" w14:textId="77777777" w:rsidR="00EB2F85" w:rsidRDefault="00772CAE">
      <w:pPr>
        <w:pStyle w:val="Heading2"/>
      </w:pPr>
      <w:bookmarkStart w:id="153" w:name="reporting-audiences-and-their-needs"/>
      <w:bookmarkStart w:id="154" w:name="_Toc225323441"/>
      <w:r>
        <w:t>10.3 Reporting Audiences and Their Needs</w:t>
      </w:r>
      <w:bookmarkEnd w:id="153"/>
      <w:bookmarkEnd w:id="154"/>
    </w:p>
    <w:p w14:paraId="1055079D" w14:textId="77777777" w:rsidR="00EB2F85" w:rsidRDefault="00772CAE">
      <w:pPr>
        <w:pStyle w:val="FirstParagraph"/>
      </w:pPr>
      <w:r>
        <w:t>Ghana’s National Blue Carbon MRV System serves a diverse set of institutional and community audiences, each of which uses reporting outputs differently and requires information presented in ways calibrated to its specific decision-making context.</w:t>
      </w:r>
    </w:p>
    <w:p w14:paraId="1055079E" w14:textId="77777777" w:rsidR="00EB2F85" w:rsidRDefault="00772CAE">
      <w:pPr>
        <w:pStyle w:val="BodyText"/>
      </w:pPr>
      <w:r>
        <w:t xml:space="preserve">MESTI and MLNR are simultaneously the producers and primary users of national-level reporting. In their role as national policy institutions, they use Annual MRV Report outputs to assess programme performance, brief ministers and cross-ministerial coordination bodies, and populate the national greenhouse gas inventory update that feeds Ghana’s NDC reporting obligations. MESTI’s specific need is for climate reporting integration — the land sector contribution to Ghana’s NDC commitments, including blue carbon conservation and restoration, requires an annual data feed that the MRV system is specifically designed to provide. MLNR’s need is for operational and strategic management information: extent change summaries and pressure trend data are the inputs that inform decisions about where district Wildlife Division capacity should be concentrated, whether enforcement action is warranted at particular hotspot sites, and </w:t>
      </w:r>
      <w:r>
        <w:lastRenderedPageBreak/>
        <w:t>whether the restoration programme is achieving the performance benchmarks required to justify continued investment.</w:t>
      </w:r>
    </w:p>
    <w:p w14:paraId="1055079F" w14:textId="77777777" w:rsidR="00EB2F85" w:rsidRDefault="00772CAE">
      <w:pPr>
        <w:pStyle w:val="BodyText"/>
      </w:pPr>
      <w:r>
        <w:t>The Forestry Commission’s Wildlife Division operates at the interface between national policy and community reality. Its reporting needs are operational rather than strategic: site-level pressure monitoring data, restoration survival metrics, and governance performance indicators that enable informed decisions about where field officer time and limited enforcement resources are most needed. The Wildlife Division uses district-level consolidation reports — which it has also helped to produce — as the primary management information source for planning the following year’s field programme. A report that tells the Wildlife Division only what it already knows from its own officers has failed its audience; the value of the reporting system is that it aggregates community observations into patterns that no individual field officer can see from their single district vantage point.</w:t>
      </w:r>
    </w:p>
    <w:p w14:paraId="105507A0" w14:textId="77777777" w:rsidR="00EB2F85" w:rsidRDefault="00772CAE">
      <w:pPr>
        <w:pStyle w:val="BodyText"/>
      </w:pPr>
      <w:r>
        <w:t>The World Bank and the WACA programme have donor accountability and development effectiveness reporting requirements. World Bank missions and periodic implementation support reviews assess whether the investment represented by WACA ResIP 2 (Project P175625, approved December 2022) is producing the ecological, governance, and livelihood outcomes that the project appraisal committed to. The Annual National Blue Carbon MRV Report provides the structured, institutionally validated evidence base for these assessments. The specificity of data required for World Bank review — measurable changes in mangrove extent, evidence of CREMA formation and governance function, restoration survival rates at the early action hubs — is exactly the content that the Annual Report’s seven substantive components are designed to deliver.</w:t>
      </w:r>
    </w:p>
    <w:p w14:paraId="105507A1" w14:textId="77777777" w:rsidR="00EB2F85" w:rsidRDefault="00772CAE">
      <w:pPr>
        <w:pStyle w:val="BodyText"/>
      </w:pPr>
      <w:r>
        <w:t>Carbon market verifiers operating under Verra, Gold Standard, or Plan Vivo require the highest evidentiary standard of any audience the reporting framework serves. An independent auditor conducting a validation or verification assessment needs a complete chain of custody from raw field measurements to reported carbon stocks: traceable plot-level data, documented QA/QC procedures, archived laboratory reports from soil carbon analysis, version-controlled database records showing each data entry and any subsequent corrections, and a clear mapping between field measurements and the allometric equations and emission factors used in stock calculations. The Five-Year Carbon Stock Update Report, produced under the full re-measurement cycle, serves as the primary technical document for market verification purposes. The Annual Report provides the intermediate annual evidence that verifiers use to assess whether significant reversal events have occurred between full re-measurement cycles and whether the governance and pressure management systems are functioning as designed to protect permanence.</w:t>
      </w:r>
    </w:p>
    <w:p w14:paraId="105507A2" w14:textId="77777777" w:rsidR="00EB2F85" w:rsidRDefault="00772CAE">
      <w:pPr>
        <w:pStyle w:val="BodyText"/>
      </w:pPr>
      <w:r>
        <w:t xml:space="preserve">Communities and CREMAs occupy a foundational position in the reporting chain — as primary data collectors, they have both a practical stake in understanding what their data shows and a governance right to receive feedback on the outcomes their monitoring work supports. Reporting to communities is not a transparency add-on; it is a functional requirement for sustained community monitoring participation. A CREMA whose members submit quarterly field returns year after year without receiving </w:t>
      </w:r>
      <w:r>
        <w:lastRenderedPageBreak/>
        <w:t>meaningful feedback on what those returns reveal — about the status of the ecosystem they steward, about the governance performance of their own institutions, and about the benefit-sharing outcomes linked to carbon programme performance — will progressively lose the motivational engagement that makes community monitoring work. Community-level reporting therefore takes the form of accessible, locally relevant feedback sessions held at each landscape — at Dzita for Keta communities, at Pute for the Songor landscape, and at Sankor for Muni-Pomadze — providing summary ecological status updates, restoration performance figures, and confirmation of benefit-sharing distributions in forms accessible to community members regardless of formal literacy levels.</w:t>
      </w:r>
    </w:p>
    <w:p w14:paraId="105507A3" w14:textId="77777777" w:rsidR="00EB2F85" w:rsidRDefault="00000000">
      <w:r>
        <w:pict w14:anchorId="10550874">
          <v:rect id="_x0000_i1099" style="width:0;height:1.5pt" o:hralign="center" o:hrstd="t" o:hr="t"/>
        </w:pict>
      </w:r>
    </w:p>
    <w:p w14:paraId="105507A4" w14:textId="77777777" w:rsidR="00EB2F85" w:rsidRDefault="00772CAE">
      <w:pPr>
        <w:pStyle w:val="Heading2"/>
      </w:pPr>
      <w:bookmarkStart w:id="155" w:name="ndc-reporting-linkage"/>
      <w:bookmarkStart w:id="156" w:name="_Toc225323442"/>
      <w:r>
        <w:t>10.4 NDC Reporting Linkage</w:t>
      </w:r>
      <w:bookmarkEnd w:id="155"/>
      <w:bookmarkEnd w:id="156"/>
    </w:p>
    <w:p w14:paraId="105507A5" w14:textId="77777777" w:rsidR="00EB2F85" w:rsidRDefault="00772CAE">
      <w:pPr>
        <w:pStyle w:val="FirstParagraph"/>
      </w:pPr>
      <w:r>
        <w:t>Ghana’s third Nationally Determined Contribution commits the country to specific mitigation and adaptation outcomes across economic sectors. The land sector component of Ghana’s NDC explicitly includes blue carbon ecosystem conservation and restoration as a contributing pathway toward national emission reduction and removal targets. The Annual National Blue Carbon MRV Report is the data layer that makes this land sector contribution reportable — without it, the blue carbon component of the NDC commitment exists as a policy intention without a quantified evidence base.</w:t>
      </w:r>
    </w:p>
    <w:p w14:paraId="105507A6" w14:textId="77777777" w:rsidR="00EB2F85" w:rsidRDefault="00772CAE">
      <w:pPr>
        <w:pStyle w:val="BodyText"/>
      </w:pPr>
      <w:r>
        <w:t>The linkage between the MRV reporting cycle and the national greenhouse gas inventory process operates through MESTI, which coordinates Ghana’s Biennial Transparency Reports (BTRs) to the UNFCCC under the Paris Agreement’s Enhanced Transparency Framework. The BTR’s land sector chapter draws on inventory data for wetland and forest cover change, and the Annual MRV Report’s national mangrove extent change summary — derived from the Sentinel-2 annual classification update and validated against the 2025 Year 0 baseline — provides the annual input to the wetland land use change category within that inventory. The carbon stock status and pressure trend components of the Annual Report provide supplementary evidence for the inventory compiler’s assessment of whether the coastal wetland sector is a net sink or net source in the reporting year.</w:t>
      </w:r>
    </w:p>
    <w:p w14:paraId="105507A7" w14:textId="77777777" w:rsidR="00EB2F85" w:rsidRDefault="00772CAE">
      <w:pPr>
        <w:pStyle w:val="BodyText"/>
      </w:pPr>
      <w:r>
        <w:t>This linkage has a structural significance that goes beyond data provision. When Ghana reports on its NDC progress under the Paris Agreement, the credibility of the blue carbon land sector contribution depends entirely on the quality of the underlying monitoring and reporting system. An NDC commitment to conserve 30,025 hectares of coastal mangrove and restore mangrove cover at Muni-Pomadze and Songor cannot be verified by international review teams unless there is a documented, methodologically rigorous system producing annual evidence of whether those commitments are being met. The National Blue Carbon MRV Report is that system’s formal output. Its institutional production by MLNR and MESTI — government ministries, not project consultants — and its grounding in an IPCC-aligned methodology ensures that the land sector contribution to Ghana’s NDC is reported through a chain of institutional accountability that meets the transparency requirements of the Enhanced Transparency Framework.</w:t>
      </w:r>
    </w:p>
    <w:p w14:paraId="105507A8" w14:textId="77777777" w:rsidR="00EB2F85" w:rsidRDefault="00772CAE">
      <w:pPr>
        <w:pStyle w:val="BodyText"/>
      </w:pPr>
      <w:r>
        <w:lastRenderedPageBreak/>
        <w:t>In practice, the Annual MRV Report’s timing must be coordinated with MESTI’s national inventory preparation cycle. Ghana’s BTR submissions require finalised land sector data well in advance of submission deadlines, which in turn requires that the Annual MRV Report is completed and formally cleared by both ministries on a schedule that feeds into the inventory process rather than arriving after it. The institutional calendar for Annual MRV Report production — field data compilation, district report submission, national consolidation, internal review, and formal publication — is therefore structured with this NDC reporting dependency in view.</w:t>
      </w:r>
    </w:p>
    <w:p w14:paraId="105507A9" w14:textId="77777777" w:rsidR="00EB2F85" w:rsidRDefault="00000000">
      <w:r>
        <w:pict w14:anchorId="10550875">
          <v:rect id="_x0000_i1100" style="width:0;height:1.5pt" o:hralign="center" o:hrstd="t" o:hr="t"/>
        </w:pict>
      </w:r>
    </w:p>
    <w:p w14:paraId="105507AA" w14:textId="77777777" w:rsidR="00EB2F85" w:rsidRDefault="00772CAE">
      <w:pPr>
        <w:pStyle w:val="Heading2"/>
      </w:pPr>
      <w:bookmarkStart w:id="157" w:name="quality-assurance-in-reporting"/>
      <w:bookmarkStart w:id="158" w:name="_Toc225323443"/>
      <w:r>
        <w:t>10.5 Quality Assurance in Reporting</w:t>
      </w:r>
      <w:bookmarkEnd w:id="157"/>
      <w:bookmarkEnd w:id="158"/>
    </w:p>
    <w:p w14:paraId="105507AB" w14:textId="77777777" w:rsidR="00EB2F85" w:rsidRDefault="00772CAE">
      <w:pPr>
        <w:pStyle w:val="FirstParagraph"/>
      </w:pPr>
      <w:r>
        <w:t>The reporting system’s credibility rests not only on the quality of the underlying monitoring data but on the rigour of the review processes through which that data is validated before it appears in a published report. QA/QC responsibility is distributed across the institutional tiers, with each level of the reporting hierarchy bearing responsibility for the quality of the data it submits upward.</w:t>
      </w:r>
    </w:p>
    <w:p w14:paraId="105507AC" w14:textId="77777777" w:rsidR="00EB2F85" w:rsidRDefault="00772CAE">
      <w:pPr>
        <w:pStyle w:val="BodyText"/>
      </w:pPr>
      <w:r>
        <w:t>At the community level, CCAs and CREMA members are trained in standardised data sheet completion, with double-entry verification for quantitative measurements and internal consistency checks built into the field return format. Community data that fails consistency checks — a survival rate figure that implausibly reverses a confirmed mortality trend, a water quality reading that falls outside the plausible range for the monitoring station’s position in the tidal gradient — is flagged for Wildlife Division follow-up before being accepted into the district database. This first-line quality control is deliberately embedded in the field return format rather than imposed as a post-hoc check: it reduces the volume of erroneous data entering the system and builds data quality habits within community monitoring teams.</w:t>
      </w:r>
    </w:p>
    <w:p w14:paraId="105507AD" w14:textId="77777777" w:rsidR="00EB2F85" w:rsidRDefault="00772CAE">
      <w:pPr>
        <w:pStyle w:val="BodyText"/>
      </w:pPr>
      <w:r>
        <w:t>At the district level, the Wildlife Division conducts a formal data validation review before submitting district consolidation reports to MLNR and MESTI. This review includes cross-checking community-level field returns against the independent satellite analysis for the same period — if satellite imagery shows a new land conversion event in a CREMA monitoring zone, and no community return for that quarter flagged a cutting or conversion signal, the Wildlife Division investigates the discrepancy before finalising the district report. The independence of the satellite analysis from the community reporting system is precisely what makes this cross-validation meaningful: the two data streams are methodologically distinct, and agreement between them strengthens the credibility of both.</w:t>
      </w:r>
    </w:p>
    <w:p w14:paraId="105507AE" w14:textId="77777777" w:rsidR="00EB2F85" w:rsidRDefault="00772CAE">
      <w:pPr>
        <w:pStyle w:val="BodyText"/>
      </w:pPr>
      <w:r>
        <w:t xml:space="preserve">At the national level, MLNR and MESTI conduct an internal review of all national-level reporting before publication. The Annual National Blue Carbon MRV Report is circulated for internal review by designated technical officers at both ministries — the technical custodians of the MRV system at MLNR and the climate reporting focal point at MESTI — before formal clearance and publication. This review assesses methodological consistency with prior years’ reporting (including consistency with the approved numbers and framings in the baseline package), factual accuracy of stated statistics, </w:t>
      </w:r>
      <w:r>
        <w:lastRenderedPageBreak/>
        <w:t>and appropriate attribution of data sources. Any substantive change to a previously reported figure — for example, a revision to the Year 0 baseline extent following additional quality assurance of the Sentinel-2 classification — must be accompanied by a documented explanation of the revision rationale and recorded in the version history.</w:t>
      </w:r>
    </w:p>
    <w:p w14:paraId="105507AF" w14:textId="77777777" w:rsidR="00EB2F85" w:rsidRDefault="00772CAE">
      <w:pPr>
        <w:pStyle w:val="BodyText"/>
      </w:pPr>
      <w:r>
        <w:t>Document control and version management for the Annual Report follows a formal versioning protocol. Each Annual Report is issued with a version number, an issue date, and a summary of any revisions from the draft reviewed by district officers. Draft versions are clearly watermarked and distinguished from the final published document. The final published document is archived in the national MRV database under timestamped, version-controlled records alongside the underlying datasets from which it was produced. Previous years’ reports are retained in full as part of the permanent audit trail. This version management discipline is not bureaucratic formality; it is the document control practice that carbon market verifiers will scrutinise when they assess whether Ghana’s reporting record demonstrates the methodological consistency that Verra, Gold Standard, and Plan Vivo standards require across multi-year monitoring periods.</w:t>
      </w:r>
    </w:p>
    <w:p w14:paraId="105507B0" w14:textId="77777777" w:rsidR="00EB2F85" w:rsidRDefault="00772CAE">
      <w:pPr>
        <w:pStyle w:val="BodyText"/>
      </w:pPr>
      <w:r>
        <w:t>For carbon market reporting contexts, the QA/QC framework extends to include a capacity for independent review by a third-party verification body. Independent review is not a routine part of every Annual Report cycle; it is activated when a project developer is preparing for a formal validation or verification assessment under a carbon market standard, or when MLNR or MESTI determines that external assurance would strengthen the credibility of a specific reporting cycle for donor accountability purposes. The institutional separation between the data-collecting community and district tiers, the analytically independent satellite monitoring layer, and the version-controlled national database create the conditions for independent review to be conducted efficiently — a verifier can assess the full data chain from community field sheet to national report total without requiring the national institutions to reconstruct records that should already exist in the archive.</w:t>
      </w:r>
    </w:p>
    <w:p w14:paraId="105507B1" w14:textId="77777777" w:rsidR="00EB2F85" w:rsidRDefault="00000000">
      <w:r>
        <w:pict w14:anchorId="10550876">
          <v:rect id="_x0000_i1101" style="width:0;height:1.5pt" o:hralign="center" o:hrstd="t" o:hr="t"/>
        </w:pict>
      </w:r>
    </w:p>
    <w:p w14:paraId="105507B2" w14:textId="77777777" w:rsidR="00EB2F85" w:rsidRDefault="00772CAE">
      <w:pPr>
        <w:pStyle w:val="Heading2"/>
      </w:pPr>
      <w:bookmarkStart w:id="159" w:name="public-disclosure-and-transparency"/>
      <w:bookmarkStart w:id="160" w:name="_Toc225323444"/>
      <w:r>
        <w:t>10.6 Public Disclosure and Transparency</w:t>
      </w:r>
      <w:bookmarkEnd w:id="159"/>
      <w:bookmarkEnd w:id="160"/>
    </w:p>
    <w:p w14:paraId="105507B3" w14:textId="77777777" w:rsidR="00EB2F85" w:rsidRDefault="00772CAE">
      <w:pPr>
        <w:pStyle w:val="FirstParagraph"/>
      </w:pPr>
      <w:r>
        <w:t>Transparency in MRV reporting is not a supplementary governance principle; it is a functional requirement for the system’s credibility. An MRV system whose outputs are known only to the institutions that produce them cannot serve as the basis for carbon market participation, NDC reporting, or community accountability — all of which depend on the ability of external parties to scrutinise and confirm the claims being made. The public disclosure framework establishes which reports are publicly accessible, in what format, and through which channels.</w:t>
      </w:r>
    </w:p>
    <w:p w14:paraId="105507B4" w14:textId="77777777" w:rsidR="00EB2F85" w:rsidRDefault="00772CAE">
      <w:pPr>
        <w:pStyle w:val="BodyText"/>
      </w:pPr>
      <w:r>
        <w:t xml:space="preserve">The Annual National Blue Carbon MRV Report is publicly disclosed upon formal clearance by MLNR and MESTI. It is made available through the MLNR and MESTI government portals, ensuring that it is accessible to civil society organisations, academic institutions, development partners, and any international reviewer conducting due diligence on Ghana’s blue carbon programme. The report is published in PDF format with a permanent document identifier, making it citable in subsequent </w:t>
      </w:r>
      <w:r>
        <w:lastRenderedPageBreak/>
        <w:t>publications and enabling year-on-year comparisons across the public archive. Summary versions of the Annual Report, translated into accessible formats suitable for community and district audiences, are distributed through the Wildlife Division’s district offices and community feedback sessions at Dzita, Pute, and Sankor.</w:t>
      </w:r>
    </w:p>
    <w:p w14:paraId="105507B5" w14:textId="77777777" w:rsidR="00EB2F85" w:rsidRDefault="00772CAE">
      <w:pPr>
        <w:pStyle w:val="BodyText"/>
      </w:pPr>
      <w:r>
        <w:t>The web-based spatial monitoring platform, described in Chapter 8, provides the real-time and near-real-time transparency layer that static annual reports cannot deliver. Public summary dashboards on the platform display the most recent mangrove extent change analysis — current and historical Sentinel-2 classifications for the Keta Lagoon Complex, Songor Ramsar Site, and Muni-Pomadze — pressure hotspot mapping showing active monitoring alerts, and restoration progress visualisations for the early action hubs. These dashboards are designed for public access without authentication, providing any interested party — including community members in Agbatsivi or Galotse checking on their local landscape, a World Bank programme officer reviewing progress between missions, or a journalist reporting on Ghana’s coastal management — with direct visual access to the current state of the monitoring evidence base. Restricted institutional data views, accessible only to authorised CREMA, district, and national users with assigned credentials, provide the full dataset behind the public summaries, including PSP measurement records, raw field returns, and laboratory reports.</w:t>
      </w:r>
    </w:p>
    <w:p w14:paraId="105507B6" w14:textId="77777777" w:rsidR="00EB2F85" w:rsidRDefault="00772CAE">
      <w:pPr>
        <w:pStyle w:val="BodyText"/>
      </w:pPr>
      <w:r>
        <w:t>For carbon market purposes, formal reporting to Verra, Gold Standard, or Plan Vivo registries follows the specific requirements of each standard’s verification process. Project-level documents — Project Design Documents (PDDs), Monitoring Reports, and Verification Reports — are publicly posted on the relevant registry platforms in accordance with the transparency requirements of those standards. This registry-level disclosure provides the global carbon market community with access to Ghana’s project-specific claims and the auditor findings that validate them. The chain from community quarterly field return to carbon registry posting is, in principle, fully transparent: each step is documented, each document is archived, and the registry posting is the publicly accessible terminus of a documented evidentiary chain.</w:t>
      </w:r>
    </w:p>
    <w:p w14:paraId="105507B7" w14:textId="77777777" w:rsidR="00EB2F85" w:rsidRDefault="00772CAE">
      <w:pPr>
        <w:pStyle w:val="BodyText"/>
      </w:pPr>
      <w:r>
        <w:t>Transparency is itself a governance safeguard. When benefit-sharing distributions, governance composition statistics, and restoration performance figures are publicly disclosed, communities retain the capacity to verify that the claims made on their behalf accurately reflect the reality they observe on the ground. A discrepancy between a published restoration survival rate and the condition of seedlings that Sankor community members can see with their own eyes is not merely a data quality problem; it is a governance failure that transparency enables to be identified and corrected. The reporting framework is therefore designed so that the people who generate the monitoring data — the CREMA members and CCAs who walk the transects, install the water quality sensors, and record the governance observations — can access the processed outputs that their work has produced, and can raise concerns if those outputs appear inconsistent with their direct experience of the landscape. This community verification function is the reporting system’s most fundamental accountability mechanism, and it operates not through formal audit but through the social intelligence of people who know their own ecosystems.</w:t>
      </w:r>
    </w:p>
    <w:p w14:paraId="105507B8" w14:textId="77777777" w:rsidR="00EB2F85" w:rsidRDefault="00000000">
      <w:r>
        <w:pict w14:anchorId="10550877">
          <v:rect id="_x0000_i1102" style="width:0;height:1.5pt" o:hralign="center" o:hrstd="t" o:hr="t"/>
        </w:pict>
      </w:r>
    </w:p>
    <w:p w14:paraId="105507B9" w14:textId="77777777" w:rsidR="00EB2F85" w:rsidRDefault="00772CAE">
      <w:pPr>
        <w:pStyle w:val="FirstParagraph"/>
      </w:pPr>
      <w:r>
        <w:rPr>
          <w:i/>
        </w:rPr>
        <w:lastRenderedPageBreak/>
        <w:t>Chapter 10 — Reporting Framework | MRV Standalone Report | Ghana WACA Blue Carbon Assessment, World Bank Project P175625</w:t>
      </w:r>
    </w:p>
    <w:p w14:paraId="105507BA" w14:textId="77777777" w:rsidR="00EB2F85" w:rsidRDefault="00000000">
      <w:r>
        <w:pict w14:anchorId="10550878">
          <v:rect id="_x0000_i1103" style="width:0;height:1.5pt" o:hralign="center" o:hrstd="t" o:hr="t"/>
        </w:pict>
      </w:r>
    </w:p>
    <w:p w14:paraId="105507BB" w14:textId="77777777" w:rsidR="00EB2F85" w:rsidRDefault="00772CAE">
      <w:pPr>
        <w:pStyle w:val="Heading1"/>
      </w:pPr>
      <w:bookmarkStart w:id="161" w:name="chapter-11-keta-pilot-implementation"/>
      <w:bookmarkStart w:id="162" w:name="_Toc225323445"/>
      <w:r>
        <w:t>Chapter 11: Keta Pilot Implementation</w:t>
      </w:r>
      <w:bookmarkEnd w:id="161"/>
      <w:bookmarkEnd w:id="162"/>
    </w:p>
    <w:p w14:paraId="105507BC" w14:textId="77777777" w:rsidR="00EB2F85" w:rsidRDefault="00000000">
      <w:r>
        <w:pict w14:anchorId="10550879">
          <v:rect id="_x0000_i1104" style="width:0;height:1.5pt" o:hralign="center" o:hrstd="t" o:hr="t"/>
        </w:pict>
      </w:r>
    </w:p>
    <w:p w14:paraId="105507BD" w14:textId="77777777" w:rsidR="00EB2F85" w:rsidRDefault="00772CAE">
      <w:pPr>
        <w:pStyle w:val="Heading2"/>
      </w:pPr>
      <w:bookmarkStart w:id="163" w:name="Xd6097f558194bb695774ee6d990d77517ab2805"/>
      <w:bookmarkStart w:id="164" w:name="_Toc225323446"/>
      <w:r>
        <w:t>11.1 Why Keta Was Selected as the MRV Pilot Site</w:t>
      </w:r>
      <w:bookmarkEnd w:id="163"/>
      <w:bookmarkEnd w:id="164"/>
    </w:p>
    <w:p w14:paraId="105507BE" w14:textId="77777777" w:rsidR="00EB2F85" w:rsidRDefault="00772CAE">
      <w:pPr>
        <w:pStyle w:val="FirstParagraph"/>
      </w:pPr>
      <w:r>
        <w:t>The decision to implement the National Blue Carbon MRV System first at the Keta Lagoon Complex — to concentrate the most detailed field infrastructure, the most operationally developed governance engagement, and the most granular monitoring protocols at this single site before extending equivalent depth to Songor and Muni-Pomadze — rests on three converging justifications, each of which independently would be sufficient to make Keta the logical starting point, and whose combination makes it the only defensible one.</w:t>
      </w:r>
    </w:p>
    <w:p w14:paraId="105507BF" w14:textId="77777777" w:rsidR="00EB2F85" w:rsidRDefault="00772CAE">
      <w:pPr>
        <w:pStyle w:val="BodyText"/>
      </w:pPr>
      <w:r>
        <w:t>The first justification is the scale of national carbon significance concentrated in this single landscape. The 2025 geospatial assessment established that the Keta Lagoon Complex holds 20,717.95 hectares of mangroves — approximately 69% of Ghana’s entire coastal mangrove resource of 30,025 hectares. This is not a statistical concentration of modest importance; it means that the fate of Keta’s mangroves is, in functional terms, the fate of Ghana’s blue carbon strategy. Any significant undetected deforestation event at Keta — whether a rapid intensification of fuelwood harvesting during a poor fishing season, a breach of the coastal sandspit allowing saltwater inundation of intertidal mangrove stands, or an unmonitored land conversion along the lagoon margin — constitutes a national-scale carbon loss event. The 2.15% per year historical deforestation rate documented for the site, if undetected and uninterrupted, would reduce the Keta mangrove estate at a rate that no restoration programme at Songor or Muni-Pomadze could compensate for within any realistic carbon accounting period. The first obligation of a national MRV system is to monitor the national carbon asset with the greatest first — and at Keta, that obligation is unambiguous.</w:t>
      </w:r>
    </w:p>
    <w:p w14:paraId="105507C0" w14:textId="77777777" w:rsidR="00EB2F85" w:rsidRDefault="00772CAE">
      <w:pPr>
        <w:pStyle w:val="BodyText"/>
      </w:pPr>
      <w:r>
        <w:t xml:space="preserve">The second justification is the depth and completeness of the baseline package established at Keta. A Monitoring, Reporting, and Verification (MRV) system cannot operate against a blank slate; it requires a Year 0 reference against which subsequent measurements are benchmarked, a socio-economic profile of the communities whose behaviour shapes ecosystem outcomes, a governance readiness assessment that identifies the institutional pathway to sustainable co-management, and an understanding of the environmental pressures the monitoring system must be designed to detect. At Keta, and only at Keta within the three-site national programme, all six baseline workstreams — geospatial extent mapping, carbon inventory, ecosystem health assessment, environmental pressure profiling, governance readiness evaluation, and socio-economic community profiling — have been completed to the depth required for carbon market compliance. The carbon inventory has been conducted. The Permanent Sample Plot has been established at Salo. The participatory socio-economic </w:t>
      </w:r>
      <w:r>
        <w:lastRenderedPageBreak/>
        <w:t>profiling has been completed across communities including Agbatsivi, Galotse, Bomigo, Salo, Dzita, Sota, and Galo. The geo-social analysis has spatially correlated the 20,717.95-hectare mangrove estate with the livelihood dependencies and pressure geographies documented in field assessments. No other site in the national programme is at this level of baseline completeness.</w:t>
      </w:r>
    </w:p>
    <w:p w14:paraId="105507C1" w14:textId="77777777" w:rsidR="00EB2F85" w:rsidRDefault="00772CAE">
      <w:pPr>
        <w:pStyle w:val="BodyText"/>
      </w:pPr>
      <w:r>
        <w:t>The third justification is the operational infrastructure already in place. The 57-station wetland monitoring network described in Chapter 7, distributed across the Keta Lagoon and its associated channels and intertidal zones to capture water quality and soil chemistry dynamics at quarterly resolution, represents a significant field investment that is unique to Keta within the national programme. Ada’s 23-station network demonstrates equivalent technical design but covers a smaller and ecologically less nationally critical landscape. The Salo Permanent Sample Plot provides the biomass and soil carbon measurement anchor from which carbon stock changes will be tracked across the re-measurement cycle. And the Dzita early action hub, discussed in detail in Section 11.5 of this chapter, represents the most advanced state of social readiness for community-led monitoring and Community Resource Management Area (CREMA) formation governance in the entire coastal programme. The MRV system at Keta is not a design framework awaiting implementation; it is a functioning operational infrastructure awaiting consolidation and routine use.</w:t>
      </w:r>
    </w:p>
    <w:p w14:paraId="105507C2" w14:textId="77777777" w:rsidR="00EB2F85" w:rsidRDefault="00000000">
      <w:r>
        <w:pict w14:anchorId="1055087A">
          <v:rect id="_x0000_i1105" style="width:0;height:1.5pt" o:hralign="center" o:hrstd="t" o:hr="t"/>
        </w:pict>
      </w:r>
    </w:p>
    <w:p w14:paraId="105507C3" w14:textId="77777777" w:rsidR="00EB2F85" w:rsidRDefault="00772CAE">
      <w:pPr>
        <w:pStyle w:val="Heading2"/>
      </w:pPr>
      <w:bookmarkStart w:id="165" w:name="the-landscape-and-its-pressures"/>
      <w:bookmarkStart w:id="166" w:name="_Toc225323447"/>
      <w:r>
        <w:t>11.2 The Landscape and Its Pressures</w:t>
      </w:r>
      <w:bookmarkEnd w:id="165"/>
      <w:bookmarkEnd w:id="166"/>
    </w:p>
    <w:p w14:paraId="105507C4" w14:textId="77777777" w:rsidR="00EB2F85" w:rsidRDefault="00772CAE">
      <w:pPr>
        <w:pStyle w:val="FirstParagraph"/>
      </w:pPr>
      <w:r>
        <w:t xml:space="preserve">The Keta Lagoon Complex is the defining feature of the Volta Region’s coastal geography: a shallow, brackish, macro-tidal lagoon separated from the Atlantic Ocean by a narrow sandspit and connected to the lower Volta River through a network of channels, creeks, and intertidal flats. The mangrove forests that fringe this system — 20,717.95 hectares in total, dominated by </w:t>
      </w:r>
      <w:r>
        <w:rPr>
          <w:i/>
        </w:rPr>
        <w:t>Rhizophora racemosa</w:t>
      </w:r>
      <w:r>
        <w:t xml:space="preserve"> (Red Mangrove) and </w:t>
      </w:r>
      <w:r>
        <w:rPr>
          <w:i/>
        </w:rPr>
        <w:t>Avicennia germinans</w:t>
      </w:r>
      <w:r>
        <w:t xml:space="preserve"> (Black Mangrove) — are the largest continuous coastal mangrove stand in Ghana, and among the most ecologically productive blue carbon ecosystems on the West African coastline. Their position at the interface of the freshwater Volta River system and the saline Atlantic creates the hydrological gradient conditions that support dense, structurally complex forest capable of accumulating significant below-ground and soil organic carbon stocks over decadal timescales.</w:t>
      </w:r>
    </w:p>
    <w:p w14:paraId="105507C5" w14:textId="77777777" w:rsidR="00EB2F85" w:rsidRDefault="00772CAE">
      <w:pPr>
        <w:pStyle w:val="BodyText"/>
      </w:pPr>
      <w:r>
        <w:t xml:space="preserve">This ecological richness has historically supported, and continues to support, the economic fabric of the communities distributed around the lagoon’s margins. Fishing is the primary occupation of men in settlements such as Agbatsivi, Galotse, Bomigo, Salo, Dzita, Sota, and Galo. The post-harvest processing industry — dominated by women who smoke and sell fish for local and regional markets — is the economic axis around which female livelihoods in these communities are organised. The link between this industry and the mangrove ecosystem is direct and consequential: the fish-smoking kilns that operate continuously at all major lakeside settlements use mangrove wood as their primary fuel, preferring </w:t>
      </w:r>
      <w:r>
        <w:rPr>
          <w:i/>
        </w:rPr>
        <w:t>Rhizophora racemosa</w:t>
      </w:r>
      <w:r>
        <w:t xml:space="preserve"> for its high energy density and sustained burning characteristics. Field assessments conducted in August 2025 confirmed that approximately 70% of households in the Keta study area rely on </w:t>
      </w:r>
      <w:r>
        <w:lastRenderedPageBreak/>
        <w:t>mangrove-linked activities for their primary income or subsistence — a dependency figure that, when mapped against the density of the fish-smoking industry in settlements like Agbatsivi and Bomigo, reveals that the extraction pressure on the mangrove estate is not incidental but is the direct product of the economic system the estate itself has made possible.</w:t>
      </w:r>
    </w:p>
    <w:p w14:paraId="105507C6" w14:textId="77777777" w:rsidR="00EB2F85" w:rsidRDefault="00772CAE">
      <w:pPr>
        <w:pStyle w:val="BodyText"/>
      </w:pPr>
      <w:r>
        <w:t>The resulting degradation dynamic has been characterised as a “death by a thousand cuts” — a phrase that captures precisely the challenge this landscape presents to an MRV system. There is no single actor responsible for the decline. There is no industrial permit holder whose operations can be regulated to halt deforestation. There is instead a continuous, distributed pressure driven by thousands of individual livelihoods choices, each rational and survival-driven in isolation, collectively producing a historical deforestation rate of 2.15% per year. Approximately 70% of the natural mangrove cover has been degraded or fragmented, with particularly severe losses documented near Bomigo, Galo, and Sota since 2000. The GIS analysis confirms that the most accessible mangrove stands — those within practical fuelwood collection distance of the largest settlements — show the greatest fragmentation and canopy loss. This spatial gradient is itself an important input to the monitoring system’s design: it predicts where the next cutting pressure will concentrate as accessible stands are exhausted and harvesters are forced to travel further into the lagoon system.</w:t>
      </w:r>
    </w:p>
    <w:p w14:paraId="105507C7" w14:textId="77777777" w:rsidR="00EB2F85" w:rsidRDefault="00772CAE">
      <w:pPr>
        <w:pStyle w:val="BodyText"/>
      </w:pPr>
      <w:r>
        <w:t>Compounding these direct livelihood pressures is a systemic, landscape-level threat that no community action can address and that the MRV system must account for in its risk framing. The construction of the Akosombo Dam in 1964, 60 kilometres upstream on the Volta River, permanently altered the sediment dynamics of the Volta Delta. The dam traps more than 90% of the river’s natural sediment load, eliminating the annual replenishment of sand and silt that historically maintained the sandspit separating the lagoon from the Atlantic Ocean. The consequence, now visible and measured in the coastal retreat documented by communities and confirmed in satellite analysis, is the progressive erosion of the sandspit itself. As the barrier between the lagoon and the ocean thins and recedes, the risk of storm-driven breaches increases, and with it the risk of catastrophic saltwater inundation events that could permanently alter the hydrological conditions supporting the mangrove forests. The MRV system at Keta operates within this geomorphologically dynamic landscape: its monitoring infrastructure must be designed not only to detect anthropogenic degradation signals but to flag landscape-level instability that no CREMA governance mechanism can manage alone, and that the institutional tier architecture must be prepared to escalate to national and international levels when its signals indicate threshold-level risk.</w:t>
      </w:r>
    </w:p>
    <w:p w14:paraId="105507C8" w14:textId="77777777" w:rsidR="00EB2F85" w:rsidRDefault="00000000">
      <w:r>
        <w:pict w14:anchorId="1055087B">
          <v:rect id="_x0000_i1106" style="width:0;height:1.5pt" o:hralign="center" o:hrstd="t" o:hr="t"/>
        </w:pict>
      </w:r>
    </w:p>
    <w:p w14:paraId="105507C9" w14:textId="77777777" w:rsidR="00EB2F85" w:rsidRDefault="00772CAE">
      <w:pPr>
        <w:pStyle w:val="Heading2"/>
      </w:pPr>
      <w:bookmarkStart w:id="167" w:name="the-57-station-monitoring-network"/>
      <w:bookmarkStart w:id="168" w:name="_Toc225323448"/>
      <w:r>
        <w:t>11.3 The 57-Station Monitoring Network</w:t>
      </w:r>
      <w:bookmarkEnd w:id="167"/>
      <w:bookmarkEnd w:id="168"/>
    </w:p>
    <w:p w14:paraId="105507CA" w14:textId="77777777" w:rsidR="00EB2F85" w:rsidRDefault="00772CAE">
      <w:pPr>
        <w:pStyle w:val="FirstParagraph"/>
      </w:pPr>
      <w:r>
        <w:t xml:space="preserve">The wetland ecosystem monitoring network established at Keta consists of 57 sampling stations, distributed across the lagoon system using a supervised geographic information system (GIS) map developed during the baseline assessment phase. The spatial logic of the station network is not uniform coverage — a 57-station grid imposed across 20,717.95 hectares would produce one station per 364 hectares and provide </w:t>
      </w:r>
      <w:r>
        <w:lastRenderedPageBreak/>
        <w:t>inadequate resolution for detecting localised pressure events or hydrological gradients. Instead, the stations are distributed to reflect the ecological heterogeneity of the lagoon system: stations are concentrated in habitat types and hydrological zones where change signals are most ecologically informative, including the main lagoon margin, the creek and channel fringing zones where fuelwood pressure is most intense, the intertidal transition zones most susceptible to salinity fluctuation associated with reduced Volta freshwater inflow, and the areas immediately adjacent to the most active fishing and fish-processing settlements.</w:t>
      </w:r>
    </w:p>
    <w:p w14:paraId="105507CB" w14:textId="77777777" w:rsidR="00EB2F85" w:rsidRDefault="00772CAE">
      <w:pPr>
        <w:pStyle w:val="BodyText"/>
      </w:pPr>
      <w:r>
        <w:t>This spatial logic ensures that the network captures the key ecological gradients — the salinity gradient between freshwater-influenced lagoon reaches and the more saline zones near the sandspit, the trophic gradient between nutrient-rich zones near community waste discharge points and the more oligotrophic outer lagoon — that are diagnostic of ecosystem condition change. A station network that sampled only the easiest-to-access lagoon margins would produce a monitoring record biased toward the most pressured areas; the current distribution ensures that reference zones and pressure zones are both represented within the quarterly dataset, enabling the comparative analysis that makes pressure detection meaningful.</w:t>
      </w:r>
    </w:p>
    <w:p w14:paraId="105507CC" w14:textId="77777777" w:rsidR="00EB2F85" w:rsidRDefault="00772CAE">
      <w:pPr>
        <w:pStyle w:val="BodyText"/>
      </w:pPr>
      <w:r>
        <w:t>The quarterly monitoring schedule, administered by trained Community Change Agents (CCAs) operating from communities near their designated stations, produces four complete data cycles per year. At each station, CCAs record a standardised set of water quality parameters — pH, temperature, conductivity, salinity, total dissolved solids (TDS), dissolved oxygen, oxidation-reduction potential (ORP), and resistivity — using calibrated multi-parameter field instruments. The same station visit records soil chemistry parameters — nitrate, phosphate, potassium, pH, moisture content, humus content, and soil temperature — using soil analysis instruments introduced during the December 2025 field training programme. The monitoring plan specifies that data sheets are completed with the station name, GPS coordinates, date, time, and name of the recording CCA, ensuring that each data record is fully traceable to its source and collection context.</w:t>
      </w:r>
    </w:p>
    <w:p w14:paraId="105507CD" w14:textId="77777777" w:rsidR="00EB2F85" w:rsidRDefault="00772CAE">
      <w:pPr>
        <w:pStyle w:val="BodyText"/>
      </w:pPr>
      <w:r>
        <w:t>The data flow from field collection to national platform passes through a structured validation pathway. Field data sheets are submitted to the Wildlife Division at the district level, where technical officers review records for internal consistency — flagging readings that fall outside plausible ranges for the station’s position in the tidal gradient, cross-checking against the previous quarter’s baseline at the same station, and initiating field verification requests for anomalous readings before accepting them into the consolidated district dataset. Validated data is then transmitted to the national digital platform described in Chapter 8, where it is archived under the station’s unique identifier and made available for the trend analysis and spatial visualisation functions that the platform hosts. Any drastic or unusual changes in water quality — a sudden drop in dissolved oxygen indicating an organic pollution event, an unexpected salinity spike in a freshwater-influenced station that might indicate a hydrological connectivity change — are flagged by CCAs for immediate reporting to the district Wildlife Division rather than being held until the next quarterly submission, maintaining the network’s early-warning function for high-consequence environmental events.</w:t>
      </w:r>
    </w:p>
    <w:p w14:paraId="105507CE" w14:textId="77777777" w:rsidR="00EB2F85" w:rsidRDefault="00772CAE">
      <w:pPr>
        <w:pStyle w:val="BodyText"/>
      </w:pPr>
      <w:r>
        <w:lastRenderedPageBreak/>
        <w:t>The importance of this monitoring infrastructure for the national MRV system cannot be overstated. The 57-station network at Keta, producing four quarterly datasets per year across water and soil parameters, creates the most detailed, temporally resolved picture of lagoon ecosystem condition in the national programme. It enables the detection of the slow, systemic changes — gradual salinisation, progressive decline in dissolved oxygen levels associated with increased organic loading from urban runoff, incremental changes in soil nutrient chemistry that precede visible vegetation stress — that no satellite-based monitoring system can detect at the temporal and spatial resolution required. The field network and the satellite monitoring layer are complementary systems: the satellite provides the broad spatial coverage and the capacity to detect land use change across the full 20,717.95-hectare estate; the field network provides the in-situ ecological condition data that gives meaning to the spatial changes the satellite detects.</w:t>
      </w:r>
    </w:p>
    <w:p w14:paraId="105507CF" w14:textId="77777777" w:rsidR="00EB2F85" w:rsidRDefault="00000000">
      <w:r>
        <w:pict w14:anchorId="1055087C">
          <v:rect id="_x0000_i1107" style="width:0;height:1.5pt" o:hralign="center" o:hrstd="t" o:hr="t"/>
        </w:pict>
      </w:r>
    </w:p>
    <w:p w14:paraId="105507D0" w14:textId="77777777" w:rsidR="00EB2F85" w:rsidRDefault="00772CAE">
      <w:pPr>
        <w:pStyle w:val="Heading2"/>
      </w:pPr>
      <w:bookmarkStart w:id="169" w:name="permanent-sample-plots-1"/>
      <w:bookmarkStart w:id="170" w:name="_Toc225323449"/>
      <w:r>
        <w:t>11.4 Permanent Sample Plots</w:t>
      </w:r>
      <w:bookmarkEnd w:id="169"/>
      <w:bookmarkEnd w:id="170"/>
    </w:p>
    <w:p w14:paraId="105507D1" w14:textId="77777777" w:rsidR="00EB2F85" w:rsidRDefault="00772CAE">
      <w:pPr>
        <w:pStyle w:val="FirstParagraph"/>
      </w:pPr>
      <w:r>
        <w:t>The Permanent Sample Plot (PSP) established at Salo represents the carbon measurement anchor for the Keta Lagoon Complex. Salo’s selection as the PSP location is consistent with the MRV system’s broader station network logic: it places the primary carbon measurement infrastructure in a community context where ecological conditions are representative of the pressured but still-functioning mangrove fringe, where access is practical for the periodic re-measurement teams that will conduct biomass assessments every three to five years, and where the CCA training programme has established a local monitoring capacity capable of supporting the plot maintenance responsibilities that lie between full re-measurement cycles.</w:t>
      </w:r>
    </w:p>
    <w:p w14:paraId="105507D2" w14:textId="77777777" w:rsidR="00EB2F85" w:rsidRDefault="00772CAE">
      <w:pPr>
        <w:pStyle w:val="BodyText"/>
      </w:pPr>
      <w:r>
        <w:t xml:space="preserve">The baseline carbon inventory conducted at Salo PSP 1 established the Year 0 measurements that anchor the entire carbon accounting protocol at Keta. The plot records include a complete species composition baseline — the proportional presence of </w:t>
      </w:r>
      <w:r>
        <w:rPr>
          <w:i/>
        </w:rPr>
        <w:t>Rhizophora racemosa</w:t>
      </w:r>
      <w:r>
        <w:t xml:space="preserve"> and </w:t>
      </w:r>
      <w:r>
        <w:rPr>
          <w:i/>
        </w:rPr>
        <w:t>Avicennia germinans</w:t>
      </w:r>
      <w:r>
        <w:t xml:space="preserve"> and any associated species within the plot boundary — providing the species stratification layer that determines which allometric equations are applied in biomass calculations. Diameter at breast height (DBH) measurements were recorded for all trees meeting the minimum diameter inclusion threshold, providing the primary input variable for above-ground biomass (AGB) estimation. Height measurements were taken for a representative sample of trees to parameterise the height-diameter relationship applied in the allometric model. Canopy cover was assessed as a structural indicator of plot density and closure, providing a contextual reference against which subsequent monitoring visits can detect canopy change even in the interval between full re-measurement cycles.</w:t>
      </w:r>
    </w:p>
    <w:p w14:paraId="105507D3" w14:textId="77777777" w:rsidR="00EB2F85" w:rsidRDefault="00772CAE">
      <w:pPr>
        <w:pStyle w:val="BodyText"/>
      </w:pPr>
      <w:r>
        <w:t xml:space="preserve">Below the ground surface, the Salo PSP baseline includes soil organic carbon (SOC) measurements taken from cores to 100 centimetres depth, as required by the IPCC Wetlands Supplement methodology that governs the national carbon accounting protocol described in Chapter 9. The soil cores provide the baseline SOC stock estimate for the plot’s soil profile, establishing the most important single carbon pool in a mangrove system — one that typically exceeds above-ground biomass as a carbon </w:t>
      </w:r>
      <w:r>
        <w:lastRenderedPageBreak/>
        <w:t>store and that is disproportionately vulnerable to disturbance events such as drainage, substrate compaction, or the exposure of deep anaerobic layers to oxidation. The soil carbon baseline is archived in the national database under version-controlled records that ensure it is fully reproducible and auditable across the measurement cycle.</w:t>
      </w:r>
    </w:p>
    <w:p w14:paraId="105507D4" w14:textId="77777777" w:rsidR="00EB2F85" w:rsidRDefault="00772CAE">
      <w:pPr>
        <w:pStyle w:val="BodyText"/>
      </w:pPr>
      <w:r>
        <w:t>The PSP re-measurement schedule at Salo, consistent with the national standard of every three to five years, calibrates the carbon accounting protocol with actual field-measured biomass and soil carbon data. Between full re-measurements, the PSP is not abandoned to the elements; CCA-supported interim monitoring maintains the plot boundary markers, documents any disturbance events — evidence of cutting, grazing, or physical damage to plot trees — and records qualitative canopy condition observations that provide an early signal if the plot’s carbon stock trajectory is being disrupted between measurement cycles. Where interim monitoring detects a significant disturbance event, the national MRV protocol provides for an accelerated re-measurement outside the standard cycle, ensuring that the carbon accounting record accurately reflects actual stock conditions rather than interpolating across a disturbance event that has altered the carbon trajectory.</w:t>
      </w:r>
    </w:p>
    <w:p w14:paraId="105507D5" w14:textId="77777777" w:rsidR="00EB2F85" w:rsidRDefault="00772CAE">
      <w:pPr>
        <w:pStyle w:val="BodyText"/>
      </w:pPr>
      <w:r>
        <w:t xml:space="preserve">The Salo PSP feeds the carbon accounting protocol described in Chapter 9 through a specific data pathway. Re-measured DBH and height data from Salo are applied to the validated allometric equations for the species composition recorded in the baseline, producing updated AGB estimates for the plot. Below-ground biomass (BGB) is estimated using the standard root-to-shoot ratio applied for </w:t>
      </w:r>
      <w:r>
        <w:rPr>
          <w:i/>
        </w:rPr>
        <w:t>Rhizophora</w:t>
      </w:r>
      <w:r>
        <w:t xml:space="preserve"> and </w:t>
      </w:r>
      <w:r>
        <w:rPr>
          <w:i/>
        </w:rPr>
        <w:t>Avicennia</w:t>
      </w:r>
      <w:r>
        <w:t xml:space="preserve"> species under IPCC Wetlands Supplement guidance. Deadwood assessments, conducted where relevant at the plot boundary, contribute to the deadwood carbon pool estimate. Soil re-sampling at the same core locations used in the baseline produces the updated SOC estimate that, combined with the biomass measurements, allows calculation of the total carbon stock change across the measurement interval. This measured stock change is the evidence base from which any avoided-deforestation or sequestration benefit reported for the Keta project area is derived — making the integrity of the Salo PSP data directly determinative of the credibility of any carbon credit claims generated under the national programme.</w:t>
      </w:r>
    </w:p>
    <w:p w14:paraId="105507D6" w14:textId="77777777" w:rsidR="00EB2F85" w:rsidRDefault="00000000">
      <w:r>
        <w:pict w14:anchorId="1055087D">
          <v:rect id="_x0000_i1108" style="width:0;height:1.5pt" o:hralign="center" o:hrstd="t" o:hr="t"/>
        </w:pict>
      </w:r>
    </w:p>
    <w:p w14:paraId="105507D7" w14:textId="77777777" w:rsidR="00EB2F85" w:rsidRDefault="00772CAE">
      <w:pPr>
        <w:pStyle w:val="Heading2"/>
      </w:pPr>
      <w:bookmarkStart w:id="171" w:name="the-dzita-early-action-hub"/>
      <w:bookmarkStart w:id="172" w:name="_Toc225323450"/>
      <w:r>
        <w:t>11.5 The Dzita Early Action Hub</w:t>
      </w:r>
      <w:bookmarkEnd w:id="171"/>
      <w:bookmarkEnd w:id="172"/>
    </w:p>
    <w:p w14:paraId="105507D8" w14:textId="77777777" w:rsidR="00EB2F85" w:rsidRDefault="00772CAE">
      <w:pPr>
        <w:pStyle w:val="FirstParagraph"/>
      </w:pPr>
      <w:r>
        <w:t xml:space="preserve">Dzita occupies a specific position within the social geography of the Keta Lagoon Complex. The community sits on the coastal barrier spit — the narrow strip of land separating the lagoon from the Atlantic Ocean whose stability is compromised by the sediment starvation effects of the Akosombo Dam — in direct adjacency to mangrove resources that are both heavily pressured and ecologically significant. This is not a peripheral location in the social landscape of the project. Dzita has been identified across multiple phases of the baseline assessment as a community with exceptional social readiness characteristics: active local groups, documented history of engagement with conservation non-governmental organisations, and internal social structures — including indigenous conservation practices such as the weekly no-fishing day observed on Tuesdays — that demonstrate a cultural predisposition toward collective resource </w:t>
      </w:r>
      <w:r>
        <w:lastRenderedPageBreak/>
        <w:t>governance. The weekly fishing suspension, maintained through community social norms rather than formal legal enforcement, is the kind of existing customary rule that the CREMA development process is designed to formalise and strengthen within a statutory framework, rather than replace with an externally imposed system from the outset.</w:t>
      </w:r>
    </w:p>
    <w:p w14:paraId="105507D9" w14:textId="77777777" w:rsidR="00EB2F85" w:rsidRDefault="00772CAE">
      <w:pPr>
        <w:pStyle w:val="BodyText"/>
      </w:pPr>
      <w:r>
        <w:t>The designation of Dzita as an early action hub carries operational meaning that distinguishes it from the general description of community engagement activities. Dzita is the community-level focal point for three convergent functions that together constitute the practical leading edge of MRV system implementation at Keta. First, it is the focal point for CREMA formation at the Keta Lagoon Complex. The baseline governance assessment characterises CREMA development at Keta as fragmented across the landscape — the distributed communities along the lagoon margin have not yet consolidated into the unified governance structure that a single, lagoon-scale CREMA would require — and Dzita represents the most advanced node within that fragmented landscape in terms of social readiness for formalisation. The CREMA formation process at Dzita involves the constitution of a Community Resource Management Committee (CRMC) with the representative membership — and the minimum 40% female executive leadership — required by the national CREMA governance standard, the development of CREMA bylaws that incorporate both statutory requirements and the customary rules already operating in the community, and the submission of the CREMA registration documentation to the Wildlife Division for processing under the Wildlife Resources Management Act.</w:t>
      </w:r>
    </w:p>
    <w:p w14:paraId="105507DA" w14:textId="77777777" w:rsidR="00EB2F85" w:rsidRDefault="00772CAE">
      <w:pPr>
        <w:pStyle w:val="BodyText"/>
      </w:pPr>
      <w:r>
        <w:t>Second, Dzita is the focal point for initial restoration activities at the Keta pilot site. The community’s location on the barrier spit places it adjacent to areas where mangrove loss to fuelwood harvesting and storm damage has left degraded or open substrate zones where restoration interventions can begin under CCA supervision. These initial restoration activities serve two simultaneous functions: they are substantive ecological investments in the recovery of degraded mangrove fringe, and they are the practical learning laboratories through which CCA training in restoration monitoring protocols is applied to real planting and natural regeneration sites. CCAs who conduct the seedling survival surveys and canopy cover assessments at Dzita restoration plots are building the monitoring competency that will be required as restoration activities expand across the lagoon landscape.</w:t>
      </w:r>
    </w:p>
    <w:p w14:paraId="105507DB" w14:textId="77777777" w:rsidR="00EB2F85" w:rsidRDefault="00772CAE">
      <w:pPr>
        <w:pStyle w:val="BodyText"/>
      </w:pPr>
      <w:r>
        <w:t>Third, Dzita is the community-level data collection node for the monitoring network’s social and governance indicators — the Layer III Governance and Safeguard Assurance data that the quarterly reporting cycle requires from each active community monitoring site. CREMA meeting attendance, grievance submissions, benefit-sharing distribution confirmations, and gender and youth composition records for governance bodies are all generated at the community level by CCA monitoring activities, with Dzita serving as the reference community whose governance monitoring data the Wildlife Division will use to calibrate the emerging CREMA system’s performance.</w:t>
      </w:r>
    </w:p>
    <w:p w14:paraId="105507DC" w14:textId="77777777" w:rsidR="00EB2F85" w:rsidRDefault="00772CAE">
      <w:pPr>
        <w:pStyle w:val="BodyText"/>
      </w:pPr>
      <w:r>
        <w:t xml:space="preserve">The next governance milestones at Dzita require both institutional action within the community and coordination with the district Wildlife Division. The priority action is the formal constitution and registration of the Dzita CRMC, establishing the legal basis for </w:t>
      </w:r>
      <w:r>
        <w:lastRenderedPageBreak/>
        <w:t>CREMA status and the governance framework within which restoration activities, resource use rules, and benefit-sharing mechanisms will be managed. Once the CRMC is registered, the CREMA boundary demarcation process can proceed, formally establishing the geographic scope of the community’s management authority and the spatial extent of the conservation and restoration zone it will steward. The CREMA bylaw development process will then formalise the resource use regulations — including the no-fishing day and any seasonal harvesting restrictions — as legally enforceable rules rather than purely customary conventions. These governance milestones at Dzita are not simply administrative steps; they are the institutional architecture that makes the community’s role in the national MRV system legally durable and operationally authoritative.</w:t>
      </w:r>
    </w:p>
    <w:p w14:paraId="105507DD" w14:textId="77777777" w:rsidR="00EB2F85" w:rsidRDefault="00000000">
      <w:r>
        <w:pict w14:anchorId="1055087E">
          <v:rect id="_x0000_i1109" style="width:0;height:1.5pt" o:hralign="center" o:hrstd="t" o:hr="t"/>
        </w:pict>
      </w:r>
    </w:p>
    <w:p w14:paraId="105507DE" w14:textId="77777777" w:rsidR="00EB2F85" w:rsidRDefault="00772CAE">
      <w:pPr>
        <w:pStyle w:val="Heading2"/>
      </w:pPr>
      <w:bookmarkStart w:id="173" w:name="restoration-monitoring-at-keta"/>
      <w:bookmarkStart w:id="174" w:name="_Toc225323451"/>
      <w:r>
        <w:t>11.6 Restoration Monitoring at Keta</w:t>
      </w:r>
      <w:bookmarkEnd w:id="173"/>
      <w:bookmarkEnd w:id="174"/>
    </w:p>
    <w:p w14:paraId="105507DF" w14:textId="77777777" w:rsidR="00EB2F85" w:rsidRDefault="00772CAE">
      <w:pPr>
        <w:pStyle w:val="FirstParagraph"/>
      </w:pPr>
      <w:r>
        <w:t xml:space="preserve">Restoration at the Keta Lagoon Complex begins with an honest assessment of the ecological conditions that determine where active intervention is viable and where the ecosystem retains sufficient structural capacity to recover without full replanting. The preferred approach at Keta is assisted natural regeneration — supporting the re-establishment of mangrove cover in areas where the hydrological conditions, soil chemistry, and proximity to propagule sources indicate that recovery is ecologically feasible with reduced disturbance pressure and, where necessary, supplementary planting to accelerate canopy closure. This preference is not a cost-saving expedient; it is ecologically appropriate. Areas where the freshwater-saline gradient remains functional, where substrate quality has not been severely altered by extended deforestation, and where </w:t>
      </w:r>
      <w:r>
        <w:rPr>
          <w:i/>
        </w:rPr>
        <w:t>Rhizophora racemosa</w:t>
      </w:r>
      <w:r>
        <w:t xml:space="preserve"> propagule dispersal pathways from adjacent intact forest are active are the conditions in which assisted natural regeneration consistently outperforms replanting in terms of long-term survival, structural complexity, and carbon accumulation rates. In contrast, areas where hydrological conditions have been significantly altered — by the redirection of drainage channels, the compaction of substrate through repeated human access, or prolonged exposure of intertidal surfaces to direct solar radiation following canopy loss — may require active site preparation and direct planting before natural regeneration can establish.</w:t>
      </w:r>
    </w:p>
    <w:p w14:paraId="105507E0" w14:textId="77777777" w:rsidR="00EB2F85" w:rsidRDefault="00772CAE">
      <w:pPr>
        <w:pStyle w:val="BodyText"/>
      </w:pPr>
      <w:r>
        <w:t>All restoration sites within the Keta pilot area are georeferenced, assigned unique site identifiers, and registered in the national web-based platform described in Chapter 8, linking each site to the CREMA responsible for its management and to the district Wildlife Division authority overseeing performance. This registration establishes the spatial record against which monitoring visits are validated — a survival survey that cannot be geographically linked to a registered restoration polygon is not an auditable monitoring record — and enables the platform’s restoration tracking overlay to visualise the spatial expansion of the restoration programme across the lagoon system over time.</w:t>
      </w:r>
    </w:p>
    <w:p w14:paraId="105507E1" w14:textId="77777777" w:rsidR="00EB2F85" w:rsidRDefault="00772CAE">
      <w:pPr>
        <w:pStyle w:val="BodyText"/>
      </w:pPr>
      <w:r>
        <w:t xml:space="preserve">The restoration monitoring protocol at Keta follows the national schedule established in the MRV framework: initial survival and establishment assessments at three months post-planting, six months, and twelve months from establishment, transitioning to </w:t>
      </w:r>
      <w:r>
        <w:lastRenderedPageBreak/>
        <w:t>annual monitoring thereafter until the site has achieved confirmed establishment status. At each monitoring visit, the protocol records seedling survival rate as a percentage of planted or naturally recruited stems within the plot boundary, canopy development progression assessed through canopy cover measurement and qualitative height class recording, evidence of disturbance — fresh cutting, grazing by livestock, trampling through foot traffic — that might threaten survival rates, and confirmation of hydrological suitability, assessed through direct observation of tidal inundation patterns and any evidence of waterlogging or drought stress in the established plants. The minimum performance threshold for Keta restoration sites is a survival rate of at least 70% after Year 1; sites falling below this threshold trigger a corrective restoration review that assesses whether replanting is required, whether site preparation was adequate, or whether the ecological site classification needs to be reconsidered. Sites meeting or exceeding the threshold are maintained under the annual monitoring schedule until they reach the canopy closure stage at which satellite-based monitoring can confirm their contribution to the annual extent change record.</w:t>
      </w:r>
    </w:p>
    <w:p w14:paraId="105507E2" w14:textId="77777777" w:rsidR="00EB2F85" w:rsidRDefault="00772CAE">
      <w:pPr>
        <w:pStyle w:val="BodyText"/>
      </w:pPr>
      <w:r>
        <w:t>The question of when restored areas enter the carbon stock calculation is consequential for carbon accounting integrity and is addressed directly in the protocol. Restored areas do not enter the carbon stock calculation on the basis of planting activity alone; they enter when they have achieved confirmed establishment — defined as completion of the first twelve-month monitoring cycle with a survival rate above the 70% threshold and evidence of sustained canopy development — and when the site has been registered in the national platform with a complete monitoring record for the establishment period. For the purposes of the carbon accounting protocol described in Chapter 9, restored areas are initially classified as contributing to the restoration performance record, providing evidence of the ecological trajectory without being credited as confirmed carbon removals until the next five-year PSP re-measurement cycle incorporates the restored areas into the biomass assessment. This conservative approach to crediting restored areas is consistent with the permanence risk management requirements of international carbon market standards and ensures that the carbon accounting record does not overstate removals attributable to restoration activities whose long-term establishment is not yet confirmed.</w:t>
      </w:r>
    </w:p>
    <w:p w14:paraId="105507E3" w14:textId="77777777" w:rsidR="00EB2F85" w:rsidRDefault="00772CAE">
      <w:pPr>
        <w:pStyle w:val="BodyText"/>
      </w:pPr>
      <w:r>
        <w:t>The ecological context for restoration at Keta makes the assisted natural regeneration approach particularly important in areas adjacent to the coastal barrier spit. The geomorphological instability of the spit, driven by the ongoing sediment starvation of the Volta Delta following the Akosombo Dam construction, means that restoration sites in its immediate vicinity face a structural landscape risk that soil chemistry and hydrology cannot compensate for. Restoration planning at Keta therefore incorporates a spatial risk assessment — identifying the zones where the spit’s retreat trajectory creates an unacceptable exposure to future storm inundation or lagoon-ocean connectivity breach — and prioritises restoration activities in the more stable inner lagoon zones where the risk of substrate loss is lower, and where mangrove establishment, once confirmed, is more likely to persist across the carbon accounting period.</w:t>
      </w:r>
    </w:p>
    <w:p w14:paraId="105507E4" w14:textId="77777777" w:rsidR="00EB2F85" w:rsidRDefault="00000000">
      <w:r>
        <w:pict w14:anchorId="1055087F">
          <v:rect id="_x0000_i1110" style="width:0;height:1.5pt" o:hralign="center" o:hrstd="t" o:hr="t"/>
        </w:pict>
      </w:r>
    </w:p>
    <w:p w14:paraId="105507E5" w14:textId="77777777" w:rsidR="00EB2F85" w:rsidRDefault="00772CAE">
      <w:pPr>
        <w:pStyle w:val="Heading2"/>
      </w:pPr>
      <w:bookmarkStart w:id="175" w:name="lessons-from-keta-for-national-rollout"/>
      <w:bookmarkStart w:id="176" w:name="_Toc225323452"/>
      <w:r>
        <w:lastRenderedPageBreak/>
        <w:t>11.7 Lessons from Keta for National Rollout</w:t>
      </w:r>
      <w:bookmarkEnd w:id="175"/>
      <w:bookmarkEnd w:id="176"/>
    </w:p>
    <w:p w14:paraId="105507E6" w14:textId="77777777" w:rsidR="00EB2F85" w:rsidRDefault="00772CAE">
      <w:pPr>
        <w:pStyle w:val="FirstParagraph"/>
      </w:pPr>
      <w:r>
        <w:t>The Keta pilot has not only advanced the implementation of Ghana’s national MRV system at the country’s most critical blue carbon site; it has generated a body of operational experience, design validation, and implementation learning that directly informs the pathway to equivalent MRV maturity at the Songor Ramsar Site and the Muni-Pomadze Ramsar Site. Four dimensions of this learning are of particular significance for the national rollout.</w:t>
      </w:r>
    </w:p>
    <w:p w14:paraId="105507E7" w14:textId="77777777" w:rsidR="00EB2F85" w:rsidRDefault="00772CAE">
      <w:pPr>
        <w:pStyle w:val="BodyText"/>
      </w:pPr>
      <w:r>
        <w:t>The station network design logic — 57 stations distributed by habitat type, pressure zone, and hydrological context rather than by uniform spatial coverage — represents a design principle whose application at Songor and Muni-Pomadze will require site-specific adaptation but follows a replicable logic. At Songor, where 465.76 hectares of fragmented mangrove is distributed across a landscape dominated by salt pan operations and subject to the land-use pressures associated with Elavanyo and Obane, the network design challenge is different from Keta’s: fewer stations are needed for a smaller mangrove estate, but the network must be specifically designed to detect the salinity intrusion and hydrological alteration effects that salt mining operations produce, in addition to the conventional fuelwood and land conversion signals. Ada’s 23-station network — covering a Ramsar site that is ecologically smaller and less nationally strategic than Keta but more complex in its salt mining exposure than Keta’s direct pressure profile — provides a transitional reference for this design logic. At Muni-Pomadze, where mangrove cover is ecologically insignificant and the monitoring priority is restoration performance rather than conservation of existing stock, the network design must be oriented toward tracking seedling establishment and canopy development rather than the ecosystem health and hydrological dynamics that justify the large Keta network. The design principle — match station deployment to the ecological questions the network must answer for that site — is portable; the station count and parameter priorities are not.</w:t>
      </w:r>
    </w:p>
    <w:p w14:paraId="105507E8" w14:textId="77777777" w:rsidR="00EB2F85" w:rsidRDefault="00772CAE">
      <w:pPr>
        <w:pStyle w:val="BodyText"/>
      </w:pPr>
      <w:r>
        <w:t xml:space="preserve">The CREMA governance approach validated at Dzita carries lessons of immediate relevance for CREMA development at Pute in Songor and Sankor in Muni-Pomadze. The experience at Dzita demonstrates that the most productive entry point for CREMA formation is not the formal constitutional process but the substantive activity that gives the CREMA its operational meaning. Communities engage more effectively with governance formation when it is tied to concrete, locally relevant management activities — restoration planting, CCA monitoring, the formalisation of existing customary rules they already practice — than when it is presented as an administrative process leading to a legal designation. At Pute, where the CREMA formation context is the contested landscape of salt mining conflicts and land tenure disputes that characterise the Songor Ramsar Site, the governance approach will require a more intensive conflict mediation component before CREMA boundary demarcation can proceed — a precondition that Dzita’s more favourable starting conditions did not require. At Sankor, where community cohesion is high, women’s groups are active, and A Rocha Ghana’s school-based environmental clubs have established conservation engagement among younger community members, the CREMA formation pathway may progress more rapidly than </w:t>
      </w:r>
      <w:r>
        <w:lastRenderedPageBreak/>
        <w:t>at either Keta or Songor, notwithstanding the less nationally significant ecological starting point.</w:t>
      </w:r>
    </w:p>
    <w:p w14:paraId="105507E9" w14:textId="77777777" w:rsidR="00EB2F85" w:rsidRDefault="00772CAE">
      <w:pPr>
        <w:pStyle w:val="BodyText"/>
      </w:pPr>
      <w:r>
        <w:t>The PSP establishment protocol validated at Salo provides a replicable technical template for the PSP work that will be required at Songor and Muni-Pomadze before those sites can be brought to full carbon accounting readiness. The Salo protocol establishes the minimum data set for Year 0 PSP baseline — species composition, DBH distribution, height sampling, canopy cover, and SOC cores to 100 centimetres depth — and the archive and versioning requirements that ensure the PSP data retains its scientific defensibility across re-measurement cycles. At Songor, where the limited 465.76-hectare mangrove estate may require a different PSP spatial design to achieve adequate statistical representation across the fragmented stand structure, the Salo methodology will need to be adapted rather than directly replicated — but the data standards, the archiving requirements, and the allometric and soil sampling protocols are fully transferable. At Muni-Pomadze, where the PSP system’s primary function in the near term will be monitoring restoration performance rather than documenting existing stock changes, the PSP design will need to be appropriate for the early-stage establishment conditions that characterise a restoration landscape.</w:t>
      </w:r>
    </w:p>
    <w:p w14:paraId="105507EA" w14:textId="77777777" w:rsidR="00EB2F85" w:rsidRDefault="00772CAE">
      <w:pPr>
        <w:pStyle w:val="BodyText"/>
      </w:pPr>
      <w:r>
        <w:t>The data validation workflow — the pathway from community CCA field return, through Wildlife Division consistency checking and cross-validation against satellite analysis, to national platform archiving — is the governance mechanism that maintains the integrity of the monitoring record across the institutional tiers. The Keta experience has validated this workflow under operational conditions: CCAs trained in the December 2025 field programme are submitting standardised data sheets; Wildlife Division technical officers at the district level are conducting the first-line validation; and the data flow to the national platform is following the protocol described in the monitoring plan. The conditions required at Songor and Muni-Pomadze before equivalent data quality can be expected include completed CCA training programmes at Pute and Sankor, the establishment of functioning Wildlife Division data reception procedures at the relevant district offices, and the integration of those district offices into the national platform’s data upload and archiving systems. The institutional preconditions are not technical obstacles; they are governance readiness requirements that each site must satisfy before the data validation workflow can produce monitoring records of the quality that the national MRV system depends on.</w:t>
      </w:r>
    </w:p>
    <w:p w14:paraId="105507EB" w14:textId="77777777" w:rsidR="00EB2F85" w:rsidRDefault="00772CAE">
      <w:pPr>
        <w:pStyle w:val="BodyText"/>
      </w:pPr>
      <w:r>
        <w:t>The broader lesson from the Keta pilot is that MRV system maturity is not achieved by designing a framework; it is achieved by operating one, iterating on what the operational experience reveals, and building the institutional habits — in communities, in district offices, and in national agencies — that sustain monitoring quality when the initial programme investment has moved to subsequent phases. Keta has established those institutional habits at a level of operational depth that Songor and Muni-Pomadze have not yet reached. The pathway to national MRV maturity is therefore, in practical terms, the pathway from the Keta pilot’s demonstrated operational depth to equivalent depth at each remaining site — an investment in institutional capacity as much as in technical infrastructure, and one that the Keta experience has now provided a validated and replicable template for.</w:t>
      </w:r>
    </w:p>
    <w:p w14:paraId="105507EC" w14:textId="77777777" w:rsidR="00EB2F85" w:rsidRDefault="00000000">
      <w:r>
        <w:lastRenderedPageBreak/>
        <w:pict w14:anchorId="10550880">
          <v:rect id="_x0000_i1111" style="width:0;height:1.5pt" o:hralign="center" o:hrstd="t" o:hr="t"/>
        </w:pict>
      </w:r>
    </w:p>
    <w:p w14:paraId="105507ED" w14:textId="77777777" w:rsidR="00EB2F85" w:rsidRDefault="00772CAE">
      <w:pPr>
        <w:pStyle w:val="FirstParagraph"/>
      </w:pPr>
      <w:r>
        <w:rPr>
          <w:i/>
        </w:rPr>
        <w:t>Chapter 11 — Keta Pilot Implementation | MRV Standalone Report | Ghana WACA Blue Carbon Assessment, World Bank Project P175625</w:t>
      </w:r>
    </w:p>
    <w:p w14:paraId="105507EE" w14:textId="77777777" w:rsidR="00EB2F85" w:rsidRDefault="00000000">
      <w:r>
        <w:pict w14:anchorId="10550881">
          <v:rect id="_x0000_i1112" style="width:0;height:1.5pt" o:hralign="center" o:hrstd="t" o:hr="t"/>
        </w:pict>
      </w:r>
    </w:p>
    <w:p w14:paraId="105507EF" w14:textId="77777777" w:rsidR="00EB2F85" w:rsidRDefault="00772CAE">
      <w:pPr>
        <w:pStyle w:val="Heading1"/>
      </w:pPr>
      <w:bookmarkStart w:id="177" w:name="X9c096671693559a5a685bc453cc691a1db11d2a"/>
      <w:bookmarkStart w:id="178" w:name="_Toc225323453"/>
      <w:r>
        <w:t>Chapter 12: Implementation Maturity Assessment</w:t>
      </w:r>
      <w:bookmarkEnd w:id="177"/>
      <w:bookmarkEnd w:id="178"/>
    </w:p>
    <w:p w14:paraId="105507F0" w14:textId="77777777" w:rsidR="00EB2F85" w:rsidRDefault="00000000">
      <w:r>
        <w:pict w14:anchorId="10550882">
          <v:rect id="_x0000_i1113" style="width:0;height:1.5pt" o:hralign="center" o:hrstd="t" o:hr="t"/>
        </w:pict>
      </w:r>
    </w:p>
    <w:p w14:paraId="105507F1" w14:textId="77777777" w:rsidR="00EB2F85" w:rsidRDefault="00772CAE">
      <w:pPr>
        <w:pStyle w:val="Heading2"/>
      </w:pPr>
      <w:bookmarkStart w:id="179" w:name="purpose-of-the-maturity-assessment"/>
      <w:bookmarkStart w:id="180" w:name="_Toc225323454"/>
      <w:r>
        <w:t>12.1 Purpose of the Maturity Assessment</w:t>
      </w:r>
      <w:bookmarkEnd w:id="179"/>
      <w:bookmarkEnd w:id="180"/>
    </w:p>
    <w:p w14:paraId="105507F2" w14:textId="77777777" w:rsidR="00EB2F85" w:rsidRDefault="00772CAE">
      <w:pPr>
        <w:pStyle w:val="FirstParagraph"/>
      </w:pPr>
      <w:r>
        <w:t>A monitoring system that presents itself as more advanced than it is loses credibility with the audiences whose confidence it most needs to retain. Government ministries allocating recurrent budget to a monitoring programme, development partners calibrating the next phase of WACA investment, and carbon market verifiers assessing whether the Monitoring, Reporting, and Verification (MRV) architecture can support a credible issuance cycle all require an honest account of what the system can currently demonstrate versus what it has been designed to achieve. A system that over-claims operational status — asserting that platforms are live when they are in development, that Community Resource Management Area (CREMA) governance structures are functioning when they are nascent, that quarterly field monitoring is routine when it has been conducted once under an assessment-period contract — will be exposed under due diligence, and the credibility cost of that exposure will be disproportionate to the maturity gap being concealed.</w:t>
      </w:r>
    </w:p>
    <w:p w14:paraId="105507F3" w14:textId="77777777" w:rsidR="00EB2F85" w:rsidRDefault="00772CAE">
      <w:pPr>
        <w:pStyle w:val="BodyText"/>
      </w:pPr>
      <w:r>
        <w:t>The opposite failure is equally damaging. A system that under-represents what has genuinely been achieved — dismissing a complete, 319-reference-point geospatial baseline as merely preliminary, describing trained Community Change Agents (CCAs) at Dzita, Pute, and Sankor as untested when they have demonstrably conducted field monitoring under the December 2025 assessment programme, or treating the documented national MRV architecture as aspirational when it represents a formally commissioned and delivered government output — fails to make the case for the continued investment that the system’s next phase of maturation requires.</w:t>
      </w:r>
    </w:p>
    <w:p w14:paraId="105507F4" w14:textId="77777777" w:rsidR="00EB2F85" w:rsidRDefault="00772CAE">
      <w:pPr>
        <w:pStyle w:val="BodyText"/>
      </w:pPr>
      <w:r>
        <w:t>This chapter provides the honest baseline that neither inflates nor deflates. It assesses implementation maturity across the four institutional tiers and three functional layers of the National Blue Carbon MRV Framework as of the conclusion of the WACA baseline assessment phase, drawing directly on the evidence produced during that phase. It distinguishes between what the assessment phase has placed firmly in the ground, what is actively progressing toward operational status, and what remains beyond the current investment horizon and will require deliberate action to build. The purpose of this assessment is not to audit shortcomings but to provide the Ministry of Lands and Natural Resources (MLNR) and the Ministry of Environment, Science, Technology and Innovation (MESTI) with an accurate foundation for planning the MRV system’s next operational phase.</w:t>
      </w:r>
    </w:p>
    <w:p w14:paraId="105507F5" w14:textId="77777777" w:rsidR="00EB2F85" w:rsidRDefault="00000000">
      <w:r>
        <w:lastRenderedPageBreak/>
        <w:pict w14:anchorId="10550883">
          <v:rect id="_x0000_i1114" style="width:0;height:1.5pt" o:hralign="center" o:hrstd="t" o:hr="t"/>
        </w:pict>
      </w:r>
    </w:p>
    <w:p w14:paraId="105507F6" w14:textId="77777777" w:rsidR="00EB2F85" w:rsidRDefault="00772CAE">
      <w:pPr>
        <w:pStyle w:val="Heading2"/>
      </w:pPr>
      <w:bookmarkStart w:id="181" w:name="Xfcd2224622c9aa41d6809db8399257454dc0a4b"/>
      <w:bookmarkStart w:id="182" w:name="_Toc225323455"/>
      <w:r>
        <w:t>12.2 Maturity Assessment — By Institutional Tier</w:t>
      </w:r>
      <w:bookmarkEnd w:id="181"/>
      <w:bookmarkEnd w:id="182"/>
    </w:p>
    <w:p w14:paraId="105507F7" w14:textId="77777777" w:rsidR="00EB2F85" w:rsidRDefault="00772CAE">
      <w:pPr>
        <w:pStyle w:val="Heading3"/>
      </w:pPr>
      <w:bookmarkStart w:id="183" w:name="community-tier"/>
      <w:r>
        <w:t>Community Tier</w:t>
      </w:r>
      <w:bookmarkEnd w:id="183"/>
    </w:p>
    <w:p w14:paraId="105507F8" w14:textId="77777777" w:rsidR="00EB2F85" w:rsidRDefault="00772CAE">
      <w:pPr>
        <w:pStyle w:val="FirstParagraph"/>
      </w:pPr>
      <w:r>
        <w:t>The community tier of Ghana’s National Blue Carbon MRV Framework is defined by two interdependent institutional elements: the CREMAs — established as the formal governance bodies through which communities manage their coastal resources and enter into carbon market arrangements — and the CCAs, who serve as the operational field arm of community-level monitoring. The baseline assessment phase has advanced both elements substantively, while leaving the formalisation work that would make them independently operable without continued external facilitation still incomplete.</w:t>
      </w:r>
    </w:p>
    <w:p w14:paraId="105507F9" w14:textId="77777777" w:rsidR="00EB2F85" w:rsidRDefault="00772CAE">
      <w:pPr>
        <w:pStyle w:val="BodyText"/>
      </w:pPr>
      <w:r>
        <w:t>What is in place is more substantial than a zero-baseline assessment would suggest. At all three sites — the Keta Lagoon Complex, the Songor Ramsar Site, and the Muni-Pomadze Ramsar Site — CCAs have been identified through community nomination processes, trained in field data collection protocols during the December 2025 assessment programme, and demonstrated in practice their capacity to mobilise community groups, navigate local governance dynamics, and collect standardised environmental data. At Dzita on the Keta Lagoon, CCAs successfully facilitated a dialogue between landowners and youth to resolve a dispute over a potential restoration site, demonstrating the social as well as technical dimensions of the CCA role. At Sankor in Muni-Pomadze, CCAs leveraged existing social networks — church groups, football clubs — to disseminate project information and mobilise participation in a way that institutional channels could not have achieved at equivalent speed. At Pute in Songor, CCAs navigated a community landscape shaped by long-standing land tenure conflicts and deep social fractures to maintain project engagement in the most operationally demanding social environment of the three sites. The training investment made during the assessment phase has created a cadre of field-competent local monitors at each early action hub.</w:t>
      </w:r>
    </w:p>
    <w:p w14:paraId="105507FA" w14:textId="77777777" w:rsidR="00EB2F85" w:rsidRDefault="00772CAE">
      <w:pPr>
        <w:pStyle w:val="BodyText"/>
      </w:pPr>
      <w:r>
        <w:t>CREMA structures exist at all three sites in nascent form. At Muni-Pomadze, the communities of Sankor and Bewadze demonstrate the highest social readiness — strong community cohesion, active and organised women’s groups, and a history of constructive engagement with the Wildlife Division — that the governance assessment describes as sufficient for a fast-track CREMA establishment within a twelve- to twenty-four-month timeframe. Emerging CREMA clusters at the Keta Lagoon, including the Angor and Dusornu clusters and the Dzita-Agbatsivi grouping, have begun boundary mapping and constitutional drafting. At Songor, where long-standing land tenure disputes at Pute and Elavanyo create governance conditions that the assessment characterises as “high potential marred by land-use conflict,” CREMA formation is oriented toward communities in the Ada East District where the direct pressures of commercial salt mining operations are less immediate.</w:t>
      </w:r>
    </w:p>
    <w:p w14:paraId="105507FB" w14:textId="77777777" w:rsidR="00EB2F85" w:rsidRDefault="00772CAE">
      <w:pPr>
        <w:pStyle w:val="BodyText"/>
      </w:pPr>
      <w:r>
        <w:t xml:space="preserve">What is actively maturing is the formalisation of these structures into legally recognised and independently functional governance entities. Formal CREMA constitutions and by-laws are in preparation at multiple sites but have not been submitted for the </w:t>
      </w:r>
      <w:r>
        <w:lastRenderedPageBreak/>
        <w:t>gazettement process that would give them statutory force under the Wildlife Resources Management Act, 2023 (Act 1115). The CCA data collection capacity established during the assessment period is real and demonstrated, but it has not yet transitioned from assessment-period activity — conducted within a structured programme with external coordination support — to routine quarterly practice operated by communities themselves. The critical prerequisite that no amount of community capacity can resolve without national action is the finalisation of the CREMA Legislative Instrument (LI), currently under development but not yet passed by Parliament, whose absence creates legal uncertainty around the CREMA establishment, governance, and benefit-sharing processes that all three sites are attempting to advance.</w:t>
      </w:r>
    </w:p>
    <w:p w14:paraId="105507FC" w14:textId="77777777" w:rsidR="00EB2F85" w:rsidRDefault="00772CAE">
      <w:pPr>
        <w:pStyle w:val="BodyText"/>
      </w:pPr>
      <w:r>
        <w:t>What requires investment is the completion of CREMA formation and legal recognition at all three sites; the formalisation of CCA roles within CREMA structures, providing them with the terms of reference, performance-based support, and tools they need to sustain monitoring quality beyond the assessment period; and the transition from CCAs as project participants to CCAs as institutionally embedded community monitors whose function within the national MRV system does not depend on the continuation of any specific project contract.</w:t>
      </w:r>
    </w:p>
    <w:p w14:paraId="105507FD" w14:textId="77777777" w:rsidR="00EB2F85" w:rsidRDefault="00772CAE">
      <w:pPr>
        <w:pStyle w:val="Heading3"/>
      </w:pPr>
      <w:bookmarkStart w:id="184" w:name="district-tier"/>
      <w:r>
        <w:t>District Tier</w:t>
      </w:r>
      <w:bookmarkEnd w:id="184"/>
    </w:p>
    <w:p w14:paraId="105507FE" w14:textId="77777777" w:rsidR="00EB2F85" w:rsidRDefault="00772CAE">
      <w:pPr>
        <w:pStyle w:val="FirstParagraph"/>
      </w:pPr>
      <w:r>
        <w:t>The district tier — the intermediate validation and coordination layer connecting community field monitoring to national technical oversight — has been engaged through the baseline assessment phase in a way that has advanced awareness without yet consolidating the operational workflows that routine MRV requires.</w:t>
      </w:r>
    </w:p>
    <w:p w14:paraId="105507FF" w14:textId="77777777" w:rsidR="00EB2F85" w:rsidRDefault="00772CAE">
      <w:pPr>
        <w:pStyle w:val="BodyText"/>
      </w:pPr>
      <w:r>
        <w:t>What is in place is demonstrable. Wildlife Division officers participated in field validation activities during the December 2025 assessment, gaining direct familiarity with the monitoring protocols, the PSP establishment process at Salo, and the wetland station network design logic that guides the Keta monitoring system. This participation means that the technical staff responsible for district-level data validation have first-hand understanding of the data collection methodology whose outputs they will be required to review and consolidate. Metropolitan, Municipal, and District Assemblies (MMDAs) in the Keta, Songor, and Muni-Pomadze districts are the designated consolidation and escalation authorities within the institutional tier architecture, and their roles within the MRV system are formally documented and understood.</w:t>
      </w:r>
    </w:p>
    <w:p w14:paraId="10550800" w14:textId="77777777" w:rsidR="00EB2F85" w:rsidRDefault="00772CAE">
      <w:pPr>
        <w:pStyle w:val="BodyText"/>
      </w:pPr>
      <w:r>
        <w:t xml:space="preserve">What is maturing is the translation of that documented understanding into functioning data submission and validation workflows. The pathway from community CCA field return, through Wildlife Division consistency checking and cross-validation against satellite analysis, to national platform archiving — validated under the Keta pilot monitoring experience described in Chapter 11 — has not yet become a routine operational cadence at any site. Wildlife Division field officers cover vast territories with inadequate staffing and limited logistical support, and the “capacity trap” documented in the governance assessment — where statutory bodies are assigned clear mandates that their operational resources cannot support — is an honest description of the current reality at district level across all three sites. Data management responsibilities related to the MRV system have not yet been assigned to dedicated district-level personnel; they </w:t>
      </w:r>
      <w:r>
        <w:lastRenderedPageBreak/>
        <w:t>sit alongside the Wildlife Division’s full existing brief without the additional capacity needed to execute them reliably.</w:t>
      </w:r>
    </w:p>
    <w:p w14:paraId="10550801" w14:textId="77777777" w:rsidR="00EB2F85" w:rsidRDefault="00772CAE">
      <w:pPr>
        <w:pStyle w:val="BodyText"/>
      </w:pPr>
      <w:r>
        <w:t>What requires investment is dedicated institutional capacity within MMDAs and the Wildlife Division for ongoing MRV data management, field verification, and conflict escalation functions — not new knowledge, but the logistical and staffing resources that translate existing knowledge into sustained practice. The Wildlife Division offices serving the Keta, Ada East, and Winneba districts each require identified MRV focal persons, with the operational budget and access to transport that quarterly data validation cycles demand. Without this investment, the district tier will function as a bottleneck in the data flow architecture rather than as the validation and quality control layer the MRV system design depends on.</w:t>
      </w:r>
    </w:p>
    <w:p w14:paraId="10550802" w14:textId="77777777" w:rsidR="00EB2F85" w:rsidRDefault="00772CAE">
      <w:pPr>
        <w:pStyle w:val="Heading3"/>
      </w:pPr>
      <w:bookmarkStart w:id="185" w:name="national-technical-tier"/>
      <w:r>
        <w:t>National Technical Tier</w:t>
      </w:r>
      <w:bookmarkEnd w:id="185"/>
    </w:p>
    <w:p w14:paraId="10550803" w14:textId="77777777" w:rsidR="00EB2F85" w:rsidRDefault="00772CAE">
      <w:pPr>
        <w:pStyle w:val="FirstParagraph"/>
      </w:pPr>
      <w:r>
        <w:t>The national technical tier represents the most advanced state of maturity in the current MRV system, reflecting the fact that the baseline assessment phase was primarily an investment in national-level institutional knowledge and methodology.</w:t>
      </w:r>
    </w:p>
    <w:p w14:paraId="10550804" w14:textId="77777777" w:rsidR="00EB2F85" w:rsidRDefault="00772CAE">
      <w:pPr>
        <w:pStyle w:val="BodyText"/>
      </w:pPr>
      <w:r>
        <w:t>What is firmly in place is the complete national baseline package. MLNR and MESTI have commissioned and received the full set of Year 0 reference documents: the geospatial mangrove extent baseline covering 30,025 hectares of coastal mangrove resource across 35 districts and 550 kilometres of coastline, classified using Harmonised Sentinel-2 imagery at 10–20 metre resolution and validated with 319 participatory ground-truth reference points; the carbon inventory assessment including the Permanent Sample Plot (PSP) established at Salo in the Keta Lagoon Complex; the ecosystem health, environmental pressure, governance readiness, and socio-economic baseline reports covering 37 communities; and the National Blue Carbon MRV Framework design documented in this report. The national monitoring methodology is fully documented. The institutional roles and responsibilities are formally assigned. The carbon accounting protocol is published and aligned with the Intergovernmental Panel on Climate Change (IPCC) Wetlands Supplement. The spatial data architecture is defined and the platform technical specifications are established. Ghana enters the operational phase of MRV implementation with a more complete national baseline package than most countries at an equivalent stage of blue carbon programme development.</w:t>
      </w:r>
    </w:p>
    <w:p w14:paraId="10550805" w14:textId="77777777" w:rsidR="00EB2F85" w:rsidRDefault="00772CAE">
      <w:pPr>
        <w:pStyle w:val="BodyText"/>
      </w:pPr>
      <w:r>
        <w:t xml:space="preserve">What is maturing is the digital infrastructure through which that baseline is operationalised for continuous monitoring. The web-based spatial monitoring platform — developed by GAB Climate Smart Investment Ltd on a Next.js/Supabase architecture, with EOSDA satellite monitoring services — is in active development. The platform architecture is defined, the Supabase database reference is established, and the GitHub repository is active. The continuous satellite monitoring integration through EOSDA, designed to provide weekly imagery updates and automated change detection alerts to the national platform, is configured but has not yet completed its first full operational monitoring cycle delivering routine outputs to MLNR. The annual satellite-based mangrove extent update cycle, which is the primary ecological monitoring mechanism between the five-year PSP re-measurement cycles, needs to be formally </w:t>
      </w:r>
      <w:r>
        <w:lastRenderedPageBreak/>
        <w:t>operationalised as a standing institutional function with named ownership within MLNR or the Forestry Commission rather than a service dependent on continued external contract.</w:t>
      </w:r>
    </w:p>
    <w:p w14:paraId="10550806" w14:textId="77777777" w:rsidR="00EB2F85" w:rsidRDefault="00772CAE">
      <w:pPr>
        <w:pStyle w:val="BodyText"/>
      </w:pPr>
      <w:r>
        <w:t>What requires investment is the full operationalisation of the digital platform — completing the build, establishing data ingest pipelines from CCA field submissions and district consolidation, and standing up the user access and reporting functions for national, district, and community users; institutionalising the annual MRV report production cycle as a scheduled government output owned by MLNR and MESTI; and establishing a dedicated national MRV team with the GIS, data management, and carbon accounting capacity to sustain the technical oversight function after the WACA programme investment cycle is complete.</w:t>
      </w:r>
    </w:p>
    <w:p w14:paraId="10550807" w14:textId="77777777" w:rsidR="00EB2F85" w:rsidRDefault="00772CAE">
      <w:pPr>
        <w:pStyle w:val="Heading3"/>
      </w:pPr>
      <w:bookmarkStart w:id="186" w:name="independent-review-tier"/>
      <w:r>
        <w:t>Independent Review Tier</w:t>
      </w:r>
      <w:bookmarkEnd w:id="186"/>
    </w:p>
    <w:p w14:paraId="10550808" w14:textId="77777777" w:rsidR="00EB2F85" w:rsidRDefault="00772CAE">
      <w:pPr>
        <w:pStyle w:val="FirstParagraph"/>
      </w:pPr>
      <w:r>
        <w:t>The independent review tier occupies a distinct position in the maturity assessment: it is the only tier that is not yet relevant to the current operational phase but whose architecture must be established now if carbon market participation is to become a realistic near-term objective.</w:t>
      </w:r>
    </w:p>
    <w:p w14:paraId="10550809" w14:textId="77777777" w:rsidR="00EB2F85" w:rsidRDefault="00772CAE">
      <w:pPr>
        <w:pStyle w:val="BodyText"/>
      </w:pPr>
      <w:r>
        <w:t>What is in place is the framework definition. The MRV system design specifies when independent review applies — at the point of carbon credit issuance cycles, significant scale restoration expansion, or formal carbon market participation — and what it entails: validation of carbon calculations, assessment of QA/QC documentation, review of environmental pressure integration, examination of safeguard documentation, and confirmation of methodological consistency with declared protocols. The MRV system design makes explicit that independent verification does not replace national institutional ownership but complements it when required, preserving Ghana’s institutional authority over its own blue carbon data while creating a pathway to third-party assurance for market actors.</w:t>
      </w:r>
    </w:p>
    <w:p w14:paraId="1055080A" w14:textId="77777777" w:rsidR="00EB2F85" w:rsidRDefault="00772CAE">
      <w:pPr>
        <w:pStyle w:val="BodyText"/>
      </w:pPr>
      <w:r>
        <w:t>What requires investment for this tier to be functional at the point it is needed — which is not yet, but could realistically be within a three- to five-year horizon if CREMA formation proceeds on schedule and restoration activities reach the scale required for credit issuance — is the identification of accredited verifiers with experience in West African coastal blue carbon systems, the negotiation and agreement of verification protocols with MLNR and MESTI that are aligned with the Verra/VCS, Gold Standard, or Plan Vivo standards under which Ghana would most likely seek to issue credits, and the assembly of the audit trail documentation that independent review will require: georeferenced restoration site registrations, time-stamped PSP measurement archives, governance composition records, and the grievance and benefit-sharing documentation that safeguard review demands. This work does not begin with the verifier engagement; it begins now, with the systematic archiving of the baseline-phase documentation that will form the historical record an independent review will need to examine.</w:t>
      </w:r>
    </w:p>
    <w:p w14:paraId="1055080B" w14:textId="77777777" w:rsidR="00EB2F85" w:rsidRDefault="00000000">
      <w:r>
        <w:pict w14:anchorId="10550884">
          <v:rect id="_x0000_i1115" style="width:0;height:1.5pt" o:hralign="center" o:hrstd="t" o:hr="t"/>
        </w:pict>
      </w:r>
    </w:p>
    <w:p w14:paraId="1055080C" w14:textId="77777777" w:rsidR="00EB2F85" w:rsidRDefault="00772CAE">
      <w:pPr>
        <w:pStyle w:val="Heading2"/>
      </w:pPr>
      <w:bookmarkStart w:id="187" w:name="maturity-assessment-by-functional-layer"/>
      <w:bookmarkStart w:id="188" w:name="_Toc225323456"/>
      <w:r>
        <w:lastRenderedPageBreak/>
        <w:t>12.3 Maturity Assessment — By Functional Layer</w:t>
      </w:r>
      <w:bookmarkEnd w:id="187"/>
      <w:bookmarkEnd w:id="188"/>
    </w:p>
    <w:p w14:paraId="1055080D" w14:textId="77777777" w:rsidR="00EB2F85" w:rsidRDefault="00772CAE">
      <w:pPr>
        <w:pStyle w:val="Heading3"/>
      </w:pPr>
      <w:bookmarkStart w:id="189" w:name="layer-i-ecological-and-carbon-integrity"/>
      <w:r>
        <w:t>Layer I: Ecological and Carbon Integrity</w:t>
      </w:r>
      <w:bookmarkEnd w:id="189"/>
    </w:p>
    <w:p w14:paraId="1055080E" w14:textId="77777777" w:rsidR="00EB2F85" w:rsidRDefault="00772CAE">
      <w:pPr>
        <w:pStyle w:val="FirstParagraph"/>
      </w:pPr>
      <w:r>
        <w:t>Layer I is the most mature of the three functional layers as measured by baseline completeness, which is the appropriate reference point for an assessment conducted at the close of the Year 0 phase. The ecological and carbon integrity baseline is not a design aspiration; it is a completed field programme.</w:t>
      </w:r>
    </w:p>
    <w:p w14:paraId="1055080F" w14:textId="77777777" w:rsidR="00EB2F85" w:rsidRDefault="00772CAE">
      <w:pPr>
        <w:pStyle w:val="BodyText"/>
      </w:pPr>
      <w:r>
        <w:t>The 2025 Geospatial Mangrove Extent Baseline is complete. The national mangrove estate of 30,025 hectares has been mapped, classified, and validated, providing the Year 0 spatial reference against which all future annual extent measurements will be benchmarked. The stratification schema established during the baseline — by species composition, canopy density class, hydrological zone, and degradation intensity category — is the framework that will be maintained across future re-measurement cycles to ensure statistical comparability over time. The historical deforestation rate of 2.15% per year at the Keta Lagoon Complex, and the spatial gradient of degradation that concentrates the most severe fragmentation near the highest-density fish-smoking settlements of Bomigo, Galo, and Sota, are documented as the ecological context within which the monitoring system operates.</w:t>
      </w:r>
    </w:p>
    <w:p w14:paraId="10550810" w14:textId="77777777" w:rsidR="00EB2F85" w:rsidRDefault="00772CAE">
      <w:pPr>
        <w:pStyle w:val="BodyText"/>
      </w:pPr>
      <w:r>
        <w:t>The carbon inventory is complete. The PSP at Salo has been established with a full Year 0 measurement set: species composition record, diameter at breast height distribution for all stems meeting the inclusion threshold, height sampling, canopy cover assessment, and soil organic carbon (SOC) cores to the IPCC Wetlands Supplement-required depth of 100 centimetres. The above-ground biomass (AGB), below-ground biomass (BGB), and SOC pool baselines from the 2025 inventory provide the carbon stock anchors from which any future change detection and credit calculation will be derived.</w:t>
      </w:r>
    </w:p>
    <w:p w14:paraId="10550811" w14:textId="77777777" w:rsidR="00EB2F85" w:rsidRDefault="00772CAE">
      <w:pPr>
        <w:pStyle w:val="BodyText"/>
      </w:pPr>
      <w:r>
        <w:t>The annual satellite monitoring cycle — the operational mechanism through which Layer I transitions from a baseline event to a continuous monitoring function — represents the principal maturity gap within this layer. The cycle design is specified: Sentinel-2 imagery analysis on Google Earth Engine (GEE), consistent with baseline methodology, producing annual net mangrove area change, fragmentation trends, and encroachment hotspot mapping. But the first operational cycle, producing outputs delivered to MLNR and MESTI as a standing institutional deliverable rather than a project activity, has not yet been completed. The PSP re-measurement at Salo is appropriately scheduled for three to five years hence under the standard biomass re-measurement cycle — this is not a gap but the correct operational cadence for a freshly established PSP. The maturity investment required in Layer I is the operationalisation of the annual satellite cycle as a routine national function rather than an ad hoc assessment activity.</w:t>
      </w:r>
    </w:p>
    <w:p w14:paraId="10550812" w14:textId="77777777" w:rsidR="00EB2F85" w:rsidRDefault="00772CAE">
      <w:pPr>
        <w:pStyle w:val="Heading3"/>
      </w:pPr>
      <w:bookmarkStart w:id="190" w:name="X04915944b4158210dda7291a4b63dfdbc9117f0"/>
      <w:r>
        <w:t>Layer II: Environmental Pressure Surveillance</w:t>
      </w:r>
      <w:bookmarkEnd w:id="190"/>
    </w:p>
    <w:p w14:paraId="10550813" w14:textId="77777777" w:rsidR="00EB2F85" w:rsidRDefault="00772CAE">
      <w:pPr>
        <w:pStyle w:val="FirstParagraph"/>
      </w:pPr>
      <w:r>
        <w:t>Layer II has achieved substantive completion at the design and baseline documentation levels, with the field surveillance transition representing the next operational stage.</w:t>
      </w:r>
    </w:p>
    <w:p w14:paraId="10550814" w14:textId="77777777" w:rsidR="00EB2F85" w:rsidRDefault="00772CAE">
      <w:pPr>
        <w:pStyle w:val="BodyText"/>
      </w:pPr>
      <w:r>
        <w:lastRenderedPageBreak/>
        <w:t xml:space="preserve">Pressure profiles are documented for all three sites with the site-specificity that the complexity of each landscape demands. At the Keta Lagoon Complex, the five-core-indicator surveillance framework is calibrated to detect the fuelwood harvesting pressure from fish-smoking kilns, the preference for </w:t>
      </w:r>
      <w:r>
        <w:rPr>
          <w:i/>
        </w:rPr>
        <w:t>Rhizophora racemosa</w:t>
      </w:r>
      <w:r>
        <w:t xml:space="preserve"> that concentrates cutting on the highest-biomass mangrove species, the Akosombo Dam-driven sediment starvation that operates as a landscape-level structural pressure no community governance mechanism can address, and the coastal retreat dynamics that create geomorphological instability for the entire monitoring estate. At the Songor Ramsar Site, the pressure profile documents the salt pan expansion dynamic and land tenure conflicts at communities including Elavanyo and Obane as the primary drivers of the landscape’s degraded condition. At Muni-Pomadze, the pressure assessment documents agricultural encroachment, charcoal production, and the low mangrove density that limits the ecological response to any reduction in pressure. These profiles are not generic; they are site-specific, community-specific, and analytically connected to the carbon risk and governance implications they generate.</w:t>
      </w:r>
    </w:p>
    <w:p w14:paraId="10550815" w14:textId="77777777" w:rsidR="00EB2F85" w:rsidRDefault="00772CAE">
      <w:pPr>
        <w:pStyle w:val="BodyText"/>
      </w:pPr>
      <w:r>
        <w:t>The five core indicators — land conversion monitoring, mangrove cutting signal detection, fuel source shift monitoring, charcoal and extraction hotspot tracking, and the conflict and access pressure index — were validated in community and field settings during the 2025 assessment. CCAs understand what they are measuring and why. Wildlife Division officers understand the escalation protocols that translate field detection into institutional response. The indicator logic has been tested against the actual pressure dynamics of the three sites.</w:t>
      </w:r>
    </w:p>
    <w:p w14:paraId="10550816" w14:textId="77777777" w:rsidR="00EB2F85" w:rsidRDefault="00772CAE">
      <w:pPr>
        <w:pStyle w:val="BodyText"/>
      </w:pPr>
      <w:r>
        <w:t>What has not yet occurred is the transition to routine quarterly surveillance through CCAs and the Wildlife Division as a standing operational cadence. The five core indicators were documented and validated during a bounded assessment period; they have not yet been collected as part of an independently operating monitoring routine. The quarterly cycle — the cadence that gives the surveillance system its early-warning function by detecting emerging pressure trends before they produce irreversible ecological damage — requires CCAs who are equipped, compensated, and supported for routine collection, and district officers who are positioned to receive, validate, and transmit the resulting data outside of a project-funded activity framework. Establishing this cadence is the principal Layer II maturity investment of the next twelve months.</w:t>
      </w:r>
    </w:p>
    <w:p w14:paraId="10550817" w14:textId="77777777" w:rsidR="00EB2F85" w:rsidRDefault="00772CAE">
      <w:pPr>
        <w:pStyle w:val="Heading3"/>
      </w:pPr>
      <w:bookmarkStart w:id="191" w:name="Xe2f5d273d4887900b212326b8504fdb4f79e8e7"/>
      <w:r>
        <w:t>Layer III: Governance and Safeguard Assurance</w:t>
      </w:r>
      <w:bookmarkEnd w:id="191"/>
    </w:p>
    <w:p w14:paraId="10550818" w14:textId="77777777" w:rsidR="00EB2F85" w:rsidRDefault="00772CAE">
      <w:pPr>
        <w:pStyle w:val="FirstParagraph"/>
      </w:pPr>
      <w:r>
        <w:t>Layer III reflects the most complex maturity picture, because the governance and safeguard indicators depend on institutions — the CREMAs, the GRMs, the inclusive governance bodies — that are themselves in formation. Layer III monitoring cannot outrun the governance reality it is designed to measure.</w:t>
      </w:r>
    </w:p>
    <w:p w14:paraId="10550819" w14:textId="77777777" w:rsidR="00EB2F85" w:rsidRDefault="00772CAE">
      <w:pPr>
        <w:pStyle w:val="BodyText"/>
      </w:pPr>
      <w:r>
        <w:t xml:space="preserve">The baseline is documented with precision. The finding that more than 80% of the 37 communities profiled maintain informal grievance systems rather than formal Grievance Redress Mechanisms (GRMs) is not an abstraction; it is the specific governance deficit that Layer III monitoring is designed to close by tracking the establishment and functioning of formal GRMs at each landscape over time. The CREMA governance composition requirements — including the minimum 40% female representation in </w:t>
      </w:r>
      <w:r>
        <w:lastRenderedPageBreak/>
        <w:t>executive leadership that the national MRV standard mandates — have been established as monitoring targets against which annual governance composition statistics will be benchmarked. Free, Prior, and Informed Consent (FPIC) processes were conducted for the baseline assessment at all three sites, establishing the procedural baseline and the documentation standard for the participation records that Layer III requires going forward.</w:t>
      </w:r>
    </w:p>
    <w:p w14:paraId="1055081A" w14:textId="77777777" w:rsidR="00EB2F85" w:rsidRDefault="00772CAE">
      <w:pPr>
        <w:pStyle w:val="BodyText"/>
      </w:pPr>
      <w:r>
        <w:t>The site-differentiated governance picture is documented with honesty about the asymmetry between sites. At Muni-Pomadze, where Sankor’s high community cohesion, active women’s groups, and history of engagement with the Wildlife Division’s Winneba office create conditions for rapid governance formalisation, Layer III monitoring indicators are likely to show progress earlier and more linearly than at other sites. At the Keta Lagoon Complex, where CREMA formation is fragmented across the landscape and the Dzita early action hub represents a leading edge rather than a typical baseline, Layer III monitoring must be designed to capture the uneven pace of governance formation across a geographically and institutionally heterogeneous landscape. At Songor, where the land tenure conflicts affecting Pute and Elavanyo have “created deep social fractures and paralysed local leadership,” Layer III monitoring will initially reflect governance fragility rather than governance progress — a finding that should be reported honestly rather than suppressed, because it is precisely the signal that the early-warning function of the MRV system must be designed to generate.</w:t>
      </w:r>
    </w:p>
    <w:p w14:paraId="1055081B" w14:textId="77777777" w:rsidR="00EB2F85" w:rsidRDefault="00772CAE">
      <w:pPr>
        <w:pStyle w:val="BodyText"/>
      </w:pPr>
      <w:r>
        <w:t>What requires investment in Layer III is the formal establishment of GRMs at all three sites as functional institutions with documented submission pathways, designated focal persons, and escalation procedures — not design specifications, but operational systems that can receive and process a grievance when one is submitted. This formalisation cannot happen without CREMA formation preceding it, which reinforces the critical path logic that connects governance investment (CREMA LI finalisation, CREMA legal recognition) to the operationalisation of Layer III monitoring capacity.</w:t>
      </w:r>
    </w:p>
    <w:p w14:paraId="1055081C" w14:textId="77777777" w:rsidR="00EB2F85" w:rsidRDefault="00000000">
      <w:r>
        <w:pict w14:anchorId="10550885">
          <v:rect id="_x0000_i1116" style="width:0;height:1.5pt" o:hralign="center" o:hrstd="t" o:hr="t"/>
        </w:pict>
      </w:r>
    </w:p>
    <w:p w14:paraId="1055081D" w14:textId="77777777" w:rsidR="00EB2F85" w:rsidRDefault="00772CAE">
      <w:pPr>
        <w:pStyle w:val="Heading2"/>
      </w:pPr>
      <w:bookmarkStart w:id="192" w:name="priorities-for-the-next-12-months"/>
      <w:bookmarkStart w:id="193" w:name="_Toc225323457"/>
      <w:r>
        <w:t>12.4 Priorities for the Next 12 Months</w:t>
      </w:r>
      <w:bookmarkEnd w:id="192"/>
      <w:bookmarkEnd w:id="193"/>
    </w:p>
    <w:p w14:paraId="1055081E" w14:textId="77777777" w:rsidR="00EB2F85" w:rsidRDefault="00772CAE">
      <w:pPr>
        <w:pStyle w:val="FirstParagraph"/>
      </w:pPr>
      <w:r>
        <w:t>The maturity assessment identifies a small number of actions that are not simply desirable but constitute the critical path to operational MRV. Without them, the monitoring system designed and baselined during the WACA assessment phase cannot transition to the routine, institutionally self-sustaining operation that its design intends. With them, the transition from assessment phase to operational phase becomes achievable within the 2026–2027 annual cycle.</w:t>
      </w:r>
    </w:p>
    <w:p w14:paraId="1055081F" w14:textId="77777777" w:rsidR="00EB2F85" w:rsidRDefault="00772CAE">
      <w:pPr>
        <w:pStyle w:val="BodyText"/>
      </w:pPr>
      <w:r>
        <w:t xml:space="preserve">The single most consequential enabling action is the finalisation and Parliamentary passage of the CREMA Legislative Instrument. Every community-tier maturity investment — CREMA constitution completion, bylaw gazettement, CCA formalisation within CREMA governance structures, FPIC process institutionalisation, and GRM establishment — is legally uncertain until the LI provides the regulatory framework that makes CREMA formation, governance, and benefit-sharing arrangements legally unambiguous. MLNR is the responsible ministry. The WACA project should treat LI </w:t>
      </w:r>
      <w:r>
        <w:lastRenderedPageBreak/>
        <w:t>finalisation as a programme-level milestone, not a background legal process, because its absence is the single most significant systemic risk to community-tier and Layer III operationalisation across all three sites.</w:t>
      </w:r>
    </w:p>
    <w:p w14:paraId="10550820" w14:textId="77777777" w:rsidR="00EB2F85" w:rsidRDefault="00772CAE">
      <w:pPr>
        <w:pStyle w:val="BodyText"/>
      </w:pPr>
      <w:r>
        <w:t>The second priority is the formal operationalisation of the annual satellite monitoring cycle as a standing government function. This requires that MLNR or the Forestry Commission designate named staff with the GIS and remote sensing competence to conduct annual Sentinel-2 mangrove extent analysis consistent with the Year 0 baseline methodology, produce the annual net change outputs and fragmentation trend summaries that the national MRV reporting framework requires, and archive the outputs in the national platform under version-controlled records. The technical methodology is established; what is required is the institutional ownership and recurrent budget allocation that transforms a project activity into a national monitoring function.</w:t>
      </w:r>
    </w:p>
    <w:p w14:paraId="10550821" w14:textId="77777777" w:rsidR="00EB2F85" w:rsidRDefault="00772CAE">
      <w:pPr>
        <w:pStyle w:val="BodyText"/>
      </w:pPr>
      <w:r>
        <w:t>The third priority is the transition of CCA monitoring from assessment-period engagement to routine quarterly practice. This requires, at minimum, the provision of adequate field equipment — calibrated multi-parameter water quality instruments and soil analysis devices of the type used during the December 2025 training programme — to CCAs at Dzita, Pute, and Sankor; the establishment of a compensation mechanism, aligned with the CREMA governance formalisation process, that provides CCAs with consistent and performance-based support rather than the voluntary engagement model that creates high burnout and attrition risk; and the activation of district Wildlife Division data reception procedures that give CCAs a functional institutional counterpart for their field submissions. The Wildlife Division offices at the relevant districts — Keta Municipal, Ada East, and Efutu Municipal — are the responsible entities, and each requires the logistical budget for regular field validation visits that the current operational funding does not consistently provide.</w:t>
      </w:r>
    </w:p>
    <w:p w14:paraId="10550822" w14:textId="77777777" w:rsidR="00EB2F85" w:rsidRDefault="00772CAE">
      <w:pPr>
        <w:pStyle w:val="BodyText"/>
      </w:pPr>
      <w:r>
        <w:t>The fourth priority is the formal establishment of at least one functioning GRM at each of the three sites, anchored in whichever community cluster demonstrates sufficient governance readiness to host it. At Muni-Pomadze, Sankor’s governance readiness profile makes it the natural host for a pilot GRM that can be established and documented during the first quarterly governance reporting cycle. At the Keta Lagoon, the Dzita-Agbatsivi cluster, where the CRMA formation process is most advanced, is the appropriate starting point. At Songor, GRM establishment should follow, not precede, the conflict mediation investment that the governance assessment identifies as the necessary precondition for any formal governance structure in the Pute area.</w:t>
      </w:r>
    </w:p>
    <w:p w14:paraId="10550823" w14:textId="77777777" w:rsidR="00EB2F85" w:rsidRDefault="00772CAE">
      <w:pPr>
        <w:pStyle w:val="BodyText"/>
      </w:pPr>
      <w:r>
        <w:t>The fifth priority is the completion of the digital platform build to a level that supports the basic data flow functions the MRV system requires: CCA field data submission, district validation logging, and national archive access. The GAB Climate Smart platform under development provides the architecture for an investment-grade system with advanced analytics, spatial visualisation, and change detection alert functions. In the near term, the minimum viable platform is one that securely receives, timestamps, validates, and archives the quarterly field submissions from all three sites and makes them accessible to national-level users. This functionality is achievable within the current development trajectory and should be the platform milestone against which the first operational monitoring cycle is measured.</w:t>
      </w:r>
    </w:p>
    <w:p w14:paraId="10550824" w14:textId="77777777" w:rsidR="00EB2F85" w:rsidRDefault="00000000">
      <w:r>
        <w:lastRenderedPageBreak/>
        <w:pict w14:anchorId="10550886">
          <v:rect id="_x0000_i1117" style="width:0;height:1.5pt" o:hralign="center" o:hrstd="t" o:hr="t"/>
        </w:pict>
      </w:r>
    </w:p>
    <w:p w14:paraId="10550825" w14:textId="77777777" w:rsidR="00EB2F85" w:rsidRDefault="00772CAE">
      <w:pPr>
        <w:pStyle w:val="Heading2"/>
      </w:pPr>
      <w:bookmarkStart w:id="194" w:name="the-mrv-systems-long-term-trajectory"/>
      <w:bookmarkStart w:id="195" w:name="_Toc225323458"/>
      <w:r>
        <w:t>12.5 The MRV System’s Long-Term Trajectory</w:t>
      </w:r>
      <w:bookmarkEnd w:id="194"/>
      <w:bookmarkEnd w:id="195"/>
    </w:p>
    <w:p w14:paraId="10550826" w14:textId="77777777" w:rsidR="00EB2F85" w:rsidRDefault="00772CAE">
      <w:pPr>
        <w:pStyle w:val="FirstParagraph"/>
      </w:pPr>
      <w:r>
        <w:t>A mature national blue carbon MRV system for Ghana looks different from what exists today, but the distance between those two points is not as great as it might appear from a single measurement of what remains to be built. The architecture has been designed. The methodology has been established. The Year 0 baseline has been laid. The communities who will be the system’s operational frontline have been engaged, trained, and demonstrated their capacity. The national institutions that will own the system have received the complete baseline package and made a formal government commitment to the monitoring framework it describes. These are not small things; they are the foundations that cannot be constructed in a single phase of investment and whose absence is the reason most countries at comparable levels of blue carbon potential have not reached even this starting point.</w:t>
      </w:r>
    </w:p>
    <w:p w14:paraId="10550827" w14:textId="77777777" w:rsidR="00EB2F85" w:rsidRDefault="00772CAE">
      <w:pPr>
        <w:pStyle w:val="BodyText"/>
      </w:pPr>
      <w:r>
        <w:t>When fully mature — which, on the basis of the implementation trajectory described in this chapter, is achievable within a five- to eight-year horizon from the close of the assessment phase — the system will operate as follows. At each of the three Ramsar sites, a legally recognised and functioning CREMA — at Dzita for the Keta Lagoon Complex, at Pute or an Ada East cluster for Songor, and at Sankor for Muni-Pomadze — will submit quarterly monitoring returns, covering Layer I restoration survival data, Layer II cutting and pressure signals, and Layer III governance composition and grievance records, to their respective district Wildlife Division offices. Annual Sentinel-2 extent updates, processed by a national GIS team within MLNR, will be published on the web-based spatial monitoring platform as a standing national reporting product. The PSP at Salo will have completed its first re-measurement cycle, and PSP installations at Songor and Muni-Pomadze will have extended the carbon monitoring network to the full three-site scope that the national framework defines. An Annual National Blue Carbon MRV Report, consolidating field, satellite, and governance monitoring data, will be issued by MLNR and MESTI as a formal government document, providing the transparency that government, development partners, and — at the point of carbon market participation — carbon credit buyers require.</w:t>
      </w:r>
    </w:p>
    <w:p w14:paraId="10550828" w14:textId="77777777" w:rsidR="00EB2F85" w:rsidRDefault="00772CAE">
      <w:pPr>
        <w:pStyle w:val="BodyText"/>
      </w:pPr>
      <w:r>
        <w:t xml:space="preserve">The investment in the WACA baseline assessment phase has created something of genuine institutional durability: a documented national methodology, a trained community workforce, a completed ecological and carbon baseline, and a governance architecture designed to outlast the project cycle that funded its design. The MRV system is not a project mechanism; it is a national framework whose value accumulates with each operational year added to the monitoring record. A five-year monitoring series is worth more than a Year 0 baseline alone; a ten-year series, anchored by a first PSP re-measurement cycle and capable of demonstrating verifiable carbon stock trends, is worth more still. Ghana’s position in the blue carbon landscape — as a country with the methodological rigour, institutional commitment, and community engagement depth to generate credible blue carbon accounting — will be determined not by the ambition of the framework that has been designed but by the consistency of the monitoring practice that the next phase of implementation builds. The baseline phase has earned the right </w:t>
      </w:r>
      <w:r>
        <w:lastRenderedPageBreak/>
        <w:t>to that next phase; the maturity assessment in this chapter is, above all, the map for how to use it.</w:t>
      </w:r>
    </w:p>
    <w:p w14:paraId="10550829" w14:textId="77777777" w:rsidR="00EB2F85" w:rsidRDefault="00000000">
      <w:r>
        <w:pict w14:anchorId="10550887">
          <v:rect id="_x0000_i1118" style="width:0;height:1.5pt" o:hralign="center" o:hrstd="t" o:hr="t"/>
        </w:pict>
      </w:r>
    </w:p>
    <w:sectPr w:rsidR="00EB2F8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3FBD7" w14:textId="77777777" w:rsidR="00AC59E3" w:rsidRDefault="00AC59E3">
      <w:pPr>
        <w:spacing w:after="0"/>
      </w:pPr>
      <w:r>
        <w:separator/>
      </w:r>
    </w:p>
  </w:endnote>
  <w:endnote w:type="continuationSeparator" w:id="0">
    <w:p w14:paraId="72E6142D" w14:textId="77777777" w:rsidR="00AC59E3" w:rsidRDefault="00AC59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C14A9" w14:textId="77777777" w:rsidR="00AC59E3" w:rsidRDefault="00AC59E3">
      <w:r>
        <w:separator/>
      </w:r>
    </w:p>
  </w:footnote>
  <w:footnote w:type="continuationSeparator" w:id="0">
    <w:p w14:paraId="33E53EDF" w14:textId="77777777" w:rsidR="00AC59E3" w:rsidRDefault="00AC59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AC801E6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4578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F400A"/>
    <w:rsid w:val="00141F64"/>
    <w:rsid w:val="00183D0C"/>
    <w:rsid w:val="001B02AB"/>
    <w:rsid w:val="002926A7"/>
    <w:rsid w:val="00427630"/>
    <w:rsid w:val="0048233C"/>
    <w:rsid w:val="004E29B3"/>
    <w:rsid w:val="00590D07"/>
    <w:rsid w:val="005A2E01"/>
    <w:rsid w:val="006445A5"/>
    <w:rsid w:val="00772CAE"/>
    <w:rsid w:val="007736D0"/>
    <w:rsid w:val="00784D58"/>
    <w:rsid w:val="007A593D"/>
    <w:rsid w:val="00826019"/>
    <w:rsid w:val="008477E0"/>
    <w:rsid w:val="008D6863"/>
    <w:rsid w:val="00AC59E3"/>
    <w:rsid w:val="00B86B75"/>
    <w:rsid w:val="00BC48D5"/>
    <w:rsid w:val="00C1042A"/>
    <w:rsid w:val="00C36279"/>
    <w:rsid w:val="00C50695"/>
    <w:rsid w:val="00E315A3"/>
    <w:rsid w:val="00EB2F8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50561"/>
  <w15:docId w15:val="{876A4EC8-6B67-4C0B-9243-6B026B197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1A3A5C"/>
      <w:sz w:val="36"/>
      <w:szCs w:val="36"/>
    </w:rPr>
  </w:style>
  <w:style w:type="paragraph" w:styleId="Heading2">
    <w:name w:val="heading 2"/>
    <w:basedOn w:val="Normal"/>
    <w:next w:val="BodyText"/>
    <w:uiPriority w:val="9"/>
    <w:unhideWhenUsed/>
    <w:qFormat/>
    <w:pPr>
      <w:keepNext/>
      <w:keepLines/>
      <w:spacing w:before="200" w:after="0"/>
      <w:outlineLvl w:val="1"/>
    </w:pPr>
    <w:rPr>
      <w:b/>
      <w:bCs/>
      <w:color w:val="2E6FA3"/>
      <w:sz w:val="26"/>
      <w:szCs w:val="26"/>
    </w:rPr>
  </w:style>
  <w:style w:type="paragraph" w:styleId="Heading3">
    <w:name w:val="heading 3"/>
    <w:basedOn w:val="Normal"/>
    <w:next w:val="BodyText"/>
    <w:uiPriority w:val="9"/>
    <w:unhideWhenUsed/>
    <w:qFormat/>
    <w:pPr>
      <w:keepNext/>
      <w:keepLines/>
      <w:spacing w:before="200" w:after="0"/>
      <w:outlineLvl w:val="2"/>
    </w:pPr>
    <w:rPr>
      <w:b/>
      <w:bCs/>
      <w:i/>
      <w:color w:val="1A3A5C"/>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50695"/>
    <w:pPr>
      <w:spacing w:after="100"/>
    </w:pPr>
  </w:style>
  <w:style w:type="paragraph" w:styleId="TOC2">
    <w:name w:val="toc 2"/>
    <w:basedOn w:val="Normal"/>
    <w:next w:val="Normal"/>
    <w:autoRedefine/>
    <w:uiPriority w:val="39"/>
    <w:rsid w:val="00C50695"/>
    <w:pPr>
      <w:spacing w:after="100"/>
      <w:ind w:left="240"/>
    </w:pPr>
  </w:style>
  <w:style w:type="paragraph" w:styleId="TOC3">
    <w:name w:val="toc 3"/>
    <w:basedOn w:val="Normal"/>
    <w:next w:val="Normal"/>
    <w:autoRedefine/>
    <w:uiPriority w:val="39"/>
    <w:unhideWhenUsed/>
    <w:rsid w:val="00C50695"/>
    <w:pPr>
      <w:spacing w:after="100" w:line="278" w:lineRule="auto"/>
      <w:ind w:left="480"/>
    </w:pPr>
    <w:rPr>
      <w:rFonts w:asciiTheme="minorHAnsi" w:eastAsiaTheme="minorEastAsia" w:hAnsiTheme="minorHAnsi" w:cstheme="minorBidi"/>
      <w:kern w:val="2"/>
    </w:rPr>
  </w:style>
  <w:style w:type="paragraph" w:styleId="TOC4">
    <w:name w:val="toc 4"/>
    <w:basedOn w:val="Normal"/>
    <w:next w:val="Normal"/>
    <w:autoRedefine/>
    <w:uiPriority w:val="39"/>
    <w:unhideWhenUsed/>
    <w:rsid w:val="00C50695"/>
    <w:pPr>
      <w:spacing w:after="100" w:line="278" w:lineRule="auto"/>
      <w:ind w:left="720"/>
    </w:pPr>
    <w:rPr>
      <w:rFonts w:asciiTheme="minorHAnsi" w:eastAsiaTheme="minorEastAsia" w:hAnsiTheme="minorHAnsi" w:cstheme="minorBidi"/>
      <w:kern w:val="2"/>
    </w:rPr>
  </w:style>
  <w:style w:type="paragraph" w:styleId="TOC5">
    <w:name w:val="toc 5"/>
    <w:basedOn w:val="Normal"/>
    <w:next w:val="Normal"/>
    <w:autoRedefine/>
    <w:uiPriority w:val="39"/>
    <w:unhideWhenUsed/>
    <w:rsid w:val="00C50695"/>
    <w:pPr>
      <w:spacing w:after="100" w:line="278" w:lineRule="auto"/>
      <w:ind w:left="960"/>
    </w:pPr>
    <w:rPr>
      <w:rFonts w:asciiTheme="minorHAnsi" w:eastAsiaTheme="minorEastAsia" w:hAnsiTheme="minorHAnsi" w:cstheme="minorBidi"/>
      <w:kern w:val="2"/>
    </w:rPr>
  </w:style>
  <w:style w:type="paragraph" w:styleId="TOC6">
    <w:name w:val="toc 6"/>
    <w:basedOn w:val="Normal"/>
    <w:next w:val="Normal"/>
    <w:autoRedefine/>
    <w:uiPriority w:val="39"/>
    <w:unhideWhenUsed/>
    <w:rsid w:val="00C50695"/>
    <w:pPr>
      <w:spacing w:after="100" w:line="278" w:lineRule="auto"/>
      <w:ind w:left="1200"/>
    </w:pPr>
    <w:rPr>
      <w:rFonts w:asciiTheme="minorHAnsi" w:eastAsiaTheme="minorEastAsia" w:hAnsiTheme="minorHAnsi" w:cstheme="minorBidi"/>
      <w:kern w:val="2"/>
    </w:rPr>
  </w:style>
  <w:style w:type="paragraph" w:styleId="TOC7">
    <w:name w:val="toc 7"/>
    <w:basedOn w:val="Normal"/>
    <w:next w:val="Normal"/>
    <w:autoRedefine/>
    <w:uiPriority w:val="39"/>
    <w:unhideWhenUsed/>
    <w:rsid w:val="00C50695"/>
    <w:pPr>
      <w:spacing w:after="100" w:line="278" w:lineRule="auto"/>
      <w:ind w:left="1440"/>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C50695"/>
    <w:pPr>
      <w:spacing w:after="100" w:line="278" w:lineRule="auto"/>
      <w:ind w:left="1680"/>
    </w:pPr>
    <w:rPr>
      <w:rFonts w:asciiTheme="minorHAnsi" w:eastAsiaTheme="minorEastAsia" w:hAnsiTheme="minorHAnsi" w:cstheme="minorBidi"/>
      <w:kern w:val="2"/>
    </w:rPr>
  </w:style>
  <w:style w:type="paragraph" w:styleId="TOC9">
    <w:name w:val="toc 9"/>
    <w:basedOn w:val="Normal"/>
    <w:next w:val="Normal"/>
    <w:autoRedefine/>
    <w:uiPriority w:val="39"/>
    <w:unhideWhenUsed/>
    <w:rsid w:val="00C50695"/>
    <w:pPr>
      <w:spacing w:after="100" w:line="278" w:lineRule="auto"/>
      <w:ind w:left="1920"/>
    </w:pPr>
    <w:rPr>
      <w:rFonts w:asciiTheme="minorHAnsi" w:eastAsiaTheme="minorEastAsia" w:hAnsiTheme="minorHAnsi" w:cstheme="minorBidi"/>
      <w:kern w:val="2"/>
    </w:rPr>
  </w:style>
  <w:style w:type="character" w:styleId="UnresolvedMention">
    <w:name w:val="Unresolved Mention"/>
    <w:basedOn w:val="DefaultParagraphFont"/>
    <w:uiPriority w:val="99"/>
    <w:semiHidden/>
    <w:unhideWhenUsed/>
    <w:rsid w:val="00C506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122</Pages>
  <Words>54772</Words>
  <Characters>340137</Characters>
  <Application>Microsoft Office Word</Application>
  <DocSecurity>0</DocSecurity>
  <Lines>8721</Lines>
  <Paragraphs>4936</Paragraphs>
  <ScaleCrop>false</ScaleCrop>
  <Company/>
  <LinksUpToDate>false</LinksUpToDate>
  <CharactersWithSpaces>389973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DANIEL NSOWAH</cp:lastModifiedBy>
  <cp:revision>11</cp:revision>
  <dcterms:created xsi:type="dcterms:W3CDTF">2026-03-25T09:18:00Z</dcterms:created>
  <dcterms:modified xsi:type="dcterms:W3CDTF">2026-03-27T06:24:00Z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732f334d-e46f-4441-abbe-4cf604504a66</vt:lpwstr>
  </property>
</Properties>
</file>