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00 Core MRV Framework</w:t>
      </w:r>
    </w:p>
    <w:p>
      <w:pPr>
        <w:pStyle w:val="Heading2"/>
      </w:pPr>
      <w:r>
        <w:t>Document Control</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t>Document Property</w:t>
            </w:r>
          </w:p>
        </w:tc>
        <w:tc>
          <w:tcPr>
            <w:tcW w:type="dxa" w:w="4320"/>
          </w:tcPr>
          <w:p>
            <w:r>
              <w:t>Details</w:t>
            </w:r>
          </w:p>
        </w:tc>
      </w:tr>
      <w:tr>
        <w:tc>
          <w:tcPr>
            <w:tcW w:type="dxa" w:w="4320"/>
          </w:tcPr>
          <w:p>
            <w:r>
              <w:t>Version</w:t>
            </w:r>
          </w:p>
        </w:tc>
        <w:tc>
          <w:tcPr>
            <w:tcW w:type="dxa" w:w="4320"/>
          </w:tcPr>
          <w:p>
            <w:r>
              <w:t>1.0</w:t>
            </w:r>
          </w:p>
        </w:tc>
      </w:tr>
      <w:tr>
        <w:tc>
          <w:tcPr>
            <w:tcW w:type="dxa" w:w="4320"/>
          </w:tcPr>
          <w:p>
            <w:r>
              <w:t>Date</w:t>
            </w:r>
          </w:p>
        </w:tc>
        <w:tc>
          <w:tcPr>
            <w:tcW w:type="dxa" w:w="4320"/>
          </w:tcPr>
          <w:p>
            <w:r>
              <w:t>2026-02-20</w:t>
            </w:r>
          </w:p>
        </w:tc>
      </w:tr>
      <w:tr>
        <w:tc>
          <w:tcPr>
            <w:tcW w:type="dxa" w:w="4320"/>
          </w:tcPr>
          <w:p>
            <w:r>
              <w:t>Author</w:t>
            </w:r>
          </w:p>
        </w:tc>
        <w:tc>
          <w:tcPr>
            <w:tcW w:type="dxa" w:w="4320"/>
          </w:tcPr>
          <w:p>
            <w:r>
              <w:t>Ecological Nest Consulting Team</w:t>
            </w:r>
          </w:p>
        </w:tc>
      </w:tr>
      <w:tr>
        <w:tc>
          <w:tcPr>
            <w:tcW w:type="dxa" w:w="4320"/>
          </w:tcPr>
          <w:p>
            <w:r>
              <w:t>Reviewer</w:t>
            </w:r>
          </w:p>
        </w:tc>
        <w:tc>
          <w:tcPr>
            <w:tcW w:type="dxa" w:w="4320"/>
          </w:tcPr>
          <w:p>
            <w:r>
              <w:t>[INSERT REVIEWER]</w:t>
            </w:r>
          </w:p>
        </w:tc>
      </w:tr>
      <w:tr>
        <w:tc>
          <w:tcPr>
            <w:tcW w:type="dxa" w:w="4320"/>
          </w:tcPr>
          <w:p>
            <w:r>
              <w:t>Approval</w:t>
            </w:r>
          </w:p>
        </w:tc>
        <w:tc>
          <w:tcPr>
            <w:tcW w:type="dxa" w:w="4320"/>
          </w:tcPr>
          <w:p>
            <w:r>
              <w:t>[INSERT APPROVER STRUCTURE]</w:t>
            </w:r>
          </w:p>
        </w:tc>
      </w:tr>
    </w:tbl>
    <w:p/>
    <w:p>
      <w:pPr>
        <w:pStyle w:val="Heading1"/>
      </w:pPr>
      <w:r>
        <w:t>1. Strategic Context and Objectives</w:t>
      </w:r>
    </w:p>
    <w:p>
      <w:r>
        <w:t>This Core MRV Framework is designed to support the assessment of Blue Carbon Ecosystems in Ghana (mangrove and tidal salt marsh). Guided by Plan Vivo, it sets the foundation for carbon accounting and governance.</w:t>
      </w:r>
    </w:p>
    <w:p>
      <w:pPr>
        <w:pStyle w:val="Heading1"/>
      </w:pPr>
      <w:r>
        <w:t>2. Scope and Inclusions</w:t>
      </w:r>
    </w:p>
    <w:p>
      <w:r>
        <w:t>Geographic Scope: Volta Estuary (Ada-songor), Keta Lagoon Complex, Greater Amanzule Wetlands, Muni-Pumadze Ramsar Site.</w:t>
      </w:r>
    </w:p>
    <w:p>
      <w:r>
        <w:t>Minimum Area Requirements: Minimum patch size of 2.0 hectares. Smaller areas demonstrating at least 5 ha restoration potential via connectivity will also be considered.</w:t>
      </w:r>
    </w:p>
    <w:p>
      <w:pPr>
        <w:pStyle w:val="Heading1"/>
      </w:pPr>
      <w:r>
        <w:t>3. Governance Structure</w:t>
      </w:r>
    </w:p>
    <w:p>
      <w:r>
        <w:t>The governance is separated across three institutional tiers:</w:t>
      </w:r>
    </w:p>
    <w:p>
      <w:r>
        <w:t>- Community Level: CREMAs acting as Community Change Agents for field monitoring, boundary patrol, and grievance documentation.</w:t>
      </w:r>
    </w:p>
    <w:p>
      <w:r>
        <w:t>- District Level: Wildlife Division, MMDAs, providing field oversight and verification.</w:t>
      </w:r>
    </w:p>
    <w:p>
      <w:r>
        <w:t>- National Level: MLNR and MESTI for final carbon accounting, QA/QC, remote sensing analysis, and investment-grade disclosure.</w:t>
      </w:r>
    </w:p>
    <w:p>
      <w:pPr>
        <w:pStyle w:val="Heading1"/>
      </w:pPr>
      <w:r>
        <w:t>4. Technical Architecture Overview</w:t>
      </w:r>
    </w:p>
    <w:p>
      <w:r>
        <w:t>The MRV operates through functional layers:</w:t>
      </w:r>
    </w:p>
    <w:p>
      <w:r>
        <w:t>1. Ecological and Carbon Integrity: Extent mapping, baseline analysis using Sentinel-2/Landsat 8.</w:t>
      </w:r>
    </w:p>
    <w:p>
      <w:r>
        <w:t>2. Environmental Pressure Surveillance: Tracking degradation, encroachment, and leakage.</w:t>
      </w:r>
    </w:p>
    <w:p>
      <w:r>
        <w:t>3. Governance and Safeguard Assurance: Managing benefit sharing, grievances, and FPIC processes.</w:t>
      </w:r>
    </w:p>
    <w:p>
      <w:pPr>
        <w:pStyle w:val="Heading1"/>
      </w:pPr>
      <w:r>
        <w:t>5. Master List of Annexes</w:t>
      </w:r>
    </w:p>
    <w:p>
      <w:r>
        <w:t>01_MRV_Indicator_Reference_Sheet.docx</w:t>
      </w:r>
    </w:p>
    <w:p>
      <w:r>
        <w:t>02_Carbon_Accounting_Annex.docx</w:t>
      </w:r>
    </w:p>
    <w:p>
      <w:r>
        <w:t>03_Baseline_Additionality_Annex.docx</w:t>
      </w:r>
    </w:p>
    <w:p>
      <w:r>
        <w:t>04_Sampling_Design_and_Statistics_Annex.docx</w:t>
      </w:r>
    </w:p>
    <w:p>
      <w:r>
        <w:t>05_Field_SOP_Biomass_and_Vegetation.docx</w:t>
      </w:r>
    </w:p>
    <w:p>
      <w:r>
        <w:t>06_Field_SOP_Soil_Carbon.docx</w:t>
      </w:r>
    </w:p>
    <w:p>
      <w:r>
        <w:t>07_GIS_Remote_Sensing_SOP.docx</w:t>
      </w:r>
    </w:p>
    <w:p>
      <w:r>
        <w:t>08_QA_QC_and_Uncertainty_Management_Annex.docx</w:t>
      </w:r>
    </w:p>
    <w:p>
      <w:r>
        <w:t>09_Leakage_Assessment_and_Management_Annex.docx</w:t>
      </w:r>
    </w:p>
    <w:p>
      <w:r>
        <w:t>10_Permanence_Risk_and_Reversal_Annex.docx</w:t>
      </w:r>
    </w:p>
    <w:p>
      <w:r>
        <w:t>11_Safeguards_FPIC_Grievance_and_Benefit_Sharing_Annex.docx</w:t>
      </w:r>
    </w:p>
    <w:p>
      <w:r>
        <w:t>12_Data_Governance_and_Information_Security_SOP.docx</w:t>
      </w:r>
    </w:p>
    <w:p>
      <w:r>
        <w:t>13_Monitoring_Schedule_and_Reporting_Plan.docx</w:t>
      </w:r>
    </w:p>
    <w:p>
      <w:r>
        <w:t>14_Templates_and_Forms_Pack.docx</w:t>
      </w:r>
    </w:p>
    <w:p>
      <w:r>
        <w:t>15_MRV_Checklist_Traceability_Matrix.docx</w:t>
      </w:r>
    </w:p>
    <w:p>
      <w:pPr>
        <w:pStyle w:val="Heading1"/>
      </w:pPr>
      <w:r>
        <w:t>6. Acronyms</w:t>
      </w:r>
    </w:p>
    <w:p>
      <w:r>
        <w:t>ACRONYMS:</w:t>
        <w:br/>
        <w:t>MESTI: Ministry of Environment, Science, Technology, and Innovation</w:t>
        <w:br/>
        <w:t>MLNR: Ministry of Lands and Natural Resources</w:t>
        <w:br/>
        <w:t>EPA: Environmental Protection Agency</w:t>
        <w:br/>
        <w:t>WD: Wildlife Division</w:t>
        <w:br/>
        <w:t>FC: Forestry Commission</w:t>
        <w:br/>
        <w:t>CREMA: Community Resource Management Area</w:t>
        <w:br/>
        <w:t>MRV: Monitoring, Reporting, and Verification</w:t>
        <w:br/>
        <w:t>GHG: Greenhouse Gas</w:t>
        <w:br/>
        <w:t>VCS: Verified Carbon Standard</w:t>
        <w:br/>
        <w:t>SOP: Standard Operating Procedure</w:t>
        <w:br/>
        <w:t>QA/QC: Quality Assurance / Quality Control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