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Carbon Accounting Annex (v2)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 (Audit-Ready)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Ecological Nest Consulting Team (GAB Climate Smart Ltd)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Technical Lead / Forest Biometrician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[INSERT APPROVER STRUCTURE]</w:t>
            </w:r>
          </w:p>
        </w:tc>
      </w:tr>
    </w:tbl>
    <w:p/>
    <w:p>
      <w:pPr>
        <w:pStyle w:val="Heading1"/>
      </w:pPr>
      <w:r>
        <w:t>1. Pool Justification and Emission Factors</w:t>
      </w:r>
    </w:p>
    <w:p>
      <w:r>
        <w:t>In alignment with IPCC 2013 Wetlands Supplement and Verra VM0033, Above-Ground Biomass (AGB), Below-Ground Biomass (BGB), and Soil Organic Carbon (SOC) up to 100cm are included. Deadwood and litter are conservatively excluded.</w:t>
      </w:r>
    </w:p>
    <w:p>
      <w:pPr>
        <w:pStyle w:val="Heading1"/>
      </w:pPr>
      <w:r>
        <w:t>2. Allometric Equations</w:t>
      </w:r>
    </w:p>
    <w:p>
      <w:r>
        <w:t>Species-specific, regionally appropriate allometric equations are applied to minimize uncertainty. The primary species in the Volta Estuary and Greater Amanzule regions are Rhizophora mangle and Avicennia germinans.</w:t>
      </w:r>
    </w:p>
    <w:p>
      <w:pPr>
        <w:pStyle w:val="Heading2"/>
      </w:pPr>
      <w:r>
        <w:t>2.1 Rhizophora mangle</w:t>
      </w:r>
    </w:p>
    <w:p>
      <w:r>
        <w:t>AGB (kg) = 0.128 * (DBH^2.60)  [Reference: Komiyama et al., 2005 or equivalent validated equation]</w:t>
      </w:r>
    </w:p>
    <w:p>
      <w:pPr>
        <w:pStyle w:val="Heading2"/>
      </w:pPr>
      <w:r>
        <w:t>2.2 Avicennia germinans</w:t>
      </w:r>
    </w:p>
    <w:p>
      <w:r>
        <w:t>AGB (kg) = 0.140 * (DBH^2.40)  [Reference: Default robust mangrove equation]</w:t>
      </w:r>
    </w:p>
    <w:p>
      <w:pPr>
        <w:pStyle w:val="Heading1"/>
      </w:pPr>
      <w:r>
        <w:t>3. Bulk Density Lab Protocol</w:t>
      </w:r>
    </w:p>
    <w:p>
      <w:r>
        <w:t>Accurate determination of soil bulk density is critical for SOC calculations. The following strict protocol applies:</w:t>
      </w:r>
    </w:p>
    <w:p>
      <w:r>
        <w:t>1. Extract core samples using standard cylinder dimensions to maintain fixed sample volumes.</w:t>
      </w:r>
    </w:p>
    <w:p>
      <w:r>
        <w:t>2. Transfer samples to the laboratory maintaining cold chain-of-custody.</w:t>
      </w:r>
    </w:p>
    <w:p>
      <w:r>
        <w:t>3. Dry the intact core samples in a forced-air oven at exactly 60°C for 72 hours until a constant weight is achieved.</w:t>
      </w:r>
    </w:p>
    <w:p>
      <w:r>
        <w:t>4. Weigh immediately upon removal to prevent moisture re-absorption.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