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GIS and Remote Sensing SOP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[INSERT REVIEWER]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2"/>
      </w:pPr>
      <w:r>
        <w:t>Traceability</w:t>
      </w:r>
    </w:p>
    <w:p>
      <w:r>
        <w:t>This document satisfies the following MRV checklist categories: Carbon Pools, Baseline, Safeguards. Aligned with Core MRV Framework (Doc 00).</w:t>
      </w:r>
    </w:p>
    <w:p/>
    <w:p>
      <w:pPr>
        <w:pStyle w:val="Heading1"/>
      </w:pPr>
      <w:r>
        <w:t>1. Satellite Acquisition Requirements</w:t>
      </w:r>
    </w:p>
    <w:p>
      <w:r>
        <w:t>Primary: Sentinel-2 (10m). Sentinel-1 SAR for cloud penetration during rainy seasons.</w:t>
      </w:r>
    </w:p>
    <w:p>
      <w:r>
        <w:t>Alt: Planet Labs / Maxar for high-res monitoring or drone mapping.</w:t>
      </w:r>
    </w:p>
    <w:p>
      <w:r>
        <w:t>Cloud Rules: Imagery used must be &lt; 10% cloud cover over target parcels.</w:t>
      </w:r>
    </w:p>
    <w:p>
      <w:pPr>
        <w:pStyle w:val="Heading1"/>
      </w:pPr>
      <w:r>
        <w:t>2. Classification &amp; Processing</w:t>
      </w:r>
    </w:p>
    <w:p>
      <w:r>
        <w:t>Random Forest classification algorithm utilized on GEE. Minimum mapping unit is 2.0 ha (per scope), but smaller areas displaying restoration potential of 5 ha will also be classified.</w:t>
      </w:r>
    </w:p>
    <w:p>
      <w:pPr>
        <w:pStyle w:val="Heading1"/>
      </w:pPr>
      <w:r>
        <w:t>3. Accuracy Assessment</w:t>
      </w:r>
    </w:p>
    <w:p>
      <w:r>
        <w:t>Confusion matrix with Producer's and User's accuracy. Overall minimum accuracy threshold must exceed 85%. Ground truthing is conducted quarterly by CREMA CCAs.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