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GIS and Remote Sensing SOP (v2)</w:t>
      </w:r>
    </w:p>
    <w:p>
      <w:pPr>
        <w:pStyle w:val="Heading2"/>
      </w:pPr>
      <w:r>
        <w:t>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Document Property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2.0 (Audit-Ready)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2026-02-20</w:t>
            </w:r>
          </w:p>
        </w:tc>
      </w:tr>
      <w:tr>
        <w:tc>
          <w:tcPr>
            <w:tcW w:type="dxa" w:w="4320"/>
          </w:tcPr>
          <w:p>
            <w:r>
              <w:t>Author</w:t>
            </w:r>
          </w:p>
        </w:tc>
        <w:tc>
          <w:tcPr>
            <w:tcW w:type="dxa" w:w="4320"/>
          </w:tcPr>
          <w:p>
            <w:r>
              <w:t>Ecological Nest Consulting Team (GAB Climate Smart Ltd)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Technical Lead / Forest Biometrician</w:t>
            </w:r>
          </w:p>
        </w:tc>
      </w:tr>
      <w:tr>
        <w:tc>
          <w:tcPr>
            <w:tcW w:type="dxa" w:w="4320"/>
          </w:tcPr>
          <w:p>
            <w:r>
              <w:t>Approval</w:t>
            </w:r>
          </w:p>
        </w:tc>
        <w:tc>
          <w:tcPr>
            <w:tcW w:type="dxa" w:w="4320"/>
          </w:tcPr>
          <w:p>
            <w:r>
              <w:t>[INSERT APPROVER STRUCTURE]</w:t>
            </w:r>
          </w:p>
        </w:tc>
      </w:tr>
    </w:tbl>
    <w:p/>
    <w:p>
      <w:pPr>
        <w:pStyle w:val="Heading1"/>
      </w:pPr>
      <w:r>
        <w:t>1. Satellite Data Standards</w:t>
      </w:r>
    </w:p>
    <w:p>
      <w:r>
        <w:t>Acquisitions must prioritize Sentinel-2 multi-spectral imagery. Analysts must generate cloud-free composites (&lt;10% cloud cover over the AOI) utilizing dry-season captures to minimize tidal and atmospheric distortions.</w:t>
      </w:r>
    </w:p>
    <w:p>
      <w:pPr>
        <w:pStyle w:val="Heading1"/>
      </w:pPr>
      <w:r>
        <w:t>2. Standardized Change Detection</w:t>
      </w:r>
    </w:p>
    <w:p>
      <w:r>
        <w:t>The change detection logic must strictly align with the predefined Baseline strata:</w:t>
      </w:r>
    </w:p>
    <w:p>
      <w:r>
        <w:t>- Apply the standard &gt; 0.25 NDVI threshold mask established in the Sampling Design Annex.</w:t>
      </w:r>
    </w:p>
    <w:p>
      <w:r>
        <w:t>- Calculate net difference arrays annually to monitor loss (deforestation/degradation) against the established baseline reference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