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Permanence Risk and Reversal Annex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2026-02-20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Ecological Nest Consulting Team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[INSERT REVIEWER]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[INSERT APPROVER STRUCTURE]</w:t>
            </w:r>
          </w:p>
        </w:tc>
      </w:tr>
    </w:tbl>
    <w:p/>
    <w:p>
      <w:pPr>
        <w:pStyle w:val="Heading2"/>
      </w:pPr>
      <w:r>
        <w:t>Traceability</w:t>
      </w:r>
    </w:p>
    <w:p>
      <w:r>
        <w:t>This document satisfies the following MRV checklist categories: Permanence. Aligned with Core MRV Framework (Doc 00).</w:t>
      </w:r>
    </w:p>
    <w:p/>
    <w:p>
      <w:pPr>
        <w:pStyle w:val="Heading1"/>
      </w:pPr>
      <w:r>
        <w:t>1. Risk Matrix</w:t>
      </w:r>
    </w:p>
    <w:p>
      <w:r>
        <w:t>Categories evaluated: Natural (Storms/Sea-level rise), Management (Financial constraints), Political, Social (Access conflicts).</w:t>
      </w:r>
    </w:p>
    <w:p>
      <w:pPr>
        <w:pStyle w:val="Heading1"/>
      </w:pPr>
      <w:r>
        <w:t>2. Buffer Approach</w:t>
      </w:r>
    </w:p>
    <w:p>
      <w:r>
        <w:t>The calculated risk rating sets the Buffer Withholding percentage. E.g., a total risk score of 15% means 15% of all quantified sequestered carbon is held in the standard's non-permanence buffer pool.</w:t>
      </w:r>
    </w:p>
    <w:p>
      <w:pPr>
        <w:pStyle w:val="Heading1"/>
      </w:pPr>
      <w:r>
        <w:t>3. Reversal Response</w:t>
      </w:r>
    </w:p>
    <w:p>
      <w:r>
        <w:t>Triggers: Loss of &gt;5% of restored area in a single period requires immediate investigative reporting to the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