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Data Governance and Info Security SOP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[INSERT REVIEWER]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2"/>
      </w:pPr>
      <w:r>
        <w:t>Traceability</w:t>
      </w:r>
    </w:p>
    <w:p>
      <w:r>
        <w:t>This document satisfies the following MRV checklist categories: Data Governance. Aligned with Core MRV Framework (Doc 00).</w:t>
      </w:r>
    </w:p>
    <w:p/>
    <w:p>
      <w:pPr>
        <w:pStyle w:val="Heading1"/>
      </w:pPr>
      <w:r>
        <w:t>1. Data Ownership</w:t>
      </w:r>
    </w:p>
    <w:p>
      <w:r>
        <w:t>Rights to quantified emissions reductions generally belong to the Government (MLNR) except where explicitly devolved. Community data generation guarantees revenue participation clauses.</w:t>
      </w:r>
    </w:p>
    <w:p>
      <w:pPr>
        <w:pStyle w:val="Heading1"/>
      </w:pPr>
      <w:r>
        <w:t>2. System Access Control</w:t>
      </w:r>
    </w:p>
    <w:p>
      <w:r>
        <w:t>National platforms implement role-based access. Community level inputs field parameters, District validates, National overrides and aggregates.</w:t>
      </w:r>
    </w:p>
    <w:p>
      <w:pPr>
        <w:pStyle w:val="Heading1"/>
      </w:pPr>
      <w:r>
        <w:t>3. File Structuring</w:t>
      </w:r>
    </w:p>
    <w:p>
      <w:r>
        <w:t>Required Structure:</w:t>
      </w:r>
    </w:p>
    <w:p>
      <w:r>
        <w:t xml:space="preserve">  Project/[Location]/[Year]/Field_Data/</w:t>
      </w:r>
    </w:p>
    <w:p>
      <w:r>
        <w:t>Naming Convention: [SiteCode]_[DataType]_[YYYYMMDD].xls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