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B83" w:rsidRPr="00470B83" w:rsidRDefault="00470B83" w:rsidP="00470B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470B83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OSPF - Open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Shortest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Path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First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protocol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</w:t>
      </w:r>
    </w:p>
    <w:p w:rsidR="00470B83" w:rsidRPr="00470B83" w:rsidRDefault="00470B83" w:rsidP="00470B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Alessio Carta </w:t>
      </w:r>
    </w:p>
    <w:p w:rsidR="00470B83" w:rsidRPr="00470B83" w:rsidRDefault="00470B83" w:rsidP="00470B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" w:history="1">
        <w:r w:rsidRPr="00470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Networking</w:t>
        </w:r>
      </w:hyperlink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470B83" w:rsidRPr="00470B83" w:rsidRDefault="00470B83" w:rsidP="00470B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Read Time: 8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mins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470B83" w:rsidRPr="00470B83" w:rsidRDefault="00470B83" w:rsidP="00470B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Ultima modifica: 18 </w:t>
      </w:r>
      <w:proofErr w:type="gram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Giugno</w:t>
      </w:r>
      <w:proofErr w:type="gram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2019 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OSPF, Open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Shortest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Path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First, è un protocollo di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routing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tipo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Link State,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così classificato in </w:t>
      </w:r>
      <w:proofErr w:type="gram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quanto  trasferisce</w:t>
      </w:r>
      <w:proofErr w:type="gram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 informazioni di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routing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tutti i router della rete. Appartiene inoltre alla classe dei protocolli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IGP 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Interior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Gateway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Protocol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), per il fatto di operare all’interno di uno stesso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Autonomous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System (AS).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Permette l’IP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subnetting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, l’aggregazione delle rotte (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route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summarization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e la tecnica VLSM,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variable-Lenght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Subnet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Mask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C’è da evidenziare che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l’aggregazione delle rotte non viene effettuata in maniera predefinita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: la funzione deve essere abilitata manualmente dall’amministratore.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470B83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Le principali differenze tra gli algoritmi Link State, come OSPF, e quelli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Distance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Vector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, come RIP, sono costituite dal fatto che i Link State informano tutti i router della rete sulla completa topologia e sui ritardi, richiedendo così un tempo minore per convergere ad una soluzione stabile, mentre i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Distance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Vector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 inviano l’intera tabella di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routing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 ai soli router vicini e non conoscono l'intero percorso verso una destinazione.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router OSPF stabiliscono e mantengono un rapporto di relazione con i vicini, tecnicamente detto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adjacency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(adiacenza o contiguità). Dopo l’inizializzazione o a seguito di qualche cambiamento nel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routing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un router con OSPF attivo genera degli annunci, detti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LSA 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Link State Advertisement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), contenenti informazioni topologiche sulla rete. Tramite un processo detto di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flooding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gli annunci vengono scambiati con tutti i router della rete. Non appena un router riceve gli LSA, crea un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Link-State Database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cui applica l'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algoritmo SPF 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Shortest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Path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First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di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Dijkstra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creare un albero della topologia di rete, o più semplicemente una mappa della rete. Ogni router crea un Link-State Database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e costruisce il proprio albero SPF a partire dalle stesse informazioni link-state; tuttavia ognuno genera una propria vista della topologia di rete, diversa da quella creata sugli altri router.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Inizialmente, ogni router identifica </w:t>
      </w:r>
      <w:proofErr w:type="gram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se</w:t>
      </w:r>
      <w:proofErr w:type="gram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stesso come radice dell’albero; poi, a partire da questa root, l’algoritmo identifica il percorso più breve per ogni destinazione, con il relativo costo.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Schematizzando, ciascun router con OSPF deve:</w:t>
      </w:r>
    </w:p>
    <w:p w:rsidR="00470B83" w:rsidRPr="00470B83" w:rsidRDefault="00470B83" w:rsidP="00470B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scoprire l'indirizzo di ogni router vicino;</w:t>
      </w:r>
    </w:p>
    <w:p w:rsidR="00470B83" w:rsidRPr="00470B83" w:rsidRDefault="00470B83" w:rsidP="00470B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misurare il costo necessario per raggiungere ciascun router vicino;</w:t>
      </w:r>
    </w:p>
    <w:p w:rsidR="00470B83" w:rsidRPr="00470B83" w:rsidRDefault="00470B83" w:rsidP="00470B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inviare un messaggio a tutti i router diffondendo le informazioni acquisite;</w:t>
      </w:r>
    </w:p>
    <w:p w:rsidR="00470B83" w:rsidRPr="00470B83" w:rsidRDefault="00470B83" w:rsidP="00470B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calcolare, in locale, il cammino minimo verso ogni altro router utilizzando l’algoritmo SPF sviluppato da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Dijkstra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70B8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Scoperta dei vicini 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conoscere l'intera topologia di una rete, ogni router invia un pacchetto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Hello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tutte le connessioni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point-to-point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disponibili e riceve come risposta, dai router direttamente connessi, il loro identificativo, detto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Router ID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Il tempo che trascorre tra l'invio di due pacchetti Hello è regolato dal campo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Hello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Interval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di default 10" su reti Ethernet e sui link seriali punto-punto, 30" sulle reti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Multiaccess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come Frame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Relay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Il tempo massimo in cui un router attende l'Hello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Packet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regolato dal campo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Dead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Interval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di default 40" su reti Ethernet e sui link seriali punto-punto, 120" sulle reti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Multiaccess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come Frame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Relay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quindi valori quadrupli rispetto all'Hello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Interval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Per calcolare il costo di connessione con i router vicini, è utilizzato un pacchetto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Echo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cui si misura il tempo necessario ad ottenere risposta.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Prima di raggiungere la “perfetta” conoscenza dei vicini, detta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neighbor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adjacency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, il router passa attraverso vari cambiamenti di stato:</w:t>
      </w:r>
    </w:p>
    <w:p w:rsidR="00470B83" w:rsidRPr="00470B83" w:rsidRDefault="00470B83" w:rsidP="00470B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Init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- In questo stato il router ha ricevuto un primo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Hello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Packet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dal vicino; restituisce quindi un pacchetto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ACK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contenente l'ID di quel vicino, un numero di serie e la lista dei vicini conosciuti (ciascuno con la stima di costo associata).</w:t>
      </w:r>
    </w:p>
    <w:p w:rsidR="00470B83" w:rsidRPr="00470B83" w:rsidRDefault="00470B83" w:rsidP="00470B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2-Way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 si raggiunge lo stato 2-way quando il router vede il proprio ID all’interno del pacchetto Hello ricevuto.  A questo punto il router decide se stabilire un rapporto di relazione (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adjacency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) con il vicino.</w:t>
      </w:r>
    </w:p>
    <w:p w:rsidR="00470B83" w:rsidRPr="00470B83" w:rsidRDefault="00470B83" w:rsidP="00470B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Exstart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 I router stabiliscono una relazione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master-slave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scelgono un numero di sequenza iniziale per formare l’adiacenza. Tra due router, quello con l’ID maggiore diventa master e fa partire lo stato di Exchange.</w:t>
      </w:r>
    </w:p>
    <w:p w:rsidR="00470B83" w:rsidRPr="00470B83" w:rsidRDefault="00470B83" w:rsidP="00470B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Exchange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 I router scambiano i pacchetti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DBD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(Database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Descriptor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), che contengono le intestazioni degli annunci link-state (LSA).  I pacchetti DBD hanno un numero di sequenza che può essere incrementato solo dal router master.</w:t>
      </w:r>
    </w:p>
    <w:p w:rsidR="00470B83" w:rsidRPr="00470B83" w:rsidRDefault="00470B83" w:rsidP="00470B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Loading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 In base alle informazioni fornite dai pacchetti DBD, i router inviano richieste link-state per avere informazioni specifiche. I vicini forniscono queste informazioni con aggiornamenti link-state (update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packets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:rsidR="00470B83" w:rsidRPr="00470B83" w:rsidRDefault="00470B83" w:rsidP="00470B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Full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 Tutti i router hanno scambiato gli LSA ed i loro database sono sincronizzati. Lo stato di Full è quello ritenuto normale per un router OSPF. Se un router è bloccato in un altro stato, vuol dire che c’è un problema. 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Lo stato di full, e quindi la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neighbor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adjacency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due router, è possibile solo se si verificano tutte le condizioni seguenti:</w:t>
      </w:r>
    </w:p>
    <w:p w:rsidR="00470B83" w:rsidRPr="00470B83" w:rsidRDefault="00470B83" w:rsidP="00470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I router hanno ID diversi;</w:t>
      </w:r>
    </w:p>
    <w:p w:rsidR="00470B83" w:rsidRPr="00470B83" w:rsidRDefault="00470B83" w:rsidP="00470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l'Hello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Interval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lo stesso (di default 10" su reti Ethernet e sui link seriali punto-punto, 30" sulle reti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Multiaccess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come Frame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Relay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);</w:t>
      </w:r>
    </w:p>
    <w:p w:rsidR="00470B83" w:rsidRPr="00470B83" w:rsidRDefault="00470B83" w:rsidP="00470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Dead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Interrval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lo stesso (tempo massimo in secondi in cui si attende l'Hello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Packet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valore quadruplo rispetto all'Hello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Interval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470B83" w:rsidRPr="00470B83" w:rsidRDefault="00470B83" w:rsidP="00470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l'Area di appartenenza è la stessa (tipicamente Area 0);</w:t>
      </w:r>
    </w:p>
    <w:p w:rsidR="00470B83" w:rsidRPr="00470B83" w:rsidRDefault="00470B83" w:rsidP="00470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rete è la stessa (ossia i router comunicano a livello IP e concordano sulla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subnet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mask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70B8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Elezione dei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Designated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Router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Nei collegamenti punto-punto, a parte le condizioni elencate, non vi sono problemi per stabilire adiacenze, poiché per definizione sul link possono essere presenti solo due router. Al contrario, in una rete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multiaccess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ovvero in un segmento di rete dove sono collegati più router, un router può raggiungere lo stato di full solo con un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router designato (DR,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Designated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Router)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un router di backup designato (BDR, Backup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Designated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Router)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Lo scopo di avere un router designato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DR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ed un router di backup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BDR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quello di ridurre il numero di aggiornamenti trasmessi, il flusso di traffico non necessario ed il sovraccarico di elaborazione; i router possono accettare aggiornamenti solo dal DR. In ogni segmento di rete vi possono essere un solo DR ed un solo BDR. Tutti gli altri 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router assumono il ruolo di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DROther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(altro dal DR) e devono avere una connessione con il DR e il BDR. Quando un link non funziona, il router con tale informazione invia l’aggiornamento al DR utilizzando l’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indirizzo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multicast</w:t>
      </w:r>
      <w:proofErr w:type="spellEnd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224.0.0.6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a sua volta il DR è incaricato di distribuire il cambiamento a tutti gli altri router OSPF, sempre in </w:t>
      </w:r>
      <w:proofErr w:type="gram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multi cast</w:t>
      </w:r>
      <w:proofErr w:type="gram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, ma all’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indirizzo 224.0.0.5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. Oltre a ridurre il numero di aggiornamenti inviati attraverso la rete, questo processo assicura che tutti i router ricevano le stesse informazioni nello stesso momento e da una singola fonte. Il DR mantiene il suo ruolo sino ad un eventuale fallimento: se il DR fallisce, il BDR prende il suo posto, e verrà eletto un nuovo BDR. Il DR può fallire perché il processo OSPF si arresta o riparte, o perché la sua interfaccia LAN diventa “down”.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All'interno della rete,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router con l'ID più alto viene eletto DR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il secondo più alto viene eletto BDR. Il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router ID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è altro che un indirizzo IP, scelto in questo modo:</w:t>
      </w:r>
    </w:p>
    <w:p w:rsidR="00470B83" w:rsidRPr="00470B83" w:rsidRDefault="00470B83" w:rsidP="00470B8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impostandolo tramite comando (router-ID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command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) sul router;</w:t>
      </w:r>
    </w:p>
    <w:p w:rsidR="00470B83" w:rsidRPr="00470B83" w:rsidRDefault="00470B83" w:rsidP="00470B8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nessun valore è impostato manualmente dall’amministratore, viene utilizzato il più alto indirizzo IP configurato sulle interfacce di </w:t>
      </w:r>
      <w:proofErr w:type="spellStart"/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loopback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:rsidR="00470B83" w:rsidRPr="00470B83" w:rsidRDefault="00470B83" w:rsidP="00470B8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nessuna interfaccia di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loopback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configurata, viene utilizzato il più alto indirizzo IP sulle interfacce fisiche attive.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Nell’esempio qui sotto possiamo vedere quali sono i router-ID di ogni apparato </w:t>
      </w:r>
      <w:proofErr w:type="gram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e ,</w:t>
      </w:r>
      <w:proofErr w:type="gram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ogni segmento di rete, qual è il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designated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router (DR):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943600" cy="42367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Nel caso in cui l’amministratore di rete lo desideri, può forzare l’elezione del DR e del BDR configurando la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priorità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ciascun router. In maniera predefinita, i router OSPF hanno una priorità 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con valore 1; se la priorità viene cambiata, il router con la priorità più alta vince l’elezione indipendentemente dal router-ID. Il massimo valore di priorità è 255; un valore pari a 0 significa che il router non partecipa all’elezione.</w:t>
      </w:r>
    </w:p>
    <w:p w:rsidR="00470B83" w:rsidRPr="00470B83" w:rsidRDefault="00470B83" w:rsidP="0047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470B83" w:rsidRPr="00470B83" w:rsidRDefault="00470B83" w:rsidP="00470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70B8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Metrica</w:t>
      </w:r>
    </w:p>
    <w:p w:rsidR="00470B83" w:rsidRPr="00470B83" w:rsidRDefault="00470B83" w:rsidP="0047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OSPF calcola il costo della metrica basandosi sulla larghezza di banda e la velocità di un collegamento specifico. L'equazione utilizzata per calcolare il costo di un collegamento OSPF è: 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Costo = 100.000.000 / larghezza di banda del link in bps</w:t>
      </w:r>
    </w:p>
    <w:p w:rsidR="00470B83" w:rsidRPr="00470B83" w:rsidRDefault="00470B83" w:rsidP="00470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I risultati di quest’equazione, applicata ai vari tipi di collegamento, sono mostrati in tabella: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20130" cy="17049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Utilizzando questa equazione si presenta un problema con le velocità di connessione superiori a 100 Mbps, come Fast Ethernet e Gigabit Ethernet. Entrambi questi due link hanno valore di 1; per compensare questo problema (dovuto all’età del protocollo), sui router si può configurare manualmente il valore di costo dell’interfaccia.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70B8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Aree OSPF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Una rete con protocollo OSPF attivo viene inizialmente identificata come </w:t>
      </w:r>
      <w:r w:rsidRPr="00470B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AREA 0</w:t>
      </w: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. Nel caso di espansione della rete, possono essere create altre aree adiacenti all’area 0, con valori compresi nell'intervallo 0-4294967295. Il massimo numero di router presenti in un’area è 50.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OSPF ha una gerarchia su </w:t>
      </w:r>
      <w:proofErr w:type="gram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2</w:t>
      </w:r>
      <w:proofErr w:type="gram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livelli:</w:t>
      </w:r>
    </w:p>
    <w:p w:rsidR="00470B83" w:rsidRPr="00470B83" w:rsidRDefault="00470B83" w:rsidP="00470B8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Area 0, spesso chiamata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backbone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area, è presente al livello superiore</w:t>
      </w:r>
    </w:p>
    <w:p w:rsidR="00470B83" w:rsidRPr="00470B83" w:rsidRDefault="00470B83" w:rsidP="00470B8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altre aree sono al livello inferiore, dipendenti dall’area 0, a cui sono direttamente connesse. 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gruppo di aree genera un sistema autonomo OSPF (OSPF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Autonomous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System). L'instradamento dei pacchetti effettuato da OSPF non è circoscritto ai router appartenenti ad una certa area, ma è da intendersi esteso a tutto l'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Autonomous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System.</w:t>
      </w:r>
    </w:p>
    <w:p w:rsidR="00470B83" w:rsidRPr="00470B83" w:rsidRDefault="00470B83" w:rsidP="00470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La divisione in aree fa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si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se all’interno di un’area si verifica un cambiamento nella topologia di rete, solo i router all’interno di quell’area riceveranno gli LSA ed applicheranno l’algoritmo SPF. Un router che permette il collegamento di un’area specifica all’AREA 0 è chiamato Area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Border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Router (ABR). Un router che permette il collegamento di un’area ad un’altra rete con protocollo di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routing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diverso da OSPF, ad esempio EIGRP, è chiamato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Autonomous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System </w:t>
      </w:r>
      <w:proofErr w:type="spellStart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>Border</w:t>
      </w:r>
      <w:proofErr w:type="spellEnd"/>
      <w:r w:rsidRPr="00470B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Router (ASBR).</w:t>
      </w:r>
    </w:p>
    <w:p w:rsidR="007A79EB" w:rsidRDefault="007A79EB">
      <w:bookmarkStart w:id="0" w:name="_GoBack"/>
      <w:bookmarkEnd w:id="0"/>
    </w:p>
    <w:sectPr w:rsidR="007A79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6460"/>
    <w:multiLevelType w:val="multilevel"/>
    <w:tmpl w:val="00D6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C3ACA"/>
    <w:multiLevelType w:val="multilevel"/>
    <w:tmpl w:val="325A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22A6E"/>
    <w:multiLevelType w:val="multilevel"/>
    <w:tmpl w:val="00C0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75E4A"/>
    <w:multiLevelType w:val="multilevel"/>
    <w:tmpl w:val="329E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41B26"/>
    <w:multiLevelType w:val="multilevel"/>
    <w:tmpl w:val="6DFA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83"/>
    <w:rsid w:val="00470B83"/>
    <w:rsid w:val="007A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9261C-DFF8-49DA-A9B9-AC3D73EF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470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470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470B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0B8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70B8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70B83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70B83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47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70B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netsetup.it/network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1526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fausto.bartolucci@cobianchi.it</dc:creator>
  <cp:keywords/>
  <dc:description/>
  <cp:lastModifiedBy>fausto.bartolucci@cobianchi.it</cp:lastModifiedBy>
  <cp:revision>1</cp:revision>
  <dcterms:created xsi:type="dcterms:W3CDTF">2020-01-09T09:04:00Z</dcterms:created>
  <dcterms:modified xsi:type="dcterms:W3CDTF">2020-01-09T09:08:00Z</dcterms:modified>
</cp:coreProperties>
</file>