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0860" w14:textId="77777777" w:rsidR="00493D0B" w:rsidRPr="00493D0B" w:rsidRDefault="00493D0B" w:rsidP="00493D0B">
      <w:r w:rsidRPr="00493D0B">
        <w:rPr>
          <w:b/>
          <w:bCs/>
        </w:rPr>
        <w:t>CONFIDENTIAL</w:t>
      </w:r>
      <w:r w:rsidRPr="00493D0B">
        <w:t xml:space="preserve"> </w:t>
      </w:r>
      <w:r w:rsidRPr="00493D0B">
        <w:rPr>
          <w:b/>
          <w:bCs/>
        </w:rPr>
        <w:t>TO:</w:t>
      </w:r>
      <w:r w:rsidRPr="00493D0B">
        <w:t xml:space="preserve"> The Governor, Central Bank of Kenya</w:t>
      </w:r>
    </w:p>
    <w:p w14:paraId="562A30A0" w14:textId="56DE0FF4" w:rsidR="00493D0B" w:rsidRPr="00493D0B" w:rsidRDefault="00493D0B" w:rsidP="00493D0B">
      <w:r w:rsidRPr="00493D0B">
        <w:rPr>
          <w:b/>
          <w:bCs/>
        </w:rPr>
        <w:t>FROM:</w:t>
      </w:r>
      <w:r w:rsidR="00BB7F37">
        <w:rPr>
          <w:b/>
          <w:bCs/>
        </w:rPr>
        <w:t xml:space="preserve"> </w:t>
      </w:r>
      <w:r w:rsidRPr="00493D0B">
        <w:t xml:space="preserve"> </w:t>
      </w:r>
      <w:r w:rsidR="00BB7F37">
        <w:t>Stephen Munene (Policy Analysis Unit)</w:t>
      </w:r>
    </w:p>
    <w:p w14:paraId="2B985D97" w14:textId="77777777" w:rsidR="00493D0B" w:rsidRPr="00493D0B" w:rsidRDefault="00493D0B" w:rsidP="00493D0B">
      <w:r w:rsidRPr="00493D0B">
        <w:rPr>
          <w:b/>
          <w:bCs/>
        </w:rPr>
        <w:t>DATE:</w:t>
      </w:r>
      <w:r w:rsidRPr="00493D0B">
        <w:t xml:space="preserve"> March 21, 2026</w:t>
      </w:r>
    </w:p>
    <w:p w14:paraId="0F4B402D" w14:textId="77777777" w:rsidR="00493D0B" w:rsidRPr="00493D0B" w:rsidRDefault="00493D0B" w:rsidP="00493D0B">
      <w:r w:rsidRPr="00493D0B">
        <w:rPr>
          <w:b/>
          <w:bCs/>
        </w:rPr>
        <w:t>SUBJECT:</w:t>
      </w:r>
      <w:r w:rsidRPr="00493D0B">
        <w:t xml:space="preserve"> Retrospective Analysis of Inflation Volatility (1960–2024): A Statistical Risk Audit</w:t>
      </w:r>
    </w:p>
    <w:p w14:paraId="54E9BB6A" w14:textId="77777777" w:rsidR="00493D0B" w:rsidRPr="00493D0B" w:rsidRDefault="00493D0B" w:rsidP="00493D0B">
      <w:r w:rsidRPr="00493D0B">
        <w:pict w14:anchorId="3EAEE286">
          <v:rect id="_x0000_i1037" style="width:0;height:1.5pt" o:hralign="center" o:hrstd="t" o:hr="t" fillcolor="#a0a0a0" stroked="f"/>
        </w:pict>
      </w:r>
    </w:p>
    <w:p w14:paraId="25C7ACC6" w14:textId="77777777" w:rsidR="00493D0B" w:rsidRPr="00493D0B" w:rsidRDefault="00493D0B" w:rsidP="00493D0B">
      <w:pPr>
        <w:rPr>
          <w:b/>
          <w:bCs/>
        </w:rPr>
      </w:pPr>
      <w:r w:rsidRPr="00493D0B">
        <w:rPr>
          <w:b/>
          <w:bCs/>
        </w:rPr>
        <w:t>1. Executive Summary</w:t>
      </w:r>
    </w:p>
    <w:p w14:paraId="783BE48B" w14:textId="77777777" w:rsidR="00493D0B" w:rsidRPr="00493D0B" w:rsidRDefault="00493D0B" w:rsidP="00493D0B">
      <w:r w:rsidRPr="00493D0B">
        <w:t xml:space="preserve">This memorandum provides a quantitative "health check" of Kenya's price stability over the last 65 years. By applying a </w:t>
      </w:r>
      <w:r w:rsidRPr="00493D0B">
        <w:rPr>
          <w:b/>
          <w:bCs/>
        </w:rPr>
        <w:t>Z-score framework</w:t>
      </w:r>
      <w:r w:rsidRPr="00493D0B">
        <w:t>—a method of measuring how "abnormal" a year is relative to history—we have identified the structural DNA of Kenyan inflation.</w:t>
      </w:r>
    </w:p>
    <w:p w14:paraId="2CBBA6AD" w14:textId="77777777" w:rsidR="00493D0B" w:rsidRPr="00493D0B" w:rsidRDefault="00493D0B" w:rsidP="00493D0B">
      <w:r w:rsidRPr="00493D0B">
        <w:t>Our findings indicate that while the CBK has successfully anchored inflation in recent years, the historical "DNA" of the Shilling is characterized by high volatility and a tendency for sudden, extreme upward shocks (Right-Skewness).</w:t>
      </w:r>
    </w:p>
    <w:p w14:paraId="35F61031" w14:textId="77777777" w:rsidR="00493D0B" w:rsidRPr="00493D0B" w:rsidRDefault="00493D0B" w:rsidP="00493D0B">
      <w:r w:rsidRPr="00493D0B">
        <w:pict w14:anchorId="5635084B">
          <v:rect id="_x0000_i1038" style="width:0;height:1.5pt" o:hralign="center" o:hrstd="t" o:hr="t" fillcolor="#a0a0a0" stroked="f"/>
        </w:pict>
      </w:r>
    </w:p>
    <w:p w14:paraId="3BD7FD5F" w14:textId="77777777" w:rsidR="00493D0B" w:rsidRPr="00493D0B" w:rsidRDefault="00493D0B" w:rsidP="00493D0B">
      <w:pPr>
        <w:rPr>
          <w:b/>
          <w:bCs/>
        </w:rPr>
      </w:pPr>
      <w:r w:rsidRPr="00493D0B">
        <w:rPr>
          <w:b/>
          <w:bCs/>
        </w:rPr>
        <w:t>2. The "DNA" of Kenyan Inflation</w:t>
      </w:r>
    </w:p>
    <w:p w14:paraId="681FE99F" w14:textId="77777777" w:rsidR="00493D0B" w:rsidRPr="00493D0B" w:rsidRDefault="00493D0B" w:rsidP="00493D0B">
      <w:r w:rsidRPr="00493D0B">
        <w:t>To understand where we are going, we must define our historical baseline.</w:t>
      </w:r>
    </w:p>
    <w:p w14:paraId="2B5256E0" w14:textId="77777777" w:rsidR="00493D0B" w:rsidRPr="00493D0B" w:rsidRDefault="00493D0B" w:rsidP="00493D0B">
      <w:pPr>
        <w:numPr>
          <w:ilvl w:val="0"/>
          <w:numId w:val="1"/>
        </w:numPr>
      </w:pPr>
      <w:r w:rsidRPr="00493D0B">
        <w:rPr>
          <w:b/>
          <w:bCs/>
        </w:rPr>
        <w:t>The Anchor (Mean):</w:t>
      </w:r>
      <w:r w:rsidRPr="00493D0B">
        <w:t xml:space="preserve"> Since 1960, Kenya’s average annual inflation has been </w:t>
      </w:r>
      <w:r w:rsidRPr="00493D0B">
        <w:rPr>
          <w:b/>
          <w:bCs/>
        </w:rPr>
        <w:t>9.7%</w:t>
      </w:r>
      <w:r w:rsidRPr="00493D0B">
        <w:t>.</w:t>
      </w:r>
    </w:p>
    <w:p w14:paraId="10DB8840" w14:textId="77777777" w:rsidR="00493D0B" w:rsidRPr="00493D0B" w:rsidRDefault="00493D0B" w:rsidP="00493D0B">
      <w:pPr>
        <w:numPr>
          <w:ilvl w:val="0"/>
          <w:numId w:val="1"/>
        </w:numPr>
      </w:pPr>
      <w:r w:rsidRPr="00493D0B">
        <w:rPr>
          <w:b/>
          <w:bCs/>
        </w:rPr>
        <w:t>The Volatility (Standard Deviation):</w:t>
      </w:r>
      <w:r w:rsidRPr="00493D0B">
        <w:t xml:space="preserve"> Our "swing factor" is </w:t>
      </w:r>
      <w:r w:rsidRPr="00493D0B">
        <w:rPr>
          <w:b/>
          <w:bCs/>
        </w:rPr>
        <w:t>7.98%</w:t>
      </w:r>
      <w:r w:rsidRPr="00493D0B">
        <w:t>. In practical terms, this means that in any given year, it is "statistically normal" for inflation to fluctuate wildly between 1.7% and 17.7%.</w:t>
      </w:r>
    </w:p>
    <w:p w14:paraId="069B31A0" w14:textId="7B654A13" w:rsidR="000F6A63" w:rsidRDefault="00493D0B">
      <w:r>
        <w:rPr>
          <w:noProof/>
        </w:rPr>
        <w:drawing>
          <wp:inline distT="0" distB="0" distL="0" distR="0" wp14:anchorId="16788B24" wp14:editId="0D21C04B">
            <wp:extent cx="5943600" cy="2773045"/>
            <wp:effectExtent l="0" t="0" r="0" b="8255"/>
            <wp:docPr id="43202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94304" w14:textId="77777777" w:rsidR="00493D0B" w:rsidRPr="00493D0B" w:rsidRDefault="00493D0B" w:rsidP="00493D0B">
      <w:pPr>
        <w:rPr>
          <w:b/>
          <w:bCs/>
        </w:rPr>
      </w:pPr>
      <w:r w:rsidRPr="00493D0B">
        <w:rPr>
          <w:b/>
          <w:bCs/>
        </w:rPr>
        <w:lastRenderedPageBreak/>
        <w:t>3. Identification of "Black Swan" Events (Risk Audit)</w:t>
      </w:r>
    </w:p>
    <w:p w14:paraId="0C6CC640" w14:textId="77777777" w:rsidR="00493D0B" w:rsidRPr="00493D0B" w:rsidRDefault="00493D0B" w:rsidP="00493D0B">
      <w:r w:rsidRPr="00493D0B">
        <w:t xml:space="preserve">We utilized </w:t>
      </w:r>
      <w:r w:rsidRPr="00493D0B">
        <w:rPr>
          <w:b/>
          <w:bCs/>
        </w:rPr>
        <w:t>Z-scores</w:t>
      </w:r>
      <w:r w:rsidRPr="00493D0B">
        <w:t xml:space="preserve"> to flag years that were mathematically "Extreme." A Z-score of +2.0 or higher represents a crisis that occurs less than 5% of the time.</w:t>
      </w:r>
    </w:p>
    <w:p w14:paraId="43FE37E7" w14:textId="77777777" w:rsidR="00493D0B" w:rsidRPr="00493D0B" w:rsidRDefault="00493D0B" w:rsidP="00493D0B">
      <w:pPr>
        <w:numPr>
          <w:ilvl w:val="0"/>
          <w:numId w:val="2"/>
        </w:numPr>
      </w:pPr>
      <w:r w:rsidRPr="00493D0B">
        <w:rPr>
          <w:b/>
          <w:bCs/>
        </w:rPr>
        <w:t>The 1993 Hyper-Shock (Z = 4.54):</w:t>
      </w:r>
      <w:r w:rsidRPr="00493D0B">
        <w:t xml:space="preserve"> This remains the greatest outlier in our recorded history. With inflation at 45.9%, this was a "4-Sigma" event—statistically, something that should almost never happen. It serves as a reminder of the risks of rapid money supply expansion.</w:t>
      </w:r>
    </w:p>
    <w:p w14:paraId="0AB36AAB" w14:textId="77777777" w:rsidR="00493D0B" w:rsidRPr="00493D0B" w:rsidRDefault="00493D0B" w:rsidP="00493D0B">
      <w:pPr>
        <w:numPr>
          <w:ilvl w:val="0"/>
          <w:numId w:val="2"/>
        </w:numPr>
      </w:pPr>
      <w:r w:rsidRPr="00493D0B">
        <w:rPr>
          <w:b/>
          <w:bCs/>
        </w:rPr>
        <w:t>The 2008 Supply Shock (Z = 2.07):</w:t>
      </w:r>
      <w:r w:rsidRPr="00493D0B">
        <w:t xml:space="preserve"> The post-election crisis and global oil spike pushed us into the "High Risk" zone, proving how external shocks can break our internal stability.</w:t>
      </w:r>
    </w:p>
    <w:p w14:paraId="7A13C260" w14:textId="4D4E6849" w:rsidR="00493D0B" w:rsidRDefault="00493D0B">
      <w:r>
        <w:rPr>
          <w:noProof/>
        </w:rPr>
        <w:drawing>
          <wp:inline distT="0" distB="0" distL="0" distR="0" wp14:anchorId="58B40A2B" wp14:editId="4788C052">
            <wp:extent cx="5943600" cy="2929255"/>
            <wp:effectExtent l="0" t="0" r="0" b="4445"/>
            <wp:docPr id="125157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8410" w14:textId="77777777" w:rsidR="00493D0B" w:rsidRDefault="00493D0B"/>
    <w:p w14:paraId="29174B92" w14:textId="77777777" w:rsidR="00493D0B" w:rsidRDefault="00493D0B"/>
    <w:p w14:paraId="37725FB0" w14:textId="77777777" w:rsidR="00493D0B" w:rsidRPr="00493D0B" w:rsidRDefault="00493D0B" w:rsidP="00493D0B">
      <w:pPr>
        <w:rPr>
          <w:b/>
          <w:bCs/>
        </w:rPr>
      </w:pPr>
      <w:r w:rsidRPr="00493D0B">
        <w:rPr>
          <w:b/>
          <w:bCs/>
        </w:rPr>
        <w:t>4. Policy Implications &amp; Realism</w:t>
      </w:r>
    </w:p>
    <w:p w14:paraId="39CDAEEA" w14:textId="77777777" w:rsidR="00493D0B" w:rsidRPr="00493D0B" w:rsidRDefault="00493D0B" w:rsidP="00493D0B">
      <w:r w:rsidRPr="00493D0B">
        <w:t xml:space="preserve">The current CBK target of </w:t>
      </w:r>
      <w:r w:rsidRPr="00493D0B">
        <w:rPr>
          <w:b/>
          <w:bCs/>
        </w:rPr>
        <w:t>5.0% ± 2.5%</w:t>
      </w:r>
      <w:r w:rsidRPr="00493D0B">
        <w:t xml:space="preserve"> is an ambitious departure from our 65-year history.</w:t>
      </w:r>
    </w:p>
    <w:p w14:paraId="22BC27E4" w14:textId="77777777" w:rsidR="00493D0B" w:rsidRPr="00493D0B" w:rsidRDefault="00493D0B" w:rsidP="00493D0B">
      <w:pPr>
        <w:numPr>
          <w:ilvl w:val="0"/>
          <w:numId w:val="3"/>
        </w:numPr>
      </w:pPr>
      <w:r w:rsidRPr="00493D0B">
        <w:rPr>
          <w:b/>
          <w:bCs/>
        </w:rPr>
        <w:t>The "Efficiency" Gap:</w:t>
      </w:r>
      <w:r w:rsidRPr="00493D0B">
        <w:t xml:space="preserve"> Our current target (max 7.5%) is significantly lower than our historical average (9.7%). This confirms that the modern CBK is far more "hawkish" and disciplined than the administrations of the 70s and 90s.</w:t>
      </w:r>
    </w:p>
    <w:p w14:paraId="27532A59" w14:textId="2B6CFAC9" w:rsidR="00493D0B" w:rsidRPr="00493D0B" w:rsidRDefault="00493D0B" w:rsidP="00493D0B">
      <w:pPr>
        <w:numPr>
          <w:ilvl w:val="0"/>
          <w:numId w:val="3"/>
        </w:numPr>
      </w:pPr>
      <w:r w:rsidRPr="00493D0B">
        <w:rPr>
          <w:b/>
          <w:bCs/>
        </w:rPr>
        <w:t>Buffer Requirements:</w:t>
      </w:r>
      <w:r w:rsidRPr="00493D0B">
        <w:t xml:space="preserve"> Because our volatility (</w:t>
      </w:r>
      <w:r w:rsidRPr="00493D0B">
        <w:rPr>
          <w:b/>
          <w:bCs/>
        </w:rPr>
        <w:t>σ</w:t>
      </w:r>
      <w:r w:rsidRPr="00493D0B">
        <w:t>) is high, the Bank must maintain robust foreign exchange reserves to defend the Shilling against the "Right-Tail" risks identified in this report.</w:t>
      </w:r>
    </w:p>
    <w:p w14:paraId="3C8C6DFA" w14:textId="77777777" w:rsidR="00493D0B" w:rsidRPr="00493D0B" w:rsidRDefault="00493D0B" w:rsidP="00493D0B">
      <w:r w:rsidRPr="00493D0B">
        <w:lastRenderedPageBreak/>
        <w:pict w14:anchorId="5FFAE6BA">
          <v:rect id="_x0000_i1051" style="width:0;height:1.5pt" o:hralign="center" o:hrstd="t" o:hr="t" fillcolor="#a0a0a0" stroked="f"/>
        </w:pict>
      </w:r>
    </w:p>
    <w:p w14:paraId="7263DAE5" w14:textId="77777777" w:rsidR="00493D0B" w:rsidRPr="00493D0B" w:rsidRDefault="00493D0B" w:rsidP="00493D0B">
      <w:pPr>
        <w:rPr>
          <w:b/>
          <w:bCs/>
        </w:rPr>
      </w:pPr>
      <w:r w:rsidRPr="00493D0B">
        <w:rPr>
          <w:b/>
          <w:bCs/>
        </w:rPr>
        <w:t>5. Conclusion</w:t>
      </w:r>
    </w:p>
    <w:p w14:paraId="7BD1838A" w14:textId="77777777" w:rsidR="00493D0B" w:rsidRPr="00493D0B" w:rsidRDefault="00493D0B" w:rsidP="00493D0B">
      <w:r w:rsidRPr="00493D0B">
        <w:t>Kenya’s inflation is not a "Normal Distribution." It is a "Shock-Prone Distribution." While the last decade shows a tightening of control, the ghost of the 1993 Z-score (4.54) suggests that price stability is a fragile equilibrium that requires constant, data-driven vigilance.</w:t>
      </w:r>
    </w:p>
    <w:p w14:paraId="2FB04B2E" w14:textId="77777777" w:rsidR="00493D0B" w:rsidRDefault="00493D0B" w:rsidP="00493D0B">
      <w:r w:rsidRPr="00493D0B">
        <w:rPr>
          <w:b/>
          <w:bCs/>
        </w:rPr>
        <w:t>Recommendation:</w:t>
      </w:r>
      <w:r w:rsidRPr="00493D0B">
        <w:t xml:space="preserve"> The MPC should continue to treat any Z-score move toward +1.5 as an immediate signal for intervention before it cascades into a "2-Sigma" crisis.</w:t>
      </w:r>
    </w:p>
    <w:p w14:paraId="760689F1" w14:textId="77777777" w:rsidR="00493D0B" w:rsidRDefault="00493D0B" w:rsidP="00493D0B"/>
    <w:p w14:paraId="798AAF65" w14:textId="3FCF15B5" w:rsidR="00493D0B" w:rsidRDefault="00BB7F37" w:rsidP="00493D0B">
      <w:r>
        <w:t>Stephen Munene,</w:t>
      </w:r>
    </w:p>
    <w:p w14:paraId="51B1247E" w14:textId="77777777" w:rsidR="00BB7F37" w:rsidRPr="00BB7F37" w:rsidRDefault="00BB7F37" w:rsidP="00BB7F37">
      <w:r>
        <w:t>Lead Data Scientist.</w:t>
      </w:r>
      <w:r>
        <w:br/>
      </w:r>
      <w:r>
        <w:br/>
      </w:r>
      <w:r>
        <w:br/>
      </w:r>
      <w:r>
        <w:br/>
      </w:r>
      <w:r w:rsidRPr="00BB7F37">
        <w:rPr>
          <w:b/>
          <w:bCs/>
        </w:rPr>
        <w:t>PROJECT DISCLAIMER: ACADEMIC SIMULATION</w:t>
      </w:r>
    </w:p>
    <w:p w14:paraId="13D1E139" w14:textId="77777777" w:rsidR="00BB7F37" w:rsidRPr="00BB7F37" w:rsidRDefault="00BB7F37" w:rsidP="00BB7F37">
      <w:r w:rsidRPr="00BB7F37">
        <w:t xml:space="preserve">This project is a </w:t>
      </w:r>
      <w:r w:rsidRPr="00BB7F37">
        <w:rPr>
          <w:b/>
          <w:bCs/>
        </w:rPr>
        <w:t>purely academic simulation</w:t>
      </w:r>
      <w:r w:rsidRPr="00BB7F37">
        <w:t xml:space="preserve"> and is part of a personal data science study. The author, Stephen Munene, is </w:t>
      </w:r>
      <w:r w:rsidRPr="00BB7F37">
        <w:rPr>
          <w:b/>
          <w:bCs/>
        </w:rPr>
        <w:t>not</w:t>
      </w:r>
      <w:r w:rsidRPr="00BB7F37">
        <w:t xml:space="preserve"> an employee, contractor, or representative of the Central Bank of Kenya (CBK). All titles used (e.g., "Policy Analyst," "Lead Data Scientist") are for the purpose of role-playing a technical task. The "Confidential" branding is used for atmospheric realism in a mock-business setting. </w:t>
      </w:r>
      <w:r w:rsidRPr="00BB7F37">
        <w:rPr>
          <w:b/>
          <w:bCs/>
        </w:rPr>
        <w:t>Do not treat this as official government data.</w:t>
      </w:r>
    </w:p>
    <w:p w14:paraId="06FB122B" w14:textId="75BA0D50" w:rsidR="00BB7F37" w:rsidRPr="00493D0B" w:rsidRDefault="00BB7F37" w:rsidP="00493D0B"/>
    <w:p w14:paraId="077E9085" w14:textId="77777777" w:rsidR="00493D0B" w:rsidRDefault="00493D0B"/>
    <w:sectPr w:rsidR="00493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38B2"/>
    <w:multiLevelType w:val="multilevel"/>
    <w:tmpl w:val="A834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257E"/>
    <w:multiLevelType w:val="multilevel"/>
    <w:tmpl w:val="1CF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31DBE"/>
    <w:multiLevelType w:val="multilevel"/>
    <w:tmpl w:val="7AA0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2613">
    <w:abstractNumId w:val="0"/>
  </w:num>
  <w:num w:numId="2" w16cid:durableId="2050761472">
    <w:abstractNumId w:val="1"/>
  </w:num>
  <w:num w:numId="3" w16cid:durableId="1482498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0B"/>
    <w:rsid w:val="000F6A63"/>
    <w:rsid w:val="00433D62"/>
    <w:rsid w:val="00493D0B"/>
    <w:rsid w:val="00516FBE"/>
    <w:rsid w:val="00570FAD"/>
    <w:rsid w:val="00904150"/>
    <w:rsid w:val="00BA12D3"/>
    <w:rsid w:val="00BB7F37"/>
    <w:rsid w:val="00BF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1E137"/>
  <w15:chartTrackingRefBased/>
  <w15:docId w15:val="{60BD06A8-572B-41ED-A44E-8D48FCAF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7F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2026-03-21T10:22:00Z</cp:lastPrinted>
  <dcterms:created xsi:type="dcterms:W3CDTF">2026-03-21T10:07:00Z</dcterms:created>
  <dcterms:modified xsi:type="dcterms:W3CDTF">2026-03-21T10:23:00Z</dcterms:modified>
</cp:coreProperties>
</file>