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BF" w:rsidRPr="00CA7B84" w:rsidRDefault="00E24ABF" w:rsidP="00E24ABF">
      <w:pPr>
        <w:pStyle w:val="BodyText2"/>
        <w:rPr>
          <w:b/>
          <w:kern w:val="0"/>
          <w:szCs w:val="40"/>
          <w:lang w:val="en-GB"/>
        </w:rPr>
      </w:pPr>
      <w:bookmarkStart w:id="0" w:name="_GoBack"/>
      <w:bookmarkEnd w:id="0"/>
      <w:r w:rsidRPr="00CA7B84">
        <w:rPr>
          <w:b/>
        </w:rPr>
        <w:t>Times New Roman; Size-16; Line Spacing: fixed-20pt; Paragraph Spacing: Above paragraph-10pt, Below paragraph-10pt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  <w:r>
        <w:rPr>
          <w:bCs/>
          <w:sz w:val="20"/>
          <w:szCs w:val="22"/>
        </w:rPr>
        <w:t>Anna Smith  (Corresponding author)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  <w:r>
        <w:rPr>
          <w:bCs/>
          <w:sz w:val="20"/>
          <w:szCs w:val="22"/>
        </w:rPr>
        <w:t>School of Management, Northern Canada University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  <w:r>
        <w:rPr>
          <w:bCs/>
          <w:sz w:val="20"/>
          <w:szCs w:val="22"/>
        </w:rPr>
        <w:t>PO box 1178, Toronto M3A 2K7, Canada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  <w:r>
        <w:rPr>
          <w:bCs/>
          <w:sz w:val="20"/>
          <w:szCs w:val="22"/>
        </w:rPr>
        <w:t>Tel: 1-416-777-7777  E-mail: anna.smith@ncu.ca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</w:rPr>
      </w:pPr>
      <w:r>
        <w:rPr>
          <w:bCs/>
          <w:sz w:val="20"/>
          <w:szCs w:val="22"/>
        </w:rPr>
        <w:t>Xinzhou Song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  <w:lang w:val="en-GB"/>
        </w:rPr>
      </w:pPr>
      <w:r>
        <w:rPr>
          <w:bCs/>
          <w:sz w:val="20"/>
          <w:szCs w:val="22"/>
          <w:lang w:val="en-GB"/>
        </w:rPr>
        <w:t>School of Economics, Peking University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  <w:lang w:val="en-GB"/>
        </w:rPr>
      </w:pPr>
      <w:r>
        <w:rPr>
          <w:bCs/>
          <w:sz w:val="20"/>
          <w:szCs w:val="22"/>
          <w:lang w:val="en-GB"/>
        </w:rPr>
        <w:t>176 Zhong Guan Cun Street, Beijing 100086, China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  <w:lang w:val="en-GB"/>
        </w:rPr>
      </w:pPr>
      <w:r>
        <w:rPr>
          <w:bCs/>
          <w:sz w:val="20"/>
          <w:szCs w:val="22"/>
        </w:rPr>
        <w:t>Tel: 86-10-8888-7777  E-mail: xinzhou.song@pku.edu.cn</w:t>
      </w:r>
    </w:p>
    <w:p w:rsidR="00E24ABF" w:rsidRDefault="00E24ABF" w:rsidP="00E24ABF">
      <w:pPr>
        <w:spacing w:after="80" w:line="240" w:lineRule="exact"/>
        <w:ind w:firstLineChars="200" w:firstLine="400"/>
        <w:jc w:val="center"/>
        <w:rPr>
          <w:bCs/>
          <w:sz w:val="20"/>
          <w:szCs w:val="22"/>
          <w:lang w:val="en-GB"/>
        </w:rPr>
      </w:pPr>
    </w:p>
    <w:p w:rsidR="00CA7B84" w:rsidRDefault="00CA7B84" w:rsidP="00E24ABF">
      <w:pPr>
        <w:spacing w:after="80" w:line="240" w:lineRule="exact"/>
        <w:jc w:val="left"/>
        <w:rPr>
          <w:bCs/>
          <w:sz w:val="20"/>
          <w:szCs w:val="22"/>
          <w:lang w:val="en-GB"/>
        </w:rPr>
      </w:pPr>
      <w:r>
        <w:rPr>
          <w:rFonts w:hint="eastAsia"/>
          <w:bCs/>
          <w:sz w:val="20"/>
          <w:szCs w:val="22"/>
          <w:lang w:val="en-GB"/>
        </w:rPr>
        <w:t xml:space="preserve">Received: </w:t>
      </w:r>
      <w:r>
        <w:rPr>
          <w:bCs/>
          <w:sz w:val="20"/>
          <w:szCs w:val="22"/>
          <w:lang w:val="en-GB"/>
        </w:rPr>
        <w:t>2010-11-23</w:t>
      </w:r>
      <w:r w:rsidR="00E24ABF">
        <w:rPr>
          <w:rFonts w:hint="eastAsia"/>
          <w:bCs/>
          <w:sz w:val="20"/>
          <w:szCs w:val="22"/>
          <w:lang w:val="en-GB"/>
        </w:rPr>
        <w:t xml:space="preserve">   </w:t>
      </w:r>
    </w:p>
    <w:p w:rsidR="00E24ABF" w:rsidRDefault="00CA7B84" w:rsidP="00E24ABF">
      <w:pPr>
        <w:spacing w:after="80" w:line="240" w:lineRule="exact"/>
        <w:jc w:val="left"/>
        <w:rPr>
          <w:bCs/>
          <w:sz w:val="20"/>
          <w:szCs w:val="22"/>
          <w:lang w:val="en-GB"/>
        </w:rPr>
      </w:pPr>
      <w:r>
        <w:rPr>
          <w:rFonts w:hint="eastAsia"/>
          <w:bCs/>
          <w:sz w:val="20"/>
          <w:szCs w:val="22"/>
          <w:lang w:val="en-GB"/>
        </w:rPr>
        <w:t xml:space="preserve">Accepted: </w:t>
      </w:r>
      <w:r>
        <w:rPr>
          <w:bCs/>
          <w:sz w:val="20"/>
          <w:szCs w:val="22"/>
          <w:lang w:val="en-GB"/>
        </w:rPr>
        <w:t>2010-11-30</w:t>
      </w:r>
    </w:p>
    <w:p w:rsidR="00CA7B84" w:rsidRDefault="00CA7B84" w:rsidP="00E24ABF">
      <w:pPr>
        <w:spacing w:after="80" w:line="240" w:lineRule="exact"/>
        <w:jc w:val="left"/>
        <w:rPr>
          <w:bCs/>
          <w:sz w:val="20"/>
          <w:szCs w:val="22"/>
          <w:lang w:val="en-GB"/>
        </w:rPr>
      </w:pPr>
      <w:r>
        <w:rPr>
          <w:bCs/>
          <w:sz w:val="20"/>
          <w:szCs w:val="22"/>
          <w:lang w:val="en-GB"/>
        </w:rPr>
        <w:t>Published: 2010-12-05</w:t>
      </w:r>
    </w:p>
    <w:p w:rsidR="00E24ABF" w:rsidRDefault="00E24ABF" w:rsidP="00E24ABF">
      <w:pPr>
        <w:spacing w:after="80" w:line="240" w:lineRule="exact"/>
        <w:rPr>
          <w:bCs/>
          <w:i/>
          <w:iCs/>
          <w:sz w:val="20"/>
          <w:szCs w:val="22"/>
          <w:lang w:val="en-GB"/>
        </w:rPr>
      </w:pPr>
    </w:p>
    <w:p w:rsidR="00E24ABF" w:rsidRDefault="00E24ABF" w:rsidP="00E24ABF">
      <w:pPr>
        <w:spacing w:after="80" w:line="240" w:lineRule="exact"/>
        <w:rPr>
          <w:bCs/>
          <w:sz w:val="20"/>
          <w:szCs w:val="22"/>
          <w:lang w:val="en-GB"/>
        </w:rPr>
      </w:pPr>
      <w:r>
        <w:rPr>
          <w:bCs/>
          <w:i/>
          <w:iCs/>
          <w:sz w:val="20"/>
          <w:szCs w:val="22"/>
          <w:lang w:val="en-GB"/>
        </w:rPr>
        <w:t>The research is financed by Asian Development Bank. No. 2006-A171(Sponsoring information)</w:t>
      </w:r>
    </w:p>
    <w:p w:rsidR="00E24ABF" w:rsidRDefault="00E24ABF" w:rsidP="00E24ABF">
      <w:pPr>
        <w:spacing w:after="80" w:line="240" w:lineRule="exact"/>
        <w:outlineLvl w:val="0"/>
        <w:rPr>
          <w:b/>
          <w:sz w:val="20"/>
          <w:szCs w:val="22"/>
        </w:rPr>
      </w:pPr>
    </w:p>
    <w:p w:rsidR="00E24ABF" w:rsidRDefault="00E24ABF" w:rsidP="00E24ABF">
      <w:pPr>
        <w:pStyle w:val="BodyText"/>
        <w:spacing w:beforeLines="0" w:before="0" w:after="80"/>
        <w:rPr>
          <w:b/>
        </w:rPr>
      </w:pPr>
      <w:r>
        <w:rPr>
          <w:b/>
        </w:rPr>
        <w:t>Abstract</w:t>
      </w:r>
    </w:p>
    <w:p w:rsidR="00E24ABF" w:rsidRDefault="00E24ABF" w:rsidP="00E24ABF">
      <w:pPr>
        <w:pStyle w:val="BodyText"/>
        <w:spacing w:beforeLines="0" w:before="0" w:after="80"/>
        <w:rPr>
          <w:bCs w:val="0"/>
        </w:rPr>
      </w:pPr>
      <w:r>
        <w:rPr>
          <w:rFonts w:hint="eastAsia"/>
          <w:bCs w:val="0"/>
        </w:rPr>
        <w:t>text text text text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>text text text text text text</w:t>
      </w:r>
      <w:r>
        <w:rPr>
          <w:rFonts w:hint="eastAsia"/>
          <w:bCs w:val="0"/>
        </w:rPr>
        <w:t xml:space="preserve">　</w:t>
      </w:r>
      <w:r>
        <w:rPr>
          <w:rFonts w:hint="eastAsia"/>
          <w:bCs w:val="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  <w:szCs w:val="22"/>
        </w:rPr>
      </w:pPr>
      <w:r>
        <w:rPr>
          <w:b/>
          <w:sz w:val="20"/>
          <w:szCs w:val="22"/>
        </w:rPr>
        <w:t xml:space="preserve">Keywords: </w:t>
      </w:r>
      <w:r>
        <w:rPr>
          <w:sz w:val="20"/>
          <w:szCs w:val="22"/>
        </w:rPr>
        <w:t>China insurance industry, Foreign fund, Challenge</w:t>
      </w:r>
    </w:p>
    <w:p w:rsidR="00E24ABF" w:rsidRDefault="00E24ABF" w:rsidP="00E24ABF">
      <w:pPr>
        <w:pStyle w:val="BodyText"/>
        <w:spacing w:beforeLines="0" w:before="0" w:after="80"/>
        <w:rPr>
          <w:b/>
        </w:rPr>
      </w:pPr>
      <w:r>
        <w:rPr>
          <w:b/>
        </w:rPr>
        <w:t>1. Heading 1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(Note 1)</w:t>
      </w:r>
    </w:p>
    <w:p w:rsidR="00E24ABF" w:rsidRDefault="00E24ABF" w:rsidP="00E24ABF">
      <w:pPr>
        <w:spacing w:after="80" w:line="240" w:lineRule="exact"/>
        <w:rPr>
          <w:bCs/>
          <w:i/>
          <w:iCs/>
          <w:sz w:val="20"/>
          <w:szCs w:val="22"/>
        </w:rPr>
      </w:pPr>
      <w:r>
        <w:rPr>
          <w:i/>
          <w:iCs/>
          <w:sz w:val="20"/>
        </w:rPr>
        <w:t>1.1 Heading 2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(Note 2)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sz w:val="20"/>
        </w:rPr>
        <w:t>1.1.1 Heading 3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lastRenderedPageBreak/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sz w:val="20"/>
        </w:rPr>
        <w:t>1.1.2 Heading 3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 text text text text text text text text text text text text text text text text text text text text 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>text text text text text text</w:t>
      </w:r>
      <w:r>
        <w:rPr>
          <w:rFonts w:hint="eastAsia"/>
          <w:sz w:val="20"/>
        </w:rPr>
        <w:t xml:space="preserve">　</w:t>
      </w:r>
      <w:r>
        <w:rPr>
          <w:rFonts w:hint="eastAsia"/>
          <w:sz w:val="20"/>
        </w:rPr>
        <w:t xml:space="preserve"> text text</w:t>
      </w:r>
    </w:p>
    <w:p w:rsidR="00E24ABF" w:rsidRDefault="00E24ABF" w:rsidP="00E24ABF">
      <w:pPr>
        <w:spacing w:after="80" w:line="240" w:lineRule="exact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>References</w:t>
      </w:r>
    </w:p>
    <w:p w:rsidR="00E24ABF" w:rsidRDefault="00E24ABF" w:rsidP="00E24ABF">
      <w:pPr>
        <w:spacing w:after="80" w:line="240" w:lineRule="exact"/>
        <w:rPr>
          <w:sz w:val="20"/>
        </w:rPr>
      </w:pPr>
      <w:r>
        <w:t xml:space="preserve">Lawrence, S. et al. (2001). Persistence of Web References in Scientific Research. </w:t>
      </w:r>
      <w:r w:rsidRPr="00BE5164">
        <w:rPr>
          <w:i/>
        </w:rPr>
        <w:t>Computer</w:t>
      </w:r>
      <w:r>
        <w:t xml:space="preserve">. 34, 26-31. doi:10.1109/2.901164, </w:t>
      </w:r>
      <w:hyperlink r:id="rId6" w:history="1">
        <w:r w:rsidRPr="001E1AF6">
          <w:rPr>
            <w:rStyle w:val="Hyperlink"/>
            <w:color w:val="auto"/>
            <w:u w:val="none"/>
          </w:rPr>
          <w:t>http://dx.doi.org/10.1109/2.901164</w:t>
        </w:r>
      </w:hyperlink>
    </w:p>
    <w:p w:rsidR="00E24ABF" w:rsidRDefault="00E24ABF" w:rsidP="00E24ABF">
      <w:pPr>
        <w:snapToGrid w:val="0"/>
        <w:spacing w:after="80" w:line="240" w:lineRule="exact"/>
        <w:rPr>
          <w:bCs/>
          <w:sz w:val="20"/>
          <w:szCs w:val="22"/>
        </w:rPr>
      </w:pPr>
      <w:r>
        <w:rPr>
          <w:sz w:val="20"/>
        </w:rPr>
        <w:t>Smith, Joe, (1999), One of Volvo's core values. [Online] Available: http://www.volvo.com/environment/index.htm (July 7, 1999)</w:t>
      </w:r>
    </w:p>
    <w:p w:rsidR="00E24ABF" w:rsidRDefault="00E24ABF" w:rsidP="00E24ABF">
      <w:pPr>
        <w:snapToGrid w:val="0"/>
        <w:spacing w:after="80" w:line="240" w:lineRule="exact"/>
        <w:rPr>
          <w:bCs/>
          <w:sz w:val="20"/>
          <w:szCs w:val="22"/>
        </w:rPr>
      </w:pPr>
      <w:r>
        <w:rPr>
          <w:sz w:val="20"/>
        </w:rPr>
        <w:t xml:space="preserve">Strunk, W., Jr., &amp; White, E. B. (1979). </w:t>
      </w:r>
      <w:r>
        <w:rPr>
          <w:i/>
          <w:iCs/>
          <w:sz w:val="20"/>
        </w:rPr>
        <w:t>The elements of style.</w:t>
      </w:r>
      <w:r>
        <w:rPr>
          <w:sz w:val="20"/>
        </w:rPr>
        <w:t xml:space="preserve"> (3rd ed.). New York: Macmillan, (Chapter 4).</w:t>
      </w:r>
    </w:p>
    <w:p w:rsidR="00E24ABF" w:rsidRDefault="00E24ABF" w:rsidP="00E24ABF">
      <w:pPr>
        <w:snapToGrid w:val="0"/>
        <w:spacing w:after="80" w:line="240" w:lineRule="exact"/>
        <w:rPr>
          <w:bCs/>
          <w:sz w:val="20"/>
          <w:szCs w:val="22"/>
        </w:rPr>
      </w:pPr>
      <w:r>
        <w:rPr>
          <w:sz w:val="20"/>
          <w:lang w:val="sv-SE"/>
        </w:rPr>
        <w:t xml:space="preserve">Van der Geer, J., Hanraads, J. A. J., &amp; Lupton R. A. (2000). </w:t>
      </w:r>
      <w:r>
        <w:rPr>
          <w:sz w:val="20"/>
        </w:rPr>
        <w:t xml:space="preserve">The art of writing a scientific article. </w:t>
      </w:r>
      <w:r>
        <w:rPr>
          <w:i/>
          <w:iCs/>
          <w:sz w:val="20"/>
        </w:rPr>
        <w:t>Journal of Scientific Communications</w:t>
      </w:r>
      <w:r>
        <w:rPr>
          <w:sz w:val="20"/>
        </w:rPr>
        <w:t>, 163, 51-59</w:t>
      </w:r>
    </w:p>
    <w:p w:rsidR="00E24ABF" w:rsidRDefault="00E24ABF" w:rsidP="00E24ABF">
      <w:pPr>
        <w:spacing w:after="80" w:line="240" w:lineRule="exact"/>
        <w:rPr>
          <w:sz w:val="20"/>
          <w:lang w:val="en-GB"/>
        </w:rPr>
      </w:pPr>
      <w:r>
        <w:rPr>
          <w:rFonts w:hint="eastAsia"/>
          <w:b/>
          <w:bCs/>
          <w:sz w:val="20"/>
        </w:rPr>
        <w:t>Notes</w:t>
      </w:r>
    </w:p>
    <w:p w:rsidR="00E24ABF" w:rsidRDefault="00E24ABF" w:rsidP="00E24ABF">
      <w:pPr>
        <w:spacing w:after="80" w:line="240" w:lineRule="exact"/>
        <w:rPr>
          <w:sz w:val="20"/>
          <w:lang w:val="en-GB"/>
        </w:rPr>
      </w:pPr>
      <w:r>
        <w:rPr>
          <w:rFonts w:hint="eastAsia"/>
          <w:sz w:val="20"/>
          <w:lang w:val="en-GB"/>
        </w:rPr>
        <w:t xml:space="preserve">Note 1. This is an example. </w:t>
      </w:r>
    </w:p>
    <w:p w:rsidR="00E24ABF" w:rsidRDefault="00E24ABF" w:rsidP="00E24ABF">
      <w:pPr>
        <w:spacing w:after="80" w:line="240" w:lineRule="exact"/>
        <w:rPr>
          <w:sz w:val="20"/>
          <w:lang w:val="en-GB"/>
        </w:rPr>
      </w:pPr>
      <w:r>
        <w:rPr>
          <w:rFonts w:hint="eastAsia"/>
          <w:sz w:val="20"/>
          <w:lang w:val="en-GB"/>
        </w:rPr>
        <w:t>Note 2. This is an example for note 2</w:t>
      </w:r>
    </w:p>
    <w:p w:rsidR="00E24ABF" w:rsidRDefault="00E24ABF" w:rsidP="00E24ABF">
      <w:pPr>
        <w:spacing w:after="80" w:line="240" w:lineRule="exact"/>
        <w:rPr>
          <w:sz w:val="20"/>
          <w:lang w:val="en-GB"/>
        </w:rPr>
      </w:pPr>
    </w:p>
    <w:p w:rsidR="00E24ABF" w:rsidRDefault="00E24ABF" w:rsidP="00E24ABF">
      <w:pPr>
        <w:spacing w:after="80" w:line="240" w:lineRule="exact"/>
        <w:rPr>
          <w:sz w:val="20"/>
          <w:szCs w:val="22"/>
        </w:rPr>
      </w:pPr>
      <w:r>
        <w:rPr>
          <w:sz w:val="20"/>
          <w:szCs w:val="22"/>
        </w:rPr>
        <w:t>T</w:t>
      </w:r>
      <w:r>
        <w:rPr>
          <w:rFonts w:hint="eastAsia"/>
          <w:sz w:val="20"/>
          <w:szCs w:val="22"/>
        </w:rPr>
        <w:t>able 1. The capitals, assets and revenue in listed banks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3"/>
        <w:gridCol w:w="1798"/>
        <w:gridCol w:w="2328"/>
        <w:gridCol w:w="1275"/>
      </w:tblGrid>
      <w:tr w:rsidR="00E24ABF" w:rsidTr="00246028">
        <w:trPr>
          <w:jc w:val="center"/>
        </w:trPr>
        <w:tc>
          <w:tcPr>
            <w:tcW w:w="2523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</w:rPr>
            </w:pPr>
          </w:p>
        </w:tc>
        <w:tc>
          <w:tcPr>
            <w:tcW w:w="1798" w:type="dxa"/>
          </w:tcPr>
          <w:p w:rsidR="00E24ABF" w:rsidRDefault="00E24ABF" w:rsidP="00246028">
            <w:pPr>
              <w:spacing w:after="80" w:line="280" w:lineRule="ex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</w:t>
            </w:r>
            <w:r>
              <w:rPr>
                <w:rFonts w:hint="eastAsia"/>
                <w:sz w:val="20"/>
                <w:szCs w:val="22"/>
              </w:rPr>
              <w:t xml:space="preserve">otal capital stock </w:t>
            </w:r>
          </w:p>
        </w:tc>
        <w:tc>
          <w:tcPr>
            <w:tcW w:w="2328" w:type="dxa"/>
          </w:tcPr>
          <w:p w:rsidR="00E24ABF" w:rsidRDefault="00E24ABF" w:rsidP="00246028">
            <w:pPr>
              <w:spacing w:after="80" w:line="280" w:lineRule="ex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</w:t>
            </w:r>
            <w:r>
              <w:rPr>
                <w:rFonts w:hint="eastAsia"/>
                <w:sz w:val="20"/>
                <w:szCs w:val="22"/>
              </w:rPr>
              <w:t xml:space="preserve">ncome of main business </w:t>
            </w:r>
          </w:p>
        </w:tc>
        <w:tc>
          <w:tcPr>
            <w:tcW w:w="1275" w:type="dxa"/>
          </w:tcPr>
          <w:p w:rsidR="00E24ABF" w:rsidRDefault="00E24ABF" w:rsidP="00246028">
            <w:pPr>
              <w:spacing w:after="80" w:line="280" w:lineRule="exact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</w:t>
            </w:r>
            <w:r>
              <w:rPr>
                <w:rFonts w:hint="eastAsia"/>
                <w:sz w:val="20"/>
                <w:szCs w:val="22"/>
              </w:rPr>
              <w:t>otal assets</w:t>
            </w:r>
          </w:p>
        </w:tc>
      </w:tr>
      <w:tr w:rsidR="00E24ABF" w:rsidTr="00246028">
        <w:trPr>
          <w:jc w:val="center"/>
        </w:trPr>
        <w:tc>
          <w:tcPr>
            <w:tcW w:w="2523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Pudong Development Bank</w:t>
            </w:r>
          </w:p>
        </w:tc>
        <w:tc>
          <w:tcPr>
            <w:tcW w:w="1798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rFonts w:hint="eastAsia"/>
                <w:sz w:val="20"/>
                <w:szCs w:val="22"/>
                <w:lang w:val="en-GB"/>
              </w:rPr>
              <w:t>39.2</w:t>
            </w:r>
          </w:p>
        </w:tc>
        <w:tc>
          <w:tcPr>
            <w:tcW w:w="2328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rFonts w:hint="eastAsia"/>
                <w:sz w:val="20"/>
                <w:szCs w:val="22"/>
                <w:lang w:val="en-GB"/>
              </w:rPr>
              <w:t>214.7</w:t>
            </w:r>
          </w:p>
        </w:tc>
        <w:tc>
          <w:tcPr>
            <w:tcW w:w="1275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rFonts w:hint="eastAsia"/>
                <w:sz w:val="20"/>
                <w:szCs w:val="22"/>
                <w:lang w:val="en-GB"/>
              </w:rPr>
              <w:t>5730.7</w:t>
            </w:r>
          </w:p>
        </w:tc>
      </w:tr>
      <w:tr w:rsidR="00E24ABF" w:rsidTr="00246028">
        <w:trPr>
          <w:jc w:val="center"/>
        </w:trPr>
        <w:tc>
          <w:tcPr>
            <w:tcW w:w="2523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lastRenderedPageBreak/>
              <w:t>Bank of China</w:t>
            </w:r>
          </w:p>
        </w:tc>
        <w:tc>
          <w:tcPr>
            <w:tcW w:w="1798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>459.4</w:t>
            </w:r>
          </w:p>
        </w:tc>
        <w:tc>
          <w:tcPr>
            <w:tcW w:w="2328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>3345.7</w:t>
            </w:r>
          </w:p>
        </w:tc>
        <w:tc>
          <w:tcPr>
            <w:tcW w:w="1275" w:type="dxa"/>
          </w:tcPr>
          <w:p w:rsidR="00E24ABF" w:rsidRDefault="00E24ABF" w:rsidP="00246028">
            <w:pPr>
              <w:spacing w:after="80" w:line="280" w:lineRule="exact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>59876.9</w:t>
            </w:r>
          </w:p>
        </w:tc>
      </w:tr>
    </w:tbl>
    <w:p w:rsidR="00E24ABF" w:rsidRDefault="00E24ABF" w:rsidP="00E24ABF">
      <w:pPr>
        <w:spacing w:after="80" w:line="240" w:lineRule="exact"/>
        <w:rPr>
          <w:sz w:val="20"/>
        </w:rPr>
      </w:pPr>
      <w:r>
        <w:rPr>
          <w:rFonts w:hint="eastAsia"/>
          <w:sz w:val="20"/>
          <w:lang w:val="en-GB"/>
        </w:rPr>
        <w:t>Description for the above table.</w:t>
      </w: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</w:p>
    <w:p w:rsidR="00E24ABF" w:rsidRDefault="00E3109F" w:rsidP="00E24ABF">
      <w:pPr>
        <w:tabs>
          <w:tab w:val="left" w:pos="3555"/>
        </w:tabs>
        <w:spacing w:after="80"/>
        <w:jc w:val="center"/>
        <w:rPr>
          <w:sz w:val="20"/>
          <w:lang w:val="sv-SE"/>
        </w:rPr>
      </w:pPr>
      <w:r w:rsidRPr="00080D48">
        <w:rPr>
          <w:noProof/>
          <w:sz w:val="20"/>
          <w:lang w:val="en-AU"/>
        </w:rPr>
        <w:drawing>
          <wp:inline distT="0" distB="0" distL="0" distR="0">
            <wp:extent cx="3657600" cy="2190750"/>
            <wp:effectExtent l="0" t="0" r="0" b="0"/>
            <wp:docPr id="2" name="Picture 1" descr="Description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ig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BF" w:rsidRDefault="00E24ABF" w:rsidP="00E24ABF">
      <w:pPr>
        <w:spacing w:after="80" w:line="240" w:lineRule="exact"/>
        <w:jc w:val="center"/>
        <w:rPr>
          <w:sz w:val="20"/>
          <w:lang w:val="en-GB"/>
        </w:rPr>
      </w:pPr>
      <w:r>
        <w:rPr>
          <w:rFonts w:hint="eastAsia"/>
          <w:sz w:val="20"/>
          <w:szCs w:val="22"/>
        </w:rPr>
        <w:t>Figure 1. The Trend of Economic Development</w:t>
      </w:r>
    </w:p>
    <w:p w:rsidR="00E24ABF" w:rsidRDefault="00E24ABF" w:rsidP="00E24ABF">
      <w:pPr>
        <w:spacing w:after="80" w:line="240" w:lineRule="exact"/>
        <w:jc w:val="center"/>
        <w:rPr>
          <w:sz w:val="20"/>
          <w:szCs w:val="22"/>
        </w:rPr>
      </w:pPr>
      <w:r>
        <w:rPr>
          <w:rFonts w:hint="eastAsia"/>
          <w:sz w:val="20"/>
          <w:lang w:val="en-GB"/>
        </w:rPr>
        <w:t>Description for the above figure.</w:t>
      </w:r>
    </w:p>
    <w:p w:rsidR="00E24ABF" w:rsidRDefault="00E24ABF" w:rsidP="00E24ABF">
      <w:pPr>
        <w:spacing w:after="80" w:line="240" w:lineRule="exact"/>
        <w:jc w:val="center"/>
        <w:rPr>
          <w:sz w:val="20"/>
        </w:rPr>
      </w:pPr>
    </w:p>
    <w:p w:rsidR="00E24ABF" w:rsidRDefault="00E24ABF" w:rsidP="00E24ABF">
      <w:pPr>
        <w:spacing w:after="80" w:line="240" w:lineRule="exact"/>
        <w:rPr>
          <w:bCs/>
          <w:sz w:val="20"/>
          <w:szCs w:val="22"/>
        </w:rPr>
      </w:pPr>
    </w:p>
    <w:p w:rsidR="00246028" w:rsidRPr="00E24ABF" w:rsidRDefault="00246028" w:rsidP="00E24ABF">
      <w:pPr>
        <w:rPr>
          <w:szCs w:val="22"/>
        </w:rPr>
      </w:pPr>
    </w:p>
    <w:sectPr w:rsidR="00246028" w:rsidRPr="00E24ABF" w:rsidSect="00246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F74" w:rsidRDefault="001F3F74" w:rsidP="00E24ABF">
      <w:r>
        <w:separator/>
      </w:r>
    </w:p>
  </w:endnote>
  <w:endnote w:type="continuationSeparator" w:id="0">
    <w:p w:rsidR="001F3F74" w:rsidRDefault="001F3F74" w:rsidP="00E2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69" w:rsidRDefault="005E45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69" w:rsidRDefault="005E456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00907">
      <w:rPr>
        <w:noProof/>
      </w:rPr>
      <w:t>1</w:t>
    </w:r>
    <w:r>
      <w:rPr>
        <w:noProof/>
      </w:rPr>
      <w:fldChar w:fldCharType="end"/>
    </w:r>
  </w:p>
  <w:p w:rsidR="005E4569" w:rsidRDefault="00B75423">
    <w:pPr>
      <w:pStyle w:val="Footer"/>
    </w:pPr>
    <w:hyperlink r:id="rId1" w:history="1">
      <w:r w:rsidR="005E4569" w:rsidRPr="00530102">
        <w:rPr>
          <w:rStyle w:val="Hyperlink"/>
        </w:rPr>
        <w:t>www.iiste.org</w:t>
      </w:r>
    </w:hyperlink>
    <w:r w:rsidR="005E4569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69" w:rsidRDefault="005E4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F74" w:rsidRDefault="001F3F74" w:rsidP="00E24ABF">
      <w:r>
        <w:separator/>
      </w:r>
    </w:p>
  </w:footnote>
  <w:footnote w:type="continuationSeparator" w:id="0">
    <w:p w:rsidR="001F3F74" w:rsidRDefault="001F3F74" w:rsidP="00E24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69" w:rsidRDefault="005E45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2A33" w:rsidRPr="00C22A33" w:rsidRDefault="00C22A33" w:rsidP="00C22A33">
    <w:pPr>
      <w:tabs>
        <w:tab w:val="center" w:pos="4320"/>
        <w:tab w:val="right" w:pos="8640"/>
      </w:tabs>
    </w:pPr>
    <w:r>
      <w:t>The Journal Name of the Journal Name</w:t>
    </w:r>
    <w:r w:rsidRPr="00C22A33">
      <w:t xml:space="preserve">  </w:t>
    </w:r>
    <w:r w:rsidRPr="00C22A33">
      <w:tab/>
    </w:r>
    <w:r w:rsidRPr="00C22A33">
      <w:tab/>
    </w:r>
    <w:hyperlink r:id="rId1" w:history="1">
      <w:r w:rsidRPr="00C22A33">
        <w:rPr>
          <w:color w:val="0000FF"/>
          <w:u w:val="single"/>
        </w:rPr>
        <w:t>www.iiste.org</w:t>
      </w:r>
    </w:hyperlink>
  </w:p>
  <w:p w:rsidR="00C22A33" w:rsidRPr="00C22A33" w:rsidRDefault="00E3109F" w:rsidP="00C22A33">
    <w:pPr>
      <w:tabs>
        <w:tab w:val="center" w:pos="4320"/>
        <w:tab w:val="right" w:pos="8640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5240655</wp:posOffset>
          </wp:positionH>
          <wp:positionV relativeFrom="paragraph">
            <wp:posOffset>49530</wp:posOffset>
          </wp:positionV>
          <wp:extent cx="243840" cy="24384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840" cy="24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2A33" w:rsidRPr="00C22A33">
      <w:t>ISSN 2222-1719 (Paper) ISSN 2222-2863 (Online)</w:t>
    </w:r>
  </w:p>
  <w:p w:rsidR="00C22A33" w:rsidRPr="00C22A33" w:rsidRDefault="00D93C61" w:rsidP="00C22A33">
    <w:pPr>
      <w:tabs>
        <w:tab w:val="center" w:pos="4320"/>
        <w:tab w:val="right" w:pos="8640"/>
      </w:tabs>
    </w:pPr>
    <w:r>
      <w:t>Vol X, No.X, 2010</w:t>
    </w:r>
  </w:p>
  <w:p w:rsidR="00C22A33" w:rsidRPr="00C22A33" w:rsidRDefault="00C22A33" w:rsidP="00C22A33"/>
  <w:p w:rsidR="00C22A33" w:rsidRDefault="00C22A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569" w:rsidRDefault="005E45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9F"/>
    <w:rsid w:val="00080D48"/>
    <w:rsid w:val="001F3F74"/>
    <w:rsid w:val="00246028"/>
    <w:rsid w:val="005E4569"/>
    <w:rsid w:val="0062218F"/>
    <w:rsid w:val="00A00907"/>
    <w:rsid w:val="00B75423"/>
    <w:rsid w:val="00C22A33"/>
    <w:rsid w:val="00CA7B84"/>
    <w:rsid w:val="00D93C61"/>
    <w:rsid w:val="00D94DDE"/>
    <w:rsid w:val="00E24ABF"/>
    <w:rsid w:val="00E3109F"/>
    <w:rsid w:val="00E676F2"/>
    <w:rsid w:val="00E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08B339-B10C-4AFD-97F6-ECA867B4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spacing w:after="80" w:line="240" w:lineRule="exact"/>
      <w:outlineLvl w:val="0"/>
    </w:pPr>
    <w:rPr>
      <w:bCs/>
      <w:i/>
      <w:iCs/>
      <w:sz w:val="20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semiHidden/>
    <w:pPr>
      <w:spacing w:beforeLines="50" w:before="156" w:after="50" w:line="240" w:lineRule="exact"/>
    </w:pPr>
    <w:rPr>
      <w:bCs/>
      <w:sz w:val="20"/>
      <w:szCs w:val="22"/>
    </w:rPr>
  </w:style>
  <w:style w:type="paragraph" w:styleId="BodyText2">
    <w:name w:val="Body Text 2"/>
    <w:basedOn w:val="Normal"/>
    <w:semiHidden/>
    <w:pPr>
      <w:spacing w:before="200" w:after="200" w:line="400" w:lineRule="exact"/>
      <w:jc w:val="center"/>
    </w:pPr>
    <w:rPr>
      <w:sz w:val="32"/>
      <w:szCs w:val="3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Header">
    <w:name w:val="header"/>
    <w:basedOn w:val="Normal"/>
    <w:link w:val="HeaderChar"/>
    <w:uiPriority w:val="99"/>
    <w:unhideWhenUsed/>
    <w:rsid w:val="00E24AB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E24ABF"/>
    <w:rPr>
      <w:kern w:val="2"/>
      <w:sz w:val="21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4AB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24ABF"/>
    <w:rPr>
      <w:kern w:val="2"/>
      <w:sz w:val="21"/>
      <w:szCs w:val="24"/>
      <w:lang w:val="en-US"/>
    </w:rPr>
  </w:style>
  <w:style w:type="character" w:styleId="Hyperlink">
    <w:name w:val="Hyperlink"/>
    <w:uiPriority w:val="99"/>
    <w:unhideWhenUsed/>
    <w:rsid w:val="00E24A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2218F"/>
    <w:rPr>
      <w:rFonts w:ascii="Tahoma" w:hAnsi="Tahoma" w:cs="Tahoma"/>
      <w:kern w:val="2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x.doi.org/10.1109/2.901164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iste.or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iist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aper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PaperTemplate</Template>
  <TotalTime>1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A Strategic Study on Foreign Fund Utilization in Chinese Insurance Industry</vt:lpstr>
      <vt:lpstr>A Strategic Study on Foreign Fund Utilization in Chinese Insurance Industry</vt:lpstr>
    </vt:vector>
  </TitlesOfParts>
  <Company>abc</Company>
  <LinksUpToDate>false</LinksUpToDate>
  <CharactersWithSpaces>5314</CharactersWithSpaces>
  <SharedDoc>false</SharedDoc>
  <HLinks>
    <vt:vector size="18" baseType="variant">
      <vt:variant>
        <vt:i4>7864431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http://dx.doi.org/10.1109/2.901164</vt:lpwstr>
      </vt:variant>
      <vt:variant>
        <vt:lpwstr/>
      </vt:variant>
      <vt:variant>
        <vt:i4>6029329</vt:i4>
      </vt:variant>
      <vt:variant>
        <vt:i4>6</vt:i4>
      </vt:variant>
      <vt:variant>
        <vt:i4>0</vt:i4>
      </vt:variant>
      <vt:variant>
        <vt:i4>5</vt:i4>
      </vt:variant>
      <vt:variant>
        <vt:lpwstr>http://www.iiste.org/</vt:lpwstr>
      </vt:variant>
      <vt:variant>
        <vt:lpwstr/>
      </vt:variant>
      <vt:variant>
        <vt:i4>6029329</vt:i4>
      </vt:variant>
      <vt:variant>
        <vt:i4>0</vt:i4>
      </vt:variant>
      <vt:variant>
        <vt:i4>0</vt:i4>
      </vt:variant>
      <vt:variant>
        <vt:i4>5</vt:i4>
      </vt:variant>
      <vt:variant>
        <vt:lpwstr>http://www.iiste.org/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Strategic Study on Foreign Fund Utilization in Chinese Insurance Industry</dc:title>
  <dc:subject/>
  <dc:creator>user</dc:creator>
  <cp:keywords/>
  <cp:lastModifiedBy>AZAM MD SIDDIQUE E</cp:lastModifiedBy>
  <cp:revision>1</cp:revision>
  <cp:lastPrinted>2006-11-07T03:53:00Z</cp:lastPrinted>
  <dcterms:created xsi:type="dcterms:W3CDTF">2019-03-27T03:26:00Z</dcterms:created>
  <dcterms:modified xsi:type="dcterms:W3CDTF">2019-03-27T03:28:00Z</dcterms:modified>
</cp:coreProperties>
</file>