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5467" w14:textId="394902BC" w:rsidR="00422A61" w:rsidRPr="00F971A0" w:rsidRDefault="00422A61" w:rsidP="00422A61">
      <w:pPr>
        <w:spacing w:before="240" w:line="288" w:lineRule="auto"/>
        <w:rPr>
          <w:rFonts w:ascii="华文楷体" w:eastAsia="华文楷体" w:hAnsi="华文楷体" w:hint="eastAsia"/>
        </w:rPr>
      </w:pPr>
      <w:bookmarkStart w:id="0" w:name="query_4"/>
      <w:r w:rsidRPr="00F971A0">
        <w:rPr>
          <w:rFonts w:ascii="华文楷体" w:eastAsia="华文楷体" w:hAnsi="华文楷体"/>
          <w:b/>
          <w:sz w:val="56"/>
        </w:rPr>
        <w:t xml:space="preserve">Query </w:t>
      </w:r>
      <w:r w:rsidR="00B5043E">
        <w:rPr>
          <w:rFonts w:ascii="华文楷体" w:eastAsia="华文楷体" w:hAnsi="华文楷体" w:hint="eastAsia"/>
          <w:b/>
          <w:sz w:val="56"/>
        </w:rPr>
        <w:t>2</w:t>
      </w:r>
      <w:r w:rsidRPr="00F971A0">
        <w:rPr>
          <w:rFonts w:ascii="华文楷体" w:eastAsia="华文楷体" w:hAnsi="华文楷体"/>
          <w:b/>
          <w:sz w:val="56"/>
        </w:rPr>
        <w:t>:</w:t>
      </w:r>
      <w:bookmarkEnd w:id="0"/>
    </w:p>
    <w:p w14:paraId="36ECC504" w14:textId="77777777" w:rsidR="00422A61" w:rsidRPr="00F971A0" w:rsidRDefault="00000000" w:rsidP="00422A61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  <w:noProof/>
        </w:rPr>
        <w:pict w14:anchorId="3DA2AAE1">
          <v:rect id="_x0000_i1025" style="width:6in;height:.05pt" o:hralign="center" o:hrstd="t" o:hr="t"/>
        </w:pict>
      </w:r>
    </w:p>
    <w:p w14:paraId="344EFCE0" w14:textId="77777777" w:rsidR="00422A61" w:rsidRPr="00F971A0" w:rsidRDefault="00422A61" w:rsidP="00422A61">
      <w:pPr>
        <w:spacing w:after="220"/>
        <w:rPr>
          <w:rFonts w:ascii="华文楷体" w:eastAsia="华文楷体" w:hAnsi="华文楷体" w:hint="eastAsia"/>
        </w:rPr>
      </w:pPr>
      <w:r w:rsidRPr="00F971A0">
        <w:rPr>
          <w:rFonts w:ascii="华文楷体" w:eastAsia="华文楷体" w:hAnsi="华文楷体" w:cs="Georgia"/>
        </w:rPr>
        <w:t>【Query 描述】</w:t>
      </w:r>
      <w:r w:rsidRPr="00F971A0">
        <w:rPr>
          <w:rFonts w:ascii="华文楷体" w:eastAsia="华文楷体" w:hAnsi="华文楷体"/>
        </w:rPr>
        <w:br/>
      </w:r>
      <w:r w:rsidRPr="00F971A0">
        <w:rPr>
          <w:rFonts w:ascii="华文楷体" w:eastAsia="华文楷体" w:hAnsi="华文楷体" w:cs="Georgia"/>
        </w:rPr>
        <w:t>围绕王者荣耀ELO匹配机制开展系统性研究，核心覆盖机制猜测与验证、典型游戏现象关联分析、万战娜可露</w:t>
      </w:r>
      <w:proofErr w:type="gramStart"/>
      <w:r w:rsidRPr="00F971A0">
        <w:rPr>
          <w:rFonts w:ascii="华文楷体" w:eastAsia="华文楷体" w:hAnsi="华文楷体" w:cs="Georgia"/>
        </w:rPr>
        <w:t>露</w:t>
      </w:r>
      <w:proofErr w:type="gramEnd"/>
      <w:r w:rsidRPr="00F971A0">
        <w:rPr>
          <w:rFonts w:ascii="华文楷体" w:eastAsia="华文楷体" w:hAnsi="华文楷体" w:cs="Georgia"/>
        </w:rPr>
        <w:t>实战发力策略优化、机制影响总结反思四大模块，需结合官方披露信息、玩家社区共识及省标万战娜可露</w:t>
      </w:r>
      <w:proofErr w:type="gramStart"/>
      <w:r w:rsidRPr="00F971A0">
        <w:rPr>
          <w:rFonts w:ascii="华文楷体" w:eastAsia="华文楷体" w:hAnsi="华文楷体" w:cs="Georgia"/>
        </w:rPr>
        <w:t>露</w:t>
      </w:r>
      <w:proofErr w:type="gramEnd"/>
      <w:r w:rsidRPr="00F971A0">
        <w:rPr>
          <w:rFonts w:ascii="华文楷体" w:eastAsia="华文楷体" w:hAnsi="华文楷体" w:cs="Georgia"/>
        </w:rPr>
        <w:t>的实战经验，提供可落地的验证方案、现象分析结论与英雄发力策略。任务目标为：厘清王者荣耀ELO机制的核心运行逻辑，验证玩家社区关于“隐藏分”“胜率调控”的常见猜想，纠正认知误区；分析鸡爪流、牢玩家、人机对局三类典型现象与ELO机制的内在关联，明确</w:t>
      </w:r>
      <w:proofErr w:type="gramStart"/>
      <w:r w:rsidRPr="00F971A0">
        <w:rPr>
          <w:rFonts w:ascii="华文楷体" w:eastAsia="华文楷体" w:hAnsi="华文楷体" w:cs="Georgia"/>
        </w:rPr>
        <w:t>各现象</w:t>
      </w:r>
      <w:proofErr w:type="gramEnd"/>
      <w:r w:rsidRPr="00F971A0">
        <w:rPr>
          <w:rFonts w:ascii="华文楷体" w:eastAsia="华文楷体" w:hAnsi="华文楷体" w:cs="Georgia"/>
        </w:rPr>
        <w:t>的形成原因、特征及影响；针对省标万战娜可露露在不同ELO分段、不同对局环境下的发力难点，提供分场景的实战策略与上分效率提升建议；辩证分析ELO机制</w:t>
      </w:r>
      <w:proofErr w:type="gramStart"/>
      <w:r w:rsidRPr="00F971A0">
        <w:rPr>
          <w:rFonts w:ascii="华文楷体" w:eastAsia="华文楷体" w:hAnsi="华文楷体" w:cs="Georgia"/>
        </w:rPr>
        <w:t>对高玩游戏</w:t>
      </w:r>
      <w:proofErr w:type="gramEnd"/>
      <w:r w:rsidRPr="00F971A0">
        <w:rPr>
          <w:rFonts w:ascii="华文楷体" w:eastAsia="华文楷体" w:hAnsi="华文楷体" w:cs="Georgia"/>
        </w:rPr>
        <w:t>体验的影响，为同类高段位玩家提供参考。预期输出为一份结构严谨、数据支撑充分、具备实操性的《王者荣耀ELO机制研究报告》，包含机制验证、现象分析、英雄策略、总结反思四大板块，</w:t>
      </w:r>
      <w:proofErr w:type="gramStart"/>
      <w:r w:rsidRPr="00F971A0">
        <w:rPr>
          <w:rFonts w:ascii="华文楷体" w:eastAsia="华文楷体" w:hAnsi="华文楷体" w:cs="Georgia"/>
        </w:rPr>
        <w:t>每个板块</w:t>
      </w:r>
      <w:proofErr w:type="gramEnd"/>
      <w:r w:rsidRPr="00F971A0">
        <w:rPr>
          <w:rFonts w:ascii="华文楷体" w:eastAsia="华文楷体" w:hAnsi="华文楷体" w:cs="Georgia"/>
        </w:rPr>
        <w:t>有明确结论、验证方法与实战建议，可直接</w:t>
      </w:r>
      <w:proofErr w:type="gramStart"/>
      <w:r w:rsidRPr="00F971A0">
        <w:rPr>
          <w:rFonts w:ascii="华文楷体" w:eastAsia="华文楷体" w:hAnsi="华文楷体" w:cs="Georgia"/>
        </w:rPr>
        <w:t>作为高玩应对</w:t>
      </w:r>
      <w:proofErr w:type="gramEnd"/>
      <w:r w:rsidRPr="00F971A0">
        <w:rPr>
          <w:rFonts w:ascii="华文楷体" w:eastAsia="华文楷体" w:hAnsi="华文楷体" w:cs="Georgia"/>
        </w:rPr>
        <w:t>ELO机制的参考手册。</w:t>
      </w:r>
    </w:p>
    <w:p w14:paraId="5547EFB8" w14:textId="77777777" w:rsidR="00422A61" w:rsidRPr="00F971A0" w:rsidRDefault="00422A61" w:rsidP="00422A61">
      <w:pPr>
        <w:spacing w:after="220"/>
        <w:rPr>
          <w:rFonts w:ascii="华文楷体" w:eastAsia="华文楷体" w:hAnsi="华文楷体" w:hint="eastAsia"/>
        </w:rPr>
      </w:pPr>
      <w:r w:rsidRPr="00F971A0">
        <w:rPr>
          <w:rFonts w:ascii="华文楷体" w:eastAsia="华文楷体" w:hAnsi="华文楷体" w:cs="Georgia"/>
        </w:rPr>
        <w:t>【Context】</w:t>
      </w:r>
      <w:r w:rsidRPr="00F971A0">
        <w:rPr>
          <w:rFonts w:ascii="华文楷体" w:eastAsia="华文楷体" w:hAnsi="华文楷体"/>
        </w:rPr>
        <w:br/>
      </w:r>
      <w:r w:rsidRPr="00F971A0">
        <w:rPr>
          <w:rFonts w:ascii="华文楷体" w:eastAsia="华文楷体" w:hAnsi="华文楷体" w:cs="Georgia"/>
        </w:rPr>
        <w:t>文件列表：</w:t>
      </w:r>
    </w:p>
    <w:p w14:paraId="1014A11A" w14:textId="77777777" w:rsidR="003408C1" w:rsidRPr="007340A8" w:rsidRDefault="003408C1" w:rsidP="003408C1">
      <w:pPr>
        <w:pStyle w:val="a9"/>
        <w:numPr>
          <w:ilvl w:val="0"/>
          <w:numId w:val="2"/>
        </w:numPr>
        <w:rPr>
          <w:rFonts w:ascii="华文楷体" w:eastAsia="华文楷体" w:hAnsi="华文楷体" w:cs="Georgia"/>
        </w:rPr>
      </w:pPr>
      <w:r w:rsidRPr="007340A8">
        <w:rPr>
          <w:rFonts w:ascii="华文楷体" w:eastAsia="华文楷体" w:hAnsi="华文楷体" w:cs="Georgia" w:hint="eastAsia"/>
        </w:rPr>
        <w:t>参考文献1</w:t>
      </w:r>
    </w:p>
    <w:p w14:paraId="02752416" w14:textId="77777777" w:rsidR="003408C1" w:rsidRDefault="003408C1" w:rsidP="003408C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参考文献</w:t>
      </w:r>
      <w:r>
        <w:rPr>
          <w:rFonts w:hint="eastAsia"/>
        </w:rPr>
        <w:t>2</w:t>
      </w:r>
    </w:p>
    <w:p w14:paraId="62F617F6" w14:textId="77777777" w:rsidR="003408C1" w:rsidRDefault="003408C1" w:rsidP="003408C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参考文献</w:t>
      </w:r>
      <w:r>
        <w:rPr>
          <w:rFonts w:hint="eastAsia"/>
        </w:rPr>
        <w:t>3</w:t>
      </w:r>
    </w:p>
    <w:p w14:paraId="780B8D94" w14:textId="77777777" w:rsidR="001F3323" w:rsidRDefault="001F3323">
      <w:pPr>
        <w:rPr>
          <w:rFonts w:hint="eastAsia"/>
        </w:rPr>
      </w:pPr>
    </w:p>
    <w:sectPr w:rsidR="001F3323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08901" w14:textId="77777777" w:rsidR="00A979F9" w:rsidRDefault="00A979F9" w:rsidP="003408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9E9963" w14:textId="77777777" w:rsidR="00A979F9" w:rsidRDefault="00A979F9" w:rsidP="003408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1E9F7" w14:textId="77777777" w:rsidR="00A979F9" w:rsidRDefault="00A979F9" w:rsidP="003408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75F3D6" w14:textId="77777777" w:rsidR="00A979F9" w:rsidRDefault="00A979F9" w:rsidP="003408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0E7A"/>
    <w:multiLevelType w:val="hybridMultilevel"/>
    <w:tmpl w:val="234A17E6"/>
    <w:lvl w:ilvl="0" w:tplc="51EAE6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7CA52A">
      <w:numFmt w:val="decimal"/>
      <w:lvlText w:val=""/>
      <w:lvlJc w:val="left"/>
    </w:lvl>
    <w:lvl w:ilvl="2" w:tplc="B8680CDE">
      <w:numFmt w:val="decimal"/>
      <w:lvlText w:val=""/>
      <w:lvlJc w:val="left"/>
    </w:lvl>
    <w:lvl w:ilvl="3" w:tplc="DE949102">
      <w:numFmt w:val="decimal"/>
      <w:lvlText w:val=""/>
      <w:lvlJc w:val="left"/>
    </w:lvl>
    <w:lvl w:ilvl="4" w:tplc="7C949F66">
      <w:numFmt w:val="decimal"/>
      <w:lvlText w:val=""/>
      <w:lvlJc w:val="left"/>
    </w:lvl>
    <w:lvl w:ilvl="5" w:tplc="848ED48A">
      <w:numFmt w:val="decimal"/>
      <w:lvlText w:val=""/>
      <w:lvlJc w:val="left"/>
    </w:lvl>
    <w:lvl w:ilvl="6" w:tplc="540256F8">
      <w:numFmt w:val="decimal"/>
      <w:lvlText w:val=""/>
      <w:lvlJc w:val="left"/>
    </w:lvl>
    <w:lvl w:ilvl="7" w:tplc="D43E0BCC">
      <w:numFmt w:val="decimal"/>
      <w:lvlText w:val=""/>
      <w:lvlJc w:val="left"/>
    </w:lvl>
    <w:lvl w:ilvl="8" w:tplc="0B38AF76">
      <w:numFmt w:val="decimal"/>
      <w:lvlText w:val=""/>
      <w:lvlJc w:val="left"/>
    </w:lvl>
  </w:abstractNum>
  <w:abstractNum w:abstractNumId="1" w15:restartNumberingAfterBreak="0">
    <w:nsid w:val="56C75D8E"/>
    <w:multiLevelType w:val="hybridMultilevel"/>
    <w:tmpl w:val="2B104F08"/>
    <w:lvl w:ilvl="0" w:tplc="10782FAC">
      <w:start w:val="1"/>
      <w:numFmt w:val="decimal"/>
      <w:lvlText w:val="%1."/>
      <w:lvlJc w:val="left"/>
      <w:pPr>
        <w:ind w:left="150" w:hanging="1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8755412">
    <w:abstractNumId w:val="0"/>
  </w:num>
  <w:num w:numId="2" w16cid:durableId="88402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23"/>
    <w:rsid w:val="001F3323"/>
    <w:rsid w:val="003408C1"/>
    <w:rsid w:val="003428B1"/>
    <w:rsid w:val="00422A61"/>
    <w:rsid w:val="00A979F9"/>
    <w:rsid w:val="00B5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719BC"/>
  <w15:chartTrackingRefBased/>
  <w15:docId w15:val="{95D77D9C-7047-4C24-8ECA-B47ECADF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A61"/>
    <w:pPr>
      <w:spacing w:after="120" w:line="240" w:lineRule="atLeast"/>
    </w:pPr>
    <w:rPr>
      <w:rFonts w:ascii="Georgia" w:eastAsiaTheme="minorHAnsi"/>
      <w:kern w:val="0"/>
      <w:szCs w:val="22"/>
      <w:lang w:val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3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3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3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3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3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3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3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3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3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3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3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3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3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3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3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3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3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3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3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3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332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08C1"/>
    <w:pP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08C1"/>
    <w:rPr>
      <w:rFonts w:ascii="Georgia" w:eastAsiaTheme="minorHAnsi"/>
      <w:kern w:val="0"/>
      <w:sz w:val="18"/>
      <w:szCs w:val="18"/>
      <w:lang w:val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3408C1"/>
    <w:pPr>
      <w:tabs>
        <w:tab w:val="center" w:pos="4252"/>
        <w:tab w:val="right" w:pos="8504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08C1"/>
    <w:rPr>
      <w:rFonts w:ascii="Georgia" w:eastAsiaTheme="minorHAnsi"/>
      <w:kern w:val="0"/>
      <w:sz w:val="18"/>
      <w:szCs w:val="18"/>
      <w:lang w:val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289</Characters>
  <Application>Microsoft Office Word</Application>
  <DocSecurity>0</DocSecurity>
  <Lines>10</Lines>
  <Paragraphs>6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文迪 吴</dc:creator>
  <cp:keywords/>
  <dc:description/>
  <cp:lastModifiedBy>文迪 吴</cp:lastModifiedBy>
  <cp:revision>4</cp:revision>
  <dcterms:created xsi:type="dcterms:W3CDTF">2026-01-15T08:04:00Z</dcterms:created>
  <dcterms:modified xsi:type="dcterms:W3CDTF">2026-01-15T08:15:00Z</dcterms:modified>
</cp:coreProperties>
</file>