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pt-PT"/>
        </w:rPr>
      </w:pPr>
      <w:r>
        <w:rPr>
          <w:rFonts w:hint="default"/>
          <w:b/>
          <w:bCs/>
          <w:sz w:val="21"/>
          <w:szCs w:val="21"/>
          <w:lang w:val="pt-PT"/>
        </w:rPr>
        <w:t>Avaliação do BRAMS 6.0</w:t>
      </w:r>
    </w:p>
    <w:p>
      <w:pPr>
        <w:jc w:val="center"/>
        <w:rPr>
          <w:rFonts w:hint="default"/>
          <w:b/>
          <w:bCs/>
          <w:sz w:val="21"/>
          <w:szCs w:val="21"/>
          <w:lang w:val="pt-PT"/>
        </w:rPr>
      </w:pPr>
    </w:p>
    <w:p>
      <w:pPr>
        <w:jc w:val="center"/>
        <w:rPr>
          <w:rFonts w:hint="default"/>
          <w:b/>
          <w:bCs/>
          <w:sz w:val="21"/>
          <w:szCs w:val="21"/>
          <w:lang w:val="pt-PT"/>
        </w:rPr>
      </w:pPr>
      <w:r>
        <w:rPr>
          <w:rFonts w:hint="default"/>
          <w:b/>
          <w:bCs/>
          <w:sz w:val="21"/>
          <w:szCs w:val="21"/>
          <w:lang w:val="pt-PT"/>
        </w:rPr>
        <w:t>Plano de atividades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Avaliação de curto prazo </w:t>
      </w:r>
      <w:r>
        <w:rPr>
          <w:rFonts w:hint="default"/>
          <w:b/>
          <w:bCs/>
          <w:lang w:val="pt-PT"/>
        </w:rPr>
        <w:t>(Fase 1)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Visa identificar os erros nas previsões de precipitação e investigar suas causas. Ajustes necessários serão realizados no modelo visando a correção dos erros. Foram escolhidos dois casos independentes, ambos no mês de janeiro dos anos de 2021 e 2022.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Períodos de rodada: 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PT"/>
        </w:rPr>
      </w:pPr>
      <w:r>
        <w:rPr>
          <w:rFonts w:hint="default"/>
          <w:b w:val="0"/>
          <w:bCs w:val="0"/>
          <w:i/>
          <w:iCs/>
          <w:lang w:val="pt-PT"/>
        </w:rPr>
        <w:t>11 a 17 de janeiro de 2021</w:t>
      </w:r>
    </w:p>
    <w:p>
      <w:pPr>
        <w:numPr>
          <w:numId w:val="0"/>
        </w:numPr>
        <w:ind w:left="420" w:left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Chuvas intensas que ocorreram em várias regiões do Brasil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PT"/>
        </w:rPr>
      </w:pPr>
      <w:r>
        <w:rPr>
          <w:rFonts w:hint="default"/>
          <w:b w:val="0"/>
          <w:bCs w:val="0"/>
          <w:i/>
          <w:iCs/>
          <w:lang w:val="pt-PT"/>
        </w:rPr>
        <w:t>05 a 12 de janeiro de 2022</w:t>
      </w:r>
    </w:p>
    <w:p>
      <w:pPr>
        <w:ind w:firstLine="4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Chuvas intensas que ocorreram no final de março no litoral norte de São Paulo.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Avaliação final (Fase 3)</w:t>
      </w:r>
      <w:r>
        <w:rPr>
          <w:rFonts w:hint="default"/>
          <w:lang w:val="pt-PT"/>
        </w:rPr>
        <w:t xml:space="preserve"> 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Visa certificar os ajustes realizados no modelo após processo de investigação inicial (Fase 1). Nesta etapa, a avaliação final do modelo será realizada por um período de um mês. O relatório de avaliação da versão 5.6 será utilizado como base para as comparações com a avaliação da versão 6.0 do modelo.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Período de rodada: janeiro de 2021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Atividades relacionadas e responsáveis: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A1- Organização dos dados de condições iniciais e de contorno - Bárbara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A2- Organização do ambiente de execução do modelo - Denis e José Roberto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A3- Execução do modelo: Fase 1 - José Roberto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A4- Ajustes do modelo - Saulo e Luiz Flávio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A5- Avaliação das rodadas: Fase 1 - Ariane e Marley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A6- Execução do modelo: Fase 2 - José Roberto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A7- Avaliação das rodadas: Fase 2 - Ariane e Marley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A8- Entrega do relatório - Ariane e Marley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Cronograma</w:t>
      </w:r>
    </w:p>
    <w:p>
      <w:pPr>
        <w:jc w:val="both"/>
        <w:rPr>
          <w:rFonts w:hint="default"/>
          <w:lang w:val="pt-PT"/>
        </w:rPr>
      </w:pPr>
    </w:p>
    <w:tbl>
      <w:tblPr>
        <w:tblStyle w:val="4"/>
        <w:tblW w:w="87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4"/>
        <w:gridCol w:w="1041"/>
        <w:gridCol w:w="1041"/>
        <w:gridCol w:w="1032"/>
        <w:gridCol w:w="1042"/>
        <w:gridCol w:w="1323"/>
        <w:gridCol w:w="108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Atividades</w:t>
            </w:r>
          </w:p>
        </w:tc>
        <w:tc>
          <w:tcPr>
            <w:tcW w:w="104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02-06/05</w:t>
            </w:r>
          </w:p>
        </w:tc>
        <w:tc>
          <w:tcPr>
            <w:tcW w:w="104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09-13/05</w:t>
            </w:r>
          </w:p>
        </w:tc>
        <w:tc>
          <w:tcPr>
            <w:tcW w:w="1032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16-20/05</w:t>
            </w:r>
          </w:p>
        </w:tc>
        <w:tc>
          <w:tcPr>
            <w:tcW w:w="1042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23-27/05</w:t>
            </w:r>
          </w:p>
        </w:tc>
        <w:tc>
          <w:tcPr>
            <w:tcW w:w="1323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30/05-03/06</w:t>
            </w:r>
          </w:p>
        </w:tc>
        <w:tc>
          <w:tcPr>
            <w:tcW w:w="1085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06-10/06</w:t>
            </w:r>
          </w:p>
        </w:tc>
        <w:tc>
          <w:tcPr>
            <w:tcW w:w="1085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13-17/06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A1</w:t>
            </w:r>
          </w:p>
        </w:tc>
        <w:tc>
          <w:tcPr>
            <w:tcW w:w="1041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A2</w:t>
            </w:r>
          </w:p>
        </w:tc>
        <w:tc>
          <w:tcPr>
            <w:tcW w:w="1041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A3</w:t>
            </w: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A4</w:t>
            </w: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A5</w:t>
            </w: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bookmarkStart w:id="0" w:name="_GoBack"/>
            <w:bookmarkEnd w:id="0"/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A6</w:t>
            </w: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A7</w:t>
            </w: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4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pt-PT"/>
              </w:rPr>
              <w:t>A8</w:t>
            </w: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32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42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323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  <w:shd w:val="clear" w:color="auto" w:fill="auto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085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pt-PT"/>
              </w:rPr>
            </w:pPr>
          </w:p>
        </w:tc>
      </w:tr>
    </w:tbl>
    <w:p>
      <w:pPr>
        <w:jc w:val="both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D6E1A6"/>
    <w:multiLevelType w:val="multilevel"/>
    <w:tmpl w:val="6ED6E1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E0411"/>
    <w:rsid w:val="181B214F"/>
    <w:rsid w:val="2FFBF6E5"/>
    <w:rsid w:val="39FFA379"/>
    <w:rsid w:val="3FBB8986"/>
    <w:rsid w:val="59F7B88B"/>
    <w:rsid w:val="6BFDA511"/>
    <w:rsid w:val="7D7D619F"/>
    <w:rsid w:val="7EFFBFC0"/>
    <w:rsid w:val="7F6F5269"/>
    <w:rsid w:val="7FAEBB83"/>
    <w:rsid w:val="BDDE0411"/>
    <w:rsid w:val="BFFF4D3A"/>
    <w:rsid w:val="DDFB78D7"/>
    <w:rsid w:val="DFF752DD"/>
    <w:rsid w:val="EBBAB2DE"/>
    <w:rsid w:val="EFE7FFDE"/>
    <w:rsid w:val="F7FEC1C1"/>
    <w:rsid w:val="FCEFFB82"/>
    <w:rsid w:val="FDF69BFE"/>
    <w:rsid w:val="FF3F626A"/>
    <w:rsid w:val="FFEF503E"/>
    <w:rsid w:val="FFFF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2022-04-28T21:00:00Z</dcterms:created>
  <dc:creator>ariane</dc:creator>
  <cp:lastModifiedBy>ariane</cp:lastModifiedBy>
  <dcterms:modified xsi:type="dcterms:W3CDTF">2022-04-29T11:41:22Z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