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28"/>
          <w:szCs w:val="28"/>
        </w:rPr>
        <w:t xml:space="preserve">UNIVERSIDAD DE PAMPLONA</w:t>
      </w:r>
    </w:p>
    <w:p>
      <w:pPr>
        <w:spacing w:after="40"/>
        <w:jc w:val="center"/>
      </w:pPr>
      <w:r>
        <w:rPr>
          <w:rFonts w:ascii="Calibri" w:cs="Calibri" w:eastAsia="Calibri" w:hAnsi="Calibri"/>
          <w:b/>
          <w:bCs/>
          <w:sz w:val="24"/>
          <w:szCs w:val="24"/>
        </w:rPr>
        <w:t xml:space="preserve">Facultad de Ingenierías y Arquitectura</w:t>
      </w:r>
    </w:p>
    <w:p>
      <w:pPr>
        <w:spacing w:after="300"/>
        <w:jc w:val="center"/>
      </w:pPr>
      <w:r>
        <w:rPr>
          <w:rFonts w:ascii="Calibri" w:cs="Calibri" w:eastAsia="Calibri" w:hAnsi="Calibri"/>
          <w:b/>
          <w:bCs/>
          <w:sz w:val="24"/>
          <w:szCs w:val="24"/>
        </w:rPr>
        <w:t xml:space="preserve">Programa de Ingeniería de Sistemas</w:t>
      </w:r>
    </w:p>
    <w:p>
      <w:pPr>
        <w:spacing w:after="40"/>
        <w:jc w:val="center"/>
      </w:pPr>
      <w:r>
        <w:rPr>
          <w:rFonts w:ascii="Calibri" w:cs="Calibri" w:eastAsia="Calibri" w:hAnsi="Calibri"/>
          <w:b/>
          <w:bCs/>
          <w:sz w:val="26"/>
          <w:szCs w:val="26"/>
        </w:rPr>
        <w:t xml:space="preserve">GUÍA DE APRENDIZAJE No. 3</w:t>
      </w:r>
    </w:p>
    <w:p>
      <w:pPr>
        <w:keepNext/>
        <w:spacing w:after="300"/>
        <w:jc w:val="center"/>
      </w:pPr>
      <w:r>
        <w:rPr>
          <w:rFonts w:ascii="Calibri" w:cs="Calibri" w:eastAsia="Calibri" w:hAnsi="Calibri"/>
          <w:b/>
          <w:bCs/>
          <w:sz w:val="24"/>
          <w:szCs w:val="24"/>
        </w:rPr>
        <w:t xml:space="preserve">Toma de Decisiones Arquitectónicas: Trade-offs y Redacción de ADRs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Asignatura</w:t>
            </w:r>
          </w:p>
        </w:tc>
        <w:tc>
          <w:tcPr>
            <w:tcW w:type="dxa" w:w="65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Ingeniería de Software II</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Corte</w:t>
            </w:r>
          </w:p>
        </w:tc>
        <w:tc>
          <w:tcPr>
            <w:tcW w:type="dxa" w:w="65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Primer Corte</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Duración</w:t>
            </w:r>
          </w:p>
        </w:tc>
        <w:tc>
          <w:tcPr>
            <w:tcW w:type="dxa" w:w="65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Semana 3</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Proyecto integrador</w:t>
            </w:r>
          </w:p>
        </w:tc>
        <w:tc>
          <w:tcPr>
            <w:tcW w:type="dxa" w:w="65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Fase 19: Análisis formal de alternativas arquitectónicas y consolidación de la disciplina de ADRs</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Herramientas</w:t>
            </w:r>
          </w:p>
        </w:tc>
        <w:tc>
          <w:tcPr>
            <w:tcW w:type="dxa" w:w="65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Plantilla estándar de ADR, Mermaid/PlantUML + IA generativa auditada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Formato de entrega</w:t>
            </w:r>
          </w:p>
        </w:tc>
        <w:tc>
          <w:tcPr>
            <w:tcW w:type="dxa" w:w="65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Documento con taller resuelto y Ficha de Aplicación al Proyecto Integrador (FPI-19) diligenciada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Fecha límite</w:t>
            </w:r>
          </w:p>
        </w:tc>
        <w:tc>
          <w:tcPr>
            <w:tcW w:type="dxa" w:w="65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Domingo de la Semana 3, 11:59 p.m. (ver fecha exacta en el aula virtual)</w:t>
            </w:r>
          </w:p>
        </w:tc>
      </w:tr>
    </w:tbl>
    <w:p>
      <w:pPr>
        <w:spacing w:after="200"/>
      </w:pPr>
      <w:r>
        <w:rPr>
          <w:rFonts w:ascii="Calibri" w:cs="Calibri" w:eastAsia="Calibri" w:hAnsi="Calibri"/>
        </w:rPr>
        <w:t xml:space="preserve"/>
      </w:r>
    </w:p>
    <w:p>
      <w:pPr>
        <w:pStyle w:val="Heading1"/>
        <w:spacing w:after="160" w:before="300"/>
      </w:pPr>
      <w:r>
        <w:rPr>
          <w:rFonts w:ascii="Calibri" w:cs="Calibri" w:eastAsia="Calibri" w:hAnsi="Calibri"/>
          <w:b/>
          <w:bCs/>
        </w:rPr>
        <w:t xml:space="preserve">Fase 19 del Proyecto Integrador — Evolución del MVP</w:t>
      </w:r>
    </w:p>
    <w:p>
      <w:pPr>
        <w:spacing w:after="160"/>
      </w:pPr>
      <w:r>
        <w:rPr>
          <w:rFonts w:ascii="Calibri" w:cs="Calibri" w:eastAsia="Calibri" w:hAnsi="Calibri"/>
        </w:rPr>
        <w:t xml:space="preserve">La arquitectura de software no es un plano inmutable dibujado al inicio del proyecto bajo la fantasía del "Gran Diseño Previo". Se define, de forma más precisa, como el conjunto de decisiones de diseño técnicamente justificadas y registradas que dan forma al sistema. El valor de un arquitecto no está en trazar diagramas que nadie lee, sino en su capacidad de negociar compensaciones entre atributos de calidad en conflicto y registrar esas decisiones de forma ligera para que el sistema pueda evolucionar sin colapsar ante la rotación del equipo o el cambio de prioridades del negocio.</w:t>
      </w:r>
    </w:p>
    <w:p>
      <w:pPr>
        <w:spacing w:after="160"/>
      </w:pPr>
      <w:r>
        <w:rPr>
          <w:rFonts w:ascii="Calibri" w:cs="Calibri" w:eastAsia="Calibri" w:hAnsi="Calibri"/>
          <w:i/>
          <w:iCs/>
        </w:rPr>
        <w:t xml:space="preserve">Esta guía retoma los drivers y trade-offs de la FPI-18: ahora los convertirás en decisiones formales, comparando alternativas concretas y registrándolas con la plantilla completa de ADR que usarás durante el resto del semestre.</w:t>
      </w:r>
    </w:p>
    <w:p>
      <w:pPr>
        <w:pStyle w:val="Heading1"/>
        <w:spacing w:after="160" w:before="300"/>
      </w:pPr>
      <w:r>
        <w:rPr>
          <w:rFonts w:ascii="Calibri" w:cs="Calibri" w:eastAsia="Calibri" w:hAnsi="Calibri"/>
          <w:b/>
          <w:bCs/>
        </w:rPr>
        <w:t xml:space="preserve">Resultados de aprendizaje</w:t>
      </w:r>
    </w:p>
    <w:p>
      <w:pPr>
        <w:pStyle w:val="ListParagraph"/>
        <w:numPr>
          <w:ilvl w:val="0"/>
          <w:numId w:val="2"/>
        </w:numPr>
        <w:spacing w:after="120"/>
      </w:pPr>
      <w:r>
        <w:rPr>
          <w:rFonts w:ascii="Calibri" w:cs="Calibri" w:eastAsia="Calibri" w:hAnsi="Calibri"/>
        </w:rPr>
        <w:t xml:space="preserve">Evaluar y comparar alternativas de diseño arquitectónico contrastando trade-offs entre atributos de calidad.</w:t>
      </w:r>
    </w:p>
    <w:p>
      <w:pPr>
        <w:pStyle w:val="ListParagraph"/>
        <w:numPr>
          <w:ilvl w:val="0"/>
          <w:numId w:val="2"/>
        </w:numPr>
        <w:spacing w:after="120"/>
      </w:pPr>
      <w:r>
        <w:rPr>
          <w:rFonts w:ascii="Calibri" w:cs="Calibri" w:eastAsia="Calibri" w:hAnsi="Calibri"/>
        </w:rPr>
        <w:t xml:space="preserve">Documentar decisiones estructurales usando el estándar de Registro de Decisión de Arquitectura (ADR).</w:t>
      </w:r>
    </w:p>
    <w:p>
      <w:pPr>
        <w:pStyle w:val="ListParagraph"/>
        <w:numPr>
          <w:ilvl w:val="0"/>
          <w:numId w:val="2"/>
        </w:numPr>
        <w:spacing w:after="120"/>
      </w:pPr>
      <w:r>
        <w:rPr>
          <w:rFonts w:ascii="Calibri" w:cs="Calibri" w:eastAsia="Calibri" w:hAnsi="Calibri"/>
        </w:rPr>
        <w:t xml:space="preserve">Distinguir un ADR bien redactado (con alternativas consideradas y consecuencias) de uno superficial.</w:t>
      </w:r>
    </w:p>
    <w:p>
      <w:pPr>
        <w:pStyle w:val="ListParagraph"/>
        <w:numPr>
          <w:ilvl w:val="0"/>
          <w:numId w:val="2"/>
        </w:numPr>
        <w:spacing w:after="120"/>
      </w:pPr>
      <w:r>
        <w:rPr>
          <w:rFonts w:ascii="Calibri" w:cs="Calibri" w:eastAsia="Calibri" w:hAnsi="Calibri"/>
        </w:rPr>
        <w:t xml:space="preserve">Auditar críticamente patrones arquitectónicos sugeridos por IA, detectando alucinaciones estructurales y dependencias costosas.</w:t>
      </w:r>
    </w:p>
    <w:p>
      <w:pPr>
        <w:pStyle w:val="Heading1"/>
        <w:spacing w:after="160" w:before="300"/>
      </w:pPr>
      <w:r>
        <w:rPr>
          <w:rFonts w:ascii="Calibri" w:cs="Calibri" w:eastAsia="Calibri" w:hAnsi="Calibri"/>
          <w:b/>
          <w:bCs/>
        </w:rPr>
        <w:t xml:space="preserve">Objetivos</w:t>
      </w:r>
    </w:p>
    <w:p>
      <w:pPr>
        <w:pStyle w:val="Heading2"/>
        <w:spacing w:after="160" w:before="300"/>
      </w:pPr>
      <w:r>
        <w:rPr>
          <w:rFonts w:ascii="Calibri" w:cs="Calibri" w:eastAsia="Calibri" w:hAnsi="Calibri"/>
          <w:b/>
          <w:bCs/>
        </w:rPr>
        <w:t xml:space="preserve">General</w:t>
      </w:r>
    </w:p>
    <w:p>
      <w:pPr>
        <w:spacing w:after="160"/>
      </w:pPr>
      <w:r>
        <w:rPr>
          <w:rFonts w:ascii="Calibri" w:cs="Calibri" w:eastAsia="Calibri" w:hAnsi="Calibri"/>
        </w:rPr>
        <w:t xml:space="preserve">Formalizar el proceso de toma de decisiones arquitectónicas del proyecto integrador mediante el análisis comparado de alternativas y su registro riguroso en ADRs.</w:t>
      </w:r>
    </w:p>
    <w:p>
      <w:pPr>
        <w:pStyle w:val="Heading2"/>
        <w:spacing w:after="160" w:before="300"/>
      </w:pPr>
      <w:r>
        <w:rPr>
          <w:rFonts w:ascii="Calibri" w:cs="Calibri" w:eastAsia="Calibri" w:hAnsi="Calibri"/>
          <w:b/>
          <w:bCs/>
        </w:rPr>
        <w:t xml:space="preserve">Específicos</w:t>
      </w:r>
    </w:p>
    <w:p>
      <w:pPr>
        <w:pStyle w:val="ListParagraph"/>
        <w:numPr>
          <w:ilvl w:val="0"/>
          <w:numId w:val="2"/>
        </w:numPr>
        <w:spacing w:after="120"/>
      </w:pPr>
      <w:r>
        <w:rPr>
          <w:rFonts w:ascii="Calibri" w:cs="Calibri" w:eastAsia="Calibri" w:hAnsi="Calibri"/>
        </w:rPr>
        <w:t xml:space="preserve">Explicar por qué un ADR es un registro histórico e inmutable, no un documento que se reescribe.</w:t>
      </w:r>
    </w:p>
    <w:p>
      <w:pPr>
        <w:pStyle w:val="ListParagraph"/>
        <w:numPr>
          <w:ilvl w:val="0"/>
          <w:numId w:val="2"/>
        </w:numPr>
        <w:spacing w:after="120"/>
      </w:pPr>
      <w:r>
        <w:rPr>
          <w:rFonts w:ascii="Calibri" w:cs="Calibri" w:eastAsia="Calibri" w:hAnsi="Calibri"/>
        </w:rPr>
        <w:t xml:space="preserve">Comparar al menos dos alternativas de diseño para una misma decisión, con sus trade-offs.</w:t>
      </w:r>
    </w:p>
    <w:p>
      <w:pPr>
        <w:pStyle w:val="ListParagraph"/>
        <w:numPr>
          <w:ilvl w:val="0"/>
          <w:numId w:val="2"/>
        </w:numPr>
        <w:spacing w:after="120"/>
      </w:pPr>
      <w:r>
        <w:rPr>
          <w:rFonts w:ascii="Calibri" w:cs="Calibri" w:eastAsia="Calibri" w:hAnsi="Calibri"/>
        </w:rPr>
        <w:t xml:space="preserve">Redactar un ADR completo (título, estado, contexto, decisión, alternativas consideradas, consecuencias).</w:t>
      </w:r>
    </w:p>
    <w:p>
      <w:pPr>
        <w:pStyle w:val="ListParagraph"/>
        <w:numPr>
          <w:ilvl w:val="0"/>
          <w:numId w:val="2"/>
        </w:numPr>
        <w:spacing w:after="120"/>
      </w:pPr>
      <w:r>
        <w:rPr>
          <w:rFonts w:ascii="Calibri" w:cs="Calibri" w:eastAsia="Calibri" w:hAnsi="Calibri"/>
        </w:rPr>
        <w:t xml:space="preserve">Auditar una recomendación arquitectónica de IA identificando si está justificada en drivers reales o es una moda tecnológica.</w:t>
      </w:r>
    </w:p>
    <w:p>
      <w:pPr>
        <w:pStyle w:val="Heading1"/>
        <w:spacing w:after="160" w:before="300"/>
      </w:pPr>
      <w:r>
        <w:rPr>
          <w:rFonts w:ascii="Calibri" w:cs="Calibri" w:eastAsia="Calibri" w:hAnsi="Calibri"/>
          <w:b/>
          <w:bCs/>
        </w:rPr>
        <w:t xml:space="preserve">Saberes previos</w:t>
      </w:r>
    </w:p>
    <w:p>
      <w:pPr>
        <w:spacing w:after="160"/>
      </w:pPr>
      <w:r>
        <w:rPr>
          <w:rFonts w:ascii="Calibri" w:cs="Calibri" w:eastAsia="Calibri" w:hAnsi="Calibri"/>
        </w:rPr>
        <w:t xml:space="preserve">Antes de iniciar, responde (no se califica):</w:t>
      </w:r>
    </w:p>
    <w:p>
      <w:pPr>
        <w:pStyle w:val="ListParagraph"/>
        <w:numPr>
          <w:ilvl w:val="0"/>
          <w:numId w:val="2"/>
        </w:numPr>
        <w:spacing w:after="120"/>
      </w:pPr>
      <w:r>
        <w:rPr>
          <w:rFonts w:ascii="Calibri" w:cs="Calibri" w:eastAsia="Calibri" w:hAnsi="Calibri"/>
        </w:rPr>
        <w:t xml:space="preserve">¿Alguna vez tu equipo tomó una decisión técnica sin dejar registro de por qué, y meses después nadie recordaba la razón?</w:t>
      </w:r>
    </w:p>
    <w:p>
      <w:pPr>
        <w:pStyle w:val="ListParagraph"/>
        <w:numPr>
          <w:ilvl w:val="0"/>
          <w:numId w:val="2"/>
        </w:numPr>
        <w:spacing w:after="120"/>
      </w:pPr>
      <w:r>
        <w:rPr>
          <w:rFonts w:ascii="Calibri" w:cs="Calibri" w:eastAsia="Calibri" w:hAnsi="Calibri"/>
        </w:rPr>
        <w:t xml:space="preserve">En tu FPI-18, ¿qué trade-off te pareció más difícil de resolver?</w:t>
      </w:r>
    </w:p>
    <w:p>
      <w:pPr>
        <w:pStyle w:val="ListParagraph"/>
        <w:numPr>
          <w:ilvl w:val="0"/>
          <w:numId w:val="2"/>
        </w:numPr>
        <w:spacing w:after="120"/>
      </w:pPr>
      <w:r>
        <w:rPr>
          <w:rFonts w:ascii="Calibri" w:cs="Calibri" w:eastAsia="Calibri" w:hAnsi="Calibri"/>
        </w:rPr>
        <w:t xml:space="preserve">¿Sabes qué significa que una decisión sea "deliberada y prudente" (Guía 1)? Los ADR documentan exactamente ese tipo de decisiones.</w:t>
      </w:r>
    </w:p>
    <w:p>
      <w:pPr>
        <w:pStyle w:val="Heading1"/>
        <w:spacing w:after="160" w:before="300"/>
      </w:pPr>
      <w:r>
        <w:rPr>
          <w:rFonts w:ascii="Calibri" w:cs="Calibri" w:eastAsia="Calibri" w:hAnsi="Calibri"/>
          <w:b/>
          <w:bCs/>
        </w:rPr>
        <w:t xml:space="preserve">Concepto 1 — El ADR como registro histórico e inmutable</w:t>
      </w:r>
    </w:p>
    <w:p>
      <w:pPr>
        <w:spacing w:after="160"/>
      </w:pPr>
      <w:r>
        <w:rPr>
          <w:rFonts w:ascii="Calibri" w:cs="Calibri" w:eastAsia="Calibri" w:hAnsi="Calibri"/>
        </w:rPr>
        <w:t xml:space="preserve">Un Architecture Decision Record (ADR) es un documento corto que captura una decisión estructural importante junto con su contexto y consecuencias. A diferencia de un manual que se actualiza constantemente, un ADR es inmutable una vez aceptado: si la decisión cambia después, no se edita el ADR original, se crea uno nuevo que lo reemplaza y referencia (estado "Reemplazado por ADR-0X"). Esto preserva la trazabilidad histórica: cualquier persona que se una al equipo puede entender no solo qué se decidió, sino por qué, y qué alternativas se descartaron.</w:t>
      </w:r>
    </w:p>
    <w:p>
      <w:pPr>
        <w:pStyle w:val="Heading1"/>
        <w:keepNext/>
        <w:spacing w:after="160" w:before="300"/>
      </w:pPr>
      <w:r>
        <w:rPr>
          <w:rFonts w:ascii="Calibri" w:cs="Calibri" w:eastAsia="Calibri" w:hAnsi="Calibri"/>
          <w:b/>
          <w:bCs/>
        </w:rPr>
        <w:t xml:space="preserve">Concepto 2 — Estructura completa de un ADR profesional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7450"/>
      </w:tblGrid>
      <w:tr>
        <w:tc>
          <w:tcPr>
            <w:tcW w:type="dxa" w:w="19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Campo</w:t>
            </w:r>
          </w:p>
        </w:tc>
        <w:tc>
          <w:tcPr>
            <w:tcW w:type="dxa" w:w="745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Contenido</w:t>
            </w:r>
          </w:p>
        </w:tc>
      </w:tr>
      <w:tr>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Título</w:t>
            </w:r>
          </w:p>
        </w:tc>
        <w:tc>
          <w:tcPr>
            <w:tcW w:type="dxa" w:w="74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Frase corta y descriptiva de la decisión (no del problema).</w:t>
            </w:r>
          </w:p>
        </w:tc>
      </w:tr>
      <w:tr>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Estado</w:t>
            </w:r>
          </w:p>
        </w:tc>
        <w:tc>
          <w:tcPr>
            <w:tcW w:type="dxa" w:w="74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Propuesto, Aceptado, Rechazado o Reemplazado.</w:t>
            </w:r>
          </w:p>
        </w:tc>
      </w:tr>
      <w:tr>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Contexto</w:t>
            </w:r>
          </w:p>
        </w:tc>
        <w:tc>
          <w:tcPr>
            <w:tcW w:type="dxa" w:w="74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La situación y las fuerzas en juego (drivers arquitectónicos, restricciones de la MiPyme, deuda técnica relevante).</w:t>
            </w:r>
          </w:p>
        </w:tc>
      </w:tr>
      <w:tr>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Alternativas consideradas</w:t>
            </w:r>
          </w:p>
        </w:tc>
        <w:tc>
          <w:tcPr>
            <w:tcW w:type="dxa" w:w="74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Al menos dos opciones evaluadas, con sus ventajas y desventajas respecto a los atributos de calidad.</w:t>
            </w:r>
          </w:p>
        </w:tc>
      </w:tr>
      <w:tr>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Decisión</w:t>
            </w:r>
          </w:p>
        </w:tc>
        <w:tc>
          <w:tcPr>
            <w:tcW w:type="dxa" w:w="74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Qué se decidió, en una frase clara y directa.</w:t>
            </w:r>
          </w:p>
        </w:tc>
      </w:tr>
      <w:tr>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Consecuencias</w:t>
            </w:r>
          </w:p>
        </w:tc>
        <w:tc>
          <w:tcPr>
            <w:tcW w:type="dxa" w:w="74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Efectos positivos y negativos esperados, incluyendo qué trade-off se aceptó.</w:t>
            </w:r>
          </w:p>
        </w:tc>
      </w:tr>
    </w:tbl>
    <w:p>
      <w:pPr>
        <w:spacing w:after="200"/>
      </w:pPr>
      <w:r>
        <w:rPr>
          <w:rFonts w:ascii="Calibri" w:cs="Calibri" w:eastAsia="Calibri" w:hAnsi="Calibri"/>
        </w:rPr>
        <w:t xml:space="preserve"/>
      </w:r>
    </w:p>
    <w:p>
      <w:pPr>
        <w:spacing w:after="160"/>
      </w:pPr>
      <w:r>
        <w:rPr>
          <w:rFonts w:ascii="Calibri" w:cs="Calibri" w:eastAsia="Calibri" w:hAnsi="Calibri"/>
          <w:i/>
          <w:iCs/>
        </w:rPr>
        <w:t xml:space="preserve">Un ADR sin alternativas consideradas es solo una afirmación de autoridad ("lo decidimos así porque sí"), no una decisión de ingeniería. La comparación explícita de opciones es lo que convierte un ADR en evidencia de rigor técnico.</w:t>
      </w:r>
    </w:p>
    <w:p>
      <w:pPr>
        <w:pStyle w:val="Heading1"/>
        <w:spacing w:after="160" w:before="300"/>
      </w:pPr>
      <w:r>
        <w:rPr>
          <w:rFonts w:ascii="Calibri" w:cs="Calibri" w:eastAsia="Calibri" w:hAnsi="Calibri"/>
          <w:b/>
          <w:bCs/>
        </w:rPr>
        <w:t xml:space="preserve">Concepto 3 — Comparación de alternativas mediante matriz de decisión</w:t>
      </w:r>
    </w:p>
    <w:p>
      <w:pPr>
        <w:spacing w:after="160"/>
      </w:pPr>
      <w:r>
        <w:rPr>
          <w:rFonts w:ascii="Calibri" w:cs="Calibri" w:eastAsia="Calibri" w:hAnsi="Calibri"/>
        </w:rPr>
        <w:t xml:space="preserve">Antes de redactar el ADR, es útil construir una matriz simple que compare cada alternativa contra los drivers de calidad priorizados en la FPI-18: para cada opción, se valora (alto/medio/bajo) su desempeño frente a cada atributo relevante. Esto hace explícito el trade-off y facilita defender la decisión ante el equipo o un evaluador externo.</w:t>
      </w:r>
    </w:p>
    <w:p>
      <w:pPr>
        <w:pStyle w:val="Heading1"/>
        <w:spacing w:after="160" w:before="300"/>
      </w:pPr>
      <w:r>
        <w:rPr>
          <w:rFonts w:ascii="Calibri" w:cs="Calibri" w:eastAsia="Calibri" w:hAnsi="Calibri"/>
          <w:b/>
          <w:bCs/>
        </w:rPr>
        <w:t xml:space="preserve">Concepto 4 — Detectar alucinaciones estructurales de la IA</w:t>
      </w:r>
    </w:p>
    <w:p>
      <w:pPr>
        <w:spacing w:after="160"/>
      </w:pPr>
      <w:r>
        <w:rPr>
          <w:rFonts w:ascii="Calibri" w:cs="Calibri" w:eastAsia="Calibri" w:hAnsi="Calibri"/>
        </w:rPr>
        <w:t xml:space="preserve">Al pedir a una IA que sugiera o compare patrones arquitectónicos, es frecuente que proponga soluciones populares en la industria global (microservicios, serverless, colas de mensajería distribuidas) sin considerar el contexto real de una MiPyme pequeña. Esto no es un error de sintaxis: es una alucinación estructural, una recomendación técnicamente plausible pero desconectada del contexto real del proyecto.</w:t>
      </w:r>
    </w:p>
    <w:p>
      <w:pPr>
        <w:spacing w:after="160"/>
      </w:pPr>
      <w:r>
        <w:rPr>
          <w:rFonts w:ascii="Calibri" w:cs="Calibri" w:eastAsia="Calibri" w:hAnsi="Calibri"/>
          <w:b/>
          <w:bCs/>
        </w:rPr>
        <w:t xml:space="preserve">Regla de oro de esta guía: </w:t>
      </w:r>
      <w:r>
        <w:rPr>
          <w:rFonts w:ascii="Calibri" w:cs="Calibri" w:eastAsia="Calibri" w:hAnsi="Calibri"/>
          <w:i/>
          <w:iCs/>
        </w:rPr>
        <w:t xml:space="preserve">"Ninguna decisión arquitectónica se acepta sin al menos dos alternativas comparadas explícitamente contra los drivers de calidad reales del proyecto."</w:t>
      </w:r>
    </w:p>
    <w:p>
      <w:pPr>
        <w:pStyle w:val="Heading1"/>
        <w:spacing w:after="160" w:before="300"/>
      </w:pPr>
      <w:r>
        <w:rPr>
          <w:rFonts w:ascii="Calibri" w:cs="Calibri" w:eastAsia="Calibri" w:hAnsi="Calibri"/>
          <w:b/>
          <w:bCs/>
        </w:rPr>
        <w:t xml:space="preserve">Taller</w:t>
      </w:r>
    </w:p>
    <w:p>
      <w:pPr>
        <w:pStyle w:val="Heading2"/>
        <w:spacing w:after="160" w:before="300"/>
      </w:pPr>
      <w:r>
        <w:rPr>
          <w:rFonts w:ascii="Calibri" w:cs="Calibri" w:eastAsia="Calibri" w:hAnsi="Calibri"/>
          <w:b/>
          <w:bCs/>
        </w:rPr>
        <w:t xml:space="preserve">Nivel Básico (análisis conceptual)</w:t>
      </w:r>
    </w:p>
    <w:p>
      <w:pPr>
        <w:pStyle w:val="Heading3"/>
        <w:spacing w:after="160" w:before="300"/>
      </w:pPr>
      <w:r>
        <w:rPr>
          <w:rFonts w:ascii="Calibri" w:cs="Calibri" w:eastAsia="Calibri" w:hAnsi="Calibri"/>
          <w:b/>
          <w:bCs/>
        </w:rPr>
        <w:t xml:space="preserve">Ejercicio 1</w:t>
      </w:r>
    </w:p>
    <w:p>
      <w:pPr>
        <w:spacing w:after="160"/>
      </w:pPr>
      <w:r>
        <w:rPr>
          <w:rFonts w:ascii="Calibri" w:cs="Calibri" w:eastAsia="Calibri" w:hAnsi="Calibri"/>
        </w:rPr>
        <w:t xml:space="preserve">Explica con tus palabras, en máximo 100 palabras, por qué un ADR debe tratarse como un registro inmutable y no como un documento que se edita libremente.</w:t>
      </w:r>
    </w:p>
    <w:p>
      <w:pPr>
        <w:spacing w:after="160"/>
      </w:pPr>
      <w:r>
        <w:rPr>
          <w:rFonts w:ascii="Calibri" w:cs="Calibri" w:eastAsia="Calibri" w:hAnsi="Calibri"/>
          <w:b/>
          <w:bCs/>
        </w:rPr>
        <w:t xml:space="preserve">R/= </w:t>
      </w:r>
      <w:r>
        <w:rPr>
          <w:rFonts w:ascii="Calibri" w:cs="Calibri" w:eastAsia="Calibri" w:hAnsi="Calibri"/>
        </w:rPr>
        <w:t xml:space="preserve">Porque su valor está en mostrar qué se sabía y qué se pensaba en el momento de decidir. Si alguien edita el ADR cuando la decisión cambia, borra justo eso: el contexto original, las alternativas que se descartaron y por qué. El que llegue después verá una decisión que parece obvia y no entenderá los errores que evitó, o repetirá una discusión que ya se tuvo. Por eso, cuando una decisión cambia, se escribe un ADR nuevo que explica qué cambió, y el anterior solo pasa a «Reemplazado por ADR-0X». Es como un acta de reunión: no se corrige; se hace otra.</w:t>
      </w:r>
    </w:p>
    <w:p>
      <w:pPr>
        <w:pStyle w:val="Heading3"/>
        <w:spacing w:after="160" w:before="300"/>
      </w:pPr>
      <w:r>
        <w:rPr>
          <w:rFonts w:ascii="Calibri" w:cs="Calibri" w:eastAsia="Calibri" w:hAnsi="Calibri"/>
          <w:b/>
          <w:bCs/>
        </w:rPr>
        <w:t xml:space="preserve">Ejercicio 2</w:t>
      </w:r>
    </w:p>
    <w:p>
      <w:pPr>
        <w:spacing w:after="160"/>
      </w:pPr>
      <w:r>
        <w:rPr>
          <w:rFonts w:ascii="Calibri" w:cs="Calibri" w:eastAsia="Calibri" w:hAnsi="Calibri"/>
        </w:rPr>
        <w:t xml:space="preserve">Para un caso ficticio (elegir entre almacenamiento local en archivo o una base de datos relacional para una tienda pequeña), redacta un ADR completo con los 6 campos del Concepto 2.</w:t>
      </w:r>
    </w:p>
    <w:p>
      <w:pPr>
        <w:keepNext/>
        <w:spacing w:after="160"/>
      </w:pPr>
      <w:r>
        <w:rPr>
          <w:rFonts w:ascii="Calibri" w:cs="Calibri" w:eastAsia="Calibri" w:hAnsi="Calibri"/>
          <w:b/>
          <w:bCs/>
        </w:rPr>
        <w:t xml:space="preserve">R/= </w:t>
      </w:r>
      <w:r>
        <w:rPr>
          <w:rFonts w:ascii="Calibri" w:cs="Calibri" w:eastAsia="Calibri" w:hAnsi="Calibri"/>
        </w:rPr>
        <w:t xml:space="preserve">Caso ficticio: la tienda de barrio Surtidora La 10, en Pamplona, quiere dejar de llevar el inventario y las ventas en un cuaderno. La usa el dueño en un solo computador de mostrador, a veces con su hija, y venden unos 150 productos.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7050"/>
      </w:tblGrid>
      <w:tr>
        <w:trPr>
          <w:tblHeader/>
        </w:trPr>
        <w:tc>
          <w:tcPr>
            <w:tcW w:type="dxa" w:w="23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Campo</w:t>
            </w:r>
          </w:p>
        </w:tc>
        <w:tc>
          <w:tcPr>
            <w:tcW w:type="dxa" w:w="705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ADR · Guardar ventas e inventario en SQLite</w:t>
            </w:r>
          </w:p>
        </w:tc>
      </w:tr>
      <w:tr>
        <w:trPr>
          <w:cantSplit/>
        </w:trPr>
        <w:tc>
          <w:tcPr>
            <w:tcW w:type="dxa" w:w="2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Título</w:t>
            </w:r>
          </w:p>
        </w:tc>
        <w:tc>
          <w:tcPr>
            <w:tcW w:type="dxa" w:w="70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Guardar el inventario y las ventas en una base de datos SQLite local.</w:t>
            </w:r>
          </w:p>
        </w:tc>
      </w:tr>
      <w:tr>
        <w:trPr>
          <w:cantSplit/>
        </w:trPr>
        <w:tc>
          <w:tcPr>
            <w:tcW w:type="dxa" w:w="2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Estado</w:t>
            </w:r>
          </w:p>
        </w:tc>
        <w:tc>
          <w:tcPr>
            <w:tcW w:type="dxa" w:w="70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Aceptado.</w:t>
            </w:r>
          </w:p>
        </w:tc>
      </w:tr>
      <w:tr>
        <w:trPr>
          <w:cantSplit/>
        </w:trPr>
        <w:tc>
          <w:tcPr>
            <w:tcW w:type="dxa" w:w="2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Contexto</w:t>
            </w:r>
          </w:p>
        </w:tc>
        <w:tc>
          <w:tcPr>
            <w:tcW w:type="dxa" w:w="70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Un solo computador, sin servidor y con internet que se cae. El dueño no sabe administrar bases de datos y no hay presupuesto para hosting. Necesita que una venta y el descuento del inventario no queden a medias si se va la luz, y poder sacar un reporte de lo vendido en el mes.</w:t>
            </w:r>
          </w:p>
        </w:tc>
      </w:tr>
      <w:tr>
        <w:trPr>
          <w:cantSplit/>
        </w:trPr>
        <w:tc>
          <w:tcPr>
            <w:tcW w:type="dxa" w:w="2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Alternativas consideradas</w:t>
            </w:r>
          </w:p>
        </w:tc>
        <w:tc>
          <w:tcPr>
            <w:tcW w:type="dxa" w:w="70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2"/>
              </w:numPr>
              <w:spacing w:after="60"/>
            </w:pPr>
            <w:r>
              <w:rPr>
                <w:rFonts w:ascii="Calibri" w:cs="Calibri" w:eastAsia="Calibri" w:hAnsi="Calibri"/>
                <w:sz w:val="19"/>
                <w:szCs w:val="19"/>
              </w:rPr>
              <w:t xml:space="preserve">Archivo local CSV o JSON: no hay nada que instalar y se puede abrir en Excel, pero si se va la luz mientras se escribe, el archivo puede quedar dañado; no hay transacciones y los reportes hay que programarlos a mano.</w:t>
            </w:r>
          </w:p>
          <w:p>
            <w:pPr>
              <w:pStyle w:val="ListParagraph"/>
              <w:numPr>
                <w:ilvl w:val="0"/>
                <w:numId w:val="2"/>
              </w:numPr>
              <w:spacing w:after="60"/>
            </w:pPr>
            <w:r>
              <w:rPr>
                <w:rFonts w:ascii="Calibri" w:cs="Calibri" w:eastAsia="Calibri" w:hAnsi="Calibri"/>
                <w:sz w:val="19"/>
                <w:szCs w:val="19"/>
              </w:rPr>
              <w:t xml:space="preserve">SQLite: base de datos relacional en un solo archivo, sin servidor ni administración, con transacciones y consultas SQL. Su límite es la escritura concurrente desde varios equipos.</w:t>
            </w:r>
          </w:p>
          <w:p>
            <w:pPr>
              <w:pStyle w:val="ListParagraph"/>
              <w:numPr>
                <w:ilvl w:val="0"/>
                <w:numId w:val="2"/>
              </w:numPr>
              <w:spacing w:after="0"/>
            </w:pPr>
            <w:r>
              <w:rPr>
                <w:rFonts w:ascii="Calibri" w:cs="Calibri" w:eastAsia="Calibri" w:hAnsi="Calibri"/>
                <w:sz w:val="19"/>
                <w:szCs w:val="19"/>
              </w:rPr>
              <w:t xml:space="preserve">PostgreSQL en un servidor o en la nube: el más completo, pero exige instalar y mantener un servidor o pagar un servicio, y depende del internet que justo falla.</w:t>
            </w:r>
          </w:p>
        </w:tc>
      </w:tr>
      <w:tr>
        <w:trPr>
          <w:cantSplit/>
        </w:trPr>
        <w:tc>
          <w:tcPr>
            <w:tcW w:type="dxa" w:w="2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Decisión</w:t>
            </w:r>
          </w:p>
        </w:tc>
        <w:tc>
          <w:tcPr>
            <w:tcW w:type="dxa" w:w="70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Usar SQLite como almacenamiento de la aplicación de la tienda.</w:t>
            </w:r>
          </w:p>
        </w:tc>
      </w:tr>
      <w:tr>
        <w:trPr>
          <w:cantSplit/>
        </w:trPr>
        <w:tc>
          <w:tcPr>
            <w:tcW w:type="dxa" w:w="2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Consecuencias</w:t>
            </w:r>
          </w:p>
        </w:tc>
        <w:tc>
          <w:tcPr>
            <w:tcW w:type="dxa" w:w="70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sz w:val="19"/>
                <w:szCs w:val="19"/>
              </w:rPr>
              <w:t xml:space="preserve">A favor: cada venta y su descuento de inventario se guardan en una sola transacción, los reportes salen con una consulta y la copia de seguridad es copiar un archivo a una memoria USB.</w:t>
            </w:r>
          </w:p>
          <w:p>
            <w:pPr>
              <w:spacing w:after="0"/>
            </w:pPr>
            <w:r>
              <w:rPr>
                <w:rFonts w:ascii="Calibri" w:cs="Calibri" w:eastAsia="Calibri" w:hAnsi="Calibri"/>
                <w:sz w:val="19"/>
                <w:szCs w:val="19"/>
              </w:rPr>
              <w:t xml:space="preserve">En contra: si la tienda llega a tener dos cajas registrando al tiempo, SQLite se queda corto y habrá que escribir un ADR nuevo para pasar a PostgreSQL. Se acepta porque hoy hay un solo computador.</w:t>
            </w:r>
          </w:p>
        </w:tc>
      </w:tr>
    </w:tbl>
    <w:p>
      <w:pPr>
        <w:spacing w:after="120"/>
      </w:pPr>
    </w:p>
    <w:p>
      <w:pPr>
        <w:spacing w:after="160"/>
      </w:pPr>
      <w:r>
        <w:rPr>
          <w:rFonts w:ascii="Calibri" w:cs="Calibri" w:eastAsia="Calibri" w:hAnsi="Calibri"/>
        </w:rPr>
        <w:t xml:space="preserve">El archivo se descartó por el riesgo de perder ventas cuando se va la luz, que es justo lo que pasa en la tienda. PostgreSQL se descartó porque resuelve un problema de varios usuarios que la tienda no tiene, a cambio de un costo y de una dependencia del internet que sí tiene.</w:t>
      </w:r>
    </w:p>
    <w:p>
      <w:pPr>
        <w:pStyle w:val="Heading2"/>
        <w:spacing w:after="160" w:before="300"/>
      </w:pPr>
      <w:r>
        <w:rPr>
          <w:rFonts w:ascii="Calibri" w:cs="Calibri" w:eastAsia="Calibri" w:hAnsi="Calibri"/>
          <w:b/>
          <w:bCs/>
        </w:rPr>
        <w:t xml:space="preserve">Nivel Intermedio (matriz de decisión + auditoría a la IA)</w:t>
      </w:r>
    </w:p>
    <w:p>
      <w:pPr>
        <w:pStyle w:val="Heading3"/>
        <w:spacing w:after="160" w:before="300"/>
      </w:pPr>
      <w:r>
        <w:rPr>
          <w:rFonts w:ascii="Calibri" w:cs="Calibri" w:eastAsia="Calibri" w:hAnsi="Calibri"/>
          <w:b/>
          <w:bCs/>
        </w:rPr>
        <w:t xml:space="preserve">Ejercicio 3</w:t>
      </w:r>
    </w:p>
    <w:p>
      <w:pPr>
        <w:spacing w:after="160"/>
      </w:pPr>
      <w:r>
        <w:rPr>
          <w:rFonts w:ascii="Calibri" w:cs="Calibri" w:eastAsia="Calibri" w:hAnsi="Calibri"/>
        </w:rPr>
        <w:t xml:space="preserve">Construye una matriz de decisión (alto/medio/bajo) comparando dos alternativas arquitectónicas reales de tu proyecto contra tus tres drivers priorizados en la FPI-18.</w:t>
      </w:r>
    </w:p>
    <w:p>
      <w:pPr>
        <w:keepNext/>
        <w:spacing w:after="160"/>
      </w:pPr>
      <w:r>
        <w:rPr>
          <w:rFonts w:ascii="Calibri" w:cs="Calibri" w:eastAsia="Calibri" w:hAnsi="Calibri"/>
          <w:b/>
          <w:bCs/>
        </w:rPr>
        <w:t xml:space="preserve">R/= </w:t>
      </w:r>
      <w:r>
        <w:rPr>
          <w:rFonts w:ascii="Calibri" w:cs="Calibri" w:eastAsia="Calibri" w:hAnsi="Calibri"/>
        </w:rPr>
        <w:t xml:space="preserve">Comparé tres formas reales de construir y desplegar FitManage contra los tres drivers del ADR N.° 02. Agregué una cuarta fila de desempate, costo y esfuerzo, porque desarrollo solo y con costo cero (R-01).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2350"/>
        <w:gridCol w:w="2300"/>
      </w:tblGrid>
      <w:tr>
        <w:trPr>
          <w:tblHeader/>
        </w:trPr>
        <w:tc>
          <w:tcPr>
            <w:tcW w:type="dxa" w:w="235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8"/>
                <w:szCs w:val="18"/>
              </w:rPr>
              <w:t xml:space="preserve">Driver</w:t>
            </w:r>
          </w:p>
        </w:tc>
        <w:tc>
          <w:tcPr>
            <w:tcW w:type="dxa" w:w="235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8"/>
                <w:szCs w:val="18"/>
              </w:rPr>
              <w:t xml:space="preserve">A. Una aplicación Django (plantillas en el servidor + Service Worker)</w:t>
            </w:r>
          </w:p>
        </w:tc>
        <w:tc>
          <w:tcPr>
            <w:tcW w:type="dxa" w:w="235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8"/>
                <w:szCs w:val="18"/>
              </w:rPr>
              <w:t xml:space="preserve">B. API REST en Django + SPA en React</w:t>
            </w:r>
          </w:p>
        </w:tc>
        <w:tc>
          <w:tcPr>
            <w:tcW w:type="dxa" w:w="23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8"/>
                <w:szCs w:val="18"/>
              </w:rPr>
              <w:t xml:space="preserve">C. Microservicios</w:t>
            </w:r>
          </w:p>
        </w:tc>
      </w:tr>
      <w:tr>
        <w:trPr>
          <w:cantSplit/>
        </w:trPr>
        <w:tc>
          <w:tcPr>
            <w:tcW w:type="dxa" w:w="23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8"/>
                <w:szCs w:val="18"/>
              </w:rPr>
              <w:t xml:space="preserve">1. Fiabilidad de pagos y fechas (QA-03, QA-05)</w:t>
            </w:r>
          </w:p>
        </w:tc>
        <w:tc>
          <w:tcPr>
            <w:tcW w:type="dxa" w:w="23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8"/>
                <w:szCs w:val="18"/>
              </w:rPr>
              <w:t xml:space="preserve">Alto. El pago y su auditoría quedan en una transacción de PostgreSQL y las reglas viven solo en el dominio.</w:t>
            </w:r>
          </w:p>
        </w:tc>
        <w:tc>
          <w:tcPr>
            <w:tcW w:type="dxa" w:w="23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8"/>
                <w:szCs w:val="18"/>
              </w:rPr>
              <w:t xml:space="preserve">Alto. Igual que A en el servidor, siempre que la SPA no recalcule fechas, que es justo el error del prototipo (DT-04).</w:t>
            </w:r>
          </w:p>
        </w:tc>
        <w:tc>
          <w:tcPr>
            <w:tcW w:type="dxa" w:w="2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8"/>
                <w:szCs w:val="18"/>
              </w:rPr>
              <w:t xml:space="preserve">Bajo. Pagos, membresías y auditoría quedarían en bases distintas; sin transacciones distribuidas o sagas se pueden perder o duplicar eventos.</w:t>
            </w:r>
          </w:p>
        </w:tc>
      </w:tr>
      <w:tr>
        <w:trPr>
          <w:cantSplit/>
        </w:trPr>
        <w:tc>
          <w:tcPr>
            <w:tcW w:type="dxa" w:w="23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8"/>
                <w:szCs w:val="18"/>
              </w:rPr>
              <w:t xml:space="preserve">2. Disponibilidad de la consulta sin conexión (QA-02, QA-01)</w:t>
            </w:r>
          </w:p>
        </w:tc>
        <w:tc>
          <w:tcPr>
            <w:tcW w:type="dxa" w:w="23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8"/>
                <w:szCs w:val="18"/>
              </w:rPr>
              <w:t xml:space="preserve">Alto. El Service Worker guarda la respuesta de </w:t>
            </w:r>
            <w:r>
              <w:rPr>
                <w:rFonts w:ascii="Consolas" w:cs="Consolas" w:eastAsia="Consolas" w:hAnsi="Consolas"/>
                <w:sz w:val="17"/>
                <w:szCs w:val="17"/>
              </w:rPr>
              <w:t xml:space="preserve">/api/v1/estados/</w:t>
            </w:r>
            <w:r>
              <w:rPr>
                <w:rFonts w:ascii="Calibri" w:cs="Calibri" w:eastAsia="Calibri" w:hAnsi="Calibri"/>
                <w:sz w:val="18"/>
                <w:szCs w:val="18"/>
              </w:rPr>
              <w:t xml:space="preserve"> y responde desde caché.</w:t>
            </w:r>
          </w:p>
        </w:tc>
        <w:tc>
          <w:tcPr>
            <w:tcW w:type="dxa" w:w="23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8"/>
                <w:szCs w:val="18"/>
              </w:rPr>
              <w:t xml:space="preserve">Alto. Una SPA maneja muy bien la caché sin conexión.</w:t>
            </w:r>
          </w:p>
        </w:tc>
        <w:tc>
          <w:tcPr>
            <w:tcW w:type="dxa" w:w="2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8"/>
                <w:szCs w:val="18"/>
              </w:rPr>
              <w:t xml:space="preserve">Medio. Se puede lograr, pero con más piezas que pueden fallar entre la recepción y los datos.</w:t>
            </w:r>
          </w:p>
        </w:tc>
      </w:tr>
      <w:tr>
        <w:trPr>
          <w:cantSplit/>
        </w:trPr>
        <w:tc>
          <w:tcPr>
            <w:tcW w:type="dxa" w:w="23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8"/>
                <w:szCs w:val="18"/>
              </w:rPr>
              <w:t xml:space="preserve">3. Seguridad del acceso y de los datos (QA-04)</w:t>
            </w:r>
          </w:p>
        </w:tc>
        <w:tc>
          <w:tcPr>
            <w:tcW w:type="dxa" w:w="23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8"/>
                <w:szCs w:val="18"/>
              </w:rPr>
              <w:t xml:space="preserve">Alto. La autorización por rol se revisa en un solo lugar del servidor.</w:t>
            </w:r>
          </w:p>
        </w:tc>
        <w:tc>
          <w:tcPr>
            <w:tcW w:type="dxa" w:w="23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8"/>
                <w:szCs w:val="18"/>
              </w:rPr>
              <w:t xml:space="preserve">Medio. Hay que proteger la API y además cuidar que el cliente no muestre lo que no debe; son dos lugares donde equivocarse.</w:t>
            </w:r>
          </w:p>
        </w:tc>
        <w:tc>
          <w:tcPr>
            <w:tcW w:type="dxa" w:w="2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8"/>
                <w:szCs w:val="18"/>
              </w:rPr>
              <w:t xml:space="preserve">Medio. Cada servicio debe validar el token y los permisos; más superficie de ataque.</w:t>
            </w:r>
          </w:p>
        </w:tc>
      </w:tr>
      <w:tr>
        <w:trPr>
          <w:cantSplit/>
        </w:trPr>
        <w:tc>
          <w:tcPr>
            <w:tcW w:type="dxa" w:w="23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8"/>
                <w:szCs w:val="18"/>
              </w:rPr>
              <w:t xml:space="preserve">Desempate: costo y esfuerzo para un desarrollador</w:t>
            </w:r>
          </w:p>
        </w:tc>
        <w:tc>
          <w:tcPr>
            <w:tcW w:type="dxa" w:w="23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8"/>
                <w:szCs w:val="18"/>
              </w:rPr>
              <w:t xml:space="preserve">Alto. Un proyecto y un despliegue en la capa gratuita.</w:t>
            </w:r>
          </w:p>
        </w:tc>
        <w:tc>
          <w:tcPr>
            <w:tcW w:type="dxa" w:w="23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8"/>
                <w:szCs w:val="18"/>
              </w:rPr>
              <w:t xml:space="preserve">Medio. Dos proyectos, dos despliegues y dos conjuntos de pruebas.</w:t>
            </w:r>
          </w:p>
        </w:tc>
        <w:tc>
          <w:tcPr>
            <w:tcW w:type="dxa" w:w="2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8"/>
                <w:szCs w:val="18"/>
              </w:rPr>
              <w:t xml:space="preserve">Bajo. Varios servicios, mensajería y monitoreo; no cabe en R-01.</w:t>
            </w:r>
          </w:p>
        </w:tc>
      </w:tr>
    </w:tbl>
    <w:p>
      <w:pPr>
        <w:spacing w:after="120"/>
      </w:pPr>
    </w:p>
    <w:p>
      <w:pPr>
        <w:spacing w:after="160"/>
      </w:pPr>
      <w:r>
        <w:rPr>
          <w:rFonts w:ascii="Calibri" w:cs="Calibri" w:eastAsia="Calibri" w:hAnsi="Calibri"/>
        </w:rPr>
        <w:t xml:space="preserve">A gana o empata en todos los drivers. B empata en los dos primeros, pero pierde en seguridad y en esfuerzo sin ganar nada a cambio, porque la consulta sin conexión ya la resuelve el Service Worker. C pierde justo en el driver que más importa. Por eso la decisión del ADR N.° 03 fue A.</w:t>
      </w:r>
    </w:p>
    <w:p>
      <w:pPr>
        <w:pStyle w:val="Heading3"/>
        <w:spacing w:after="160" w:before="300"/>
      </w:pPr>
      <w:r>
        <w:rPr>
          <w:rFonts w:ascii="Calibri" w:cs="Calibri" w:eastAsia="Calibri" w:hAnsi="Calibri"/>
          <w:b/>
          <w:bCs/>
        </w:rPr>
        <w:t xml:space="preserve">Ejercicio 4</w:t>
      </w:r>
    </w:p>
    <w:p>
      <w:pPr>
        <w:spacing w:after="160"/>
      </w:pPr>
      <w:r>
        <w:rPr>
          <w:rFonts w:ascii="Calibri" w:cs="Calibri" w:eastAsia="Calibri" w:hAnsi="Calibri"/>
        </w:rPr>
        <w:t xml:space="preserve">Pide a una IA generativa que recomiende una arquitectura para tu MVP sin darle el contexto de que es una MiPyme pequeña con recursos limitados. Audita: ¿propuso una solución sobredimensionada (microservicios, colas distribuidas, nube multiregión) sin justificarla en tus drivers reales? Documenta el prompt, la respuesta y tu corrección.</w:t>
      </w:r>
    </w:p>
    <w:p>
      <w:pPr>
        <w:spacing w:after="160"/>
      </w:pPr>
      <w:r>
        <w:rPr>
          <w:rFonts w:ascii="Calibri" w:cs="Calibri" w:eastAsia="Calibri" w:hAnsi="Calibri"/>
          <w:b/>
          <w:bCs/>
        </w:rPr>
        <w:t xml:space="preserve">R/= </w:t>
      </w:r>
      <w:r>
        <w:rPr>
          <w:rFonts w:ascii="Calibri" w:cs="Calibri" w:eastAsia="Calibri" w:hAnsi="Calibri"/>
        </w:rPr>
        <w:t xml:space="preserve">Abrí una sesión nueva con Claude (Anthropic) y, como pide la guía, no le dije nada del tamaño del negocio, del presupuesto ni de que desarrollo solo. Guardé el prompt y la respuesta en </w:t>
      </w:r>
      <w:r>
        <w:rPr>
          <w:rFonts w:ascii="Consolas" w:cs="Consolas" w:eastAsia="Consolas" w:hAnsi="Consolas"/>
          <w:sz w:val="19"/>
          <w:szCs w:val="19"/>
        </w:rPr>
        <w:t xml:space="preserve">docs/guia-03-sw2/ejercicio-ia/prompt-y-respuesta.md</w:t>
      </w:r>
      <w:r>
        <w:rPr>
          <w:rFonts w:ascii="Calibri" w:cs="Calibri" w:eastAsia="Calibri" w:hAnsi="Calibri"/>
        </w:rPr>
        <w:t xml:space="preserve">.</w:t>
      </w:r>
    </w:p>
    <w:p>
      <w:pPr>
        <w:keepNext/>
        <w:spacing w:after="80"/>
      </w:pPr>
      <w:r>
        <w:rPr>
          <w:rFonts w:ascii="Calibri" w:cs="Calibri" w:eastAsia="Calibri" w:hAnsi="Calibri"/>
        </w:rPr>
        <w:t xml:space="preserve">Prompt: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4"/>
              <w:left w:val="single" w:color="999999" w:sz="4"/>
              <w:bottom w:val="single" w:color="999999" w:sz="4"/>
              <w:right w:val="single" w:color="999999" w:sz="4"/>
            </w:tcBorders>
            <w:tcMar>
              <w:top w:type="dxa" w:w="120"/>
              <w:left w:type="dxa" w:w="150"/>
              <w:bottom w:type="dxa" w:w="120"/>
              <w:right w:type="dxa" w:w="150"/>
            </w:tcMar>
          </w:tcPr>
          <w:p>
            <w:pPr>
              <w:spacing w:after="0"/>
            </w:pPr>
            <w:r>
              <w:rPr>
                <w:rFonts w:ascii="Calibri" w:cs="Calibri" w:eastAsia="Calibri" w:hAnsi="Calibri"/>
              </w:rPr>
              <w:t xml:space="preserve">Recomiéndame una arquitectura de software para FitManage, una aplicación para gestionar gimnasios: socios, membresías, pagos y control de acceso en recepción.</w:t>
            </w:r>
          </w:p>
        </w:tc>
      </w:tr>
    </w:tbl>
    <w:p>
      <w:pPr>
        <w:spacing w:after="120"/>
      </w:pPr>
    </w:p>
    <w:p>
      <w:pPr>
        <w:keepNext/>
        <w:spacing w:after="80"/>
      </w:pPr>
      <w:r>
        <w:rPr>
          <w:rFonts w:ascii="Calibri" w:cs="Calibri" w:eastAsia="Calibri" w:hAnsi="Calibri"/>
        </w:rPr>
        <w:t xml:space="preserve">Respuesta de la IA, sin modificar: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4"/>
              <w:left w:val="single" w:color="999999" w:sz="4"/>
              <w:bottom w:val="single" w:color="999999" w:sz="4"/>
              <w:right w:val="single" w:color="999999" w:sz="4"/>
            </w:tcBorders>
            <w:tcMar>
              <w:top w:type="dxa" w:w="120"/>
              <w:left w:type="dxa" w:w="150"/>
              <w:bottom w:type="dxa" w:w="120"/>
              <w:right w:type="dxa" w:w="150"/>
            </w:tcMar>
          </w:tcPr>
          <w:p>
            <w:pPr>
              <w:spacing w:after="60"/>
            </w:pPr>
            <w:r>
              <w:rPr>
                <w:rFonts w:ascii="Calibri" w:cs="Calibri" w:eastAsia="Calibri" w:hAnsi="Calibri"/>
              </w:rPr>
              <w:t xml:space="preserve">Para una plataforma de gestión de gimnasios escalable y preparada para el crecimiento, recomiendo una arquitectura de microservicios desplegada en la nube:</w:t>
            </w:r>
          </w:p>
          <w:p>
            <w:pPr>
              <w:spacing w:after="60"/>
            </w:pPr>
            <w:r>
              <w:rPr>
                <w:rFonts w:ascii="Calibri" w:cs="Calibri" w:eastAsia="Calibri" w:hAnsi="Calibri"/>
              </w:rPr>
              <w:t xml:space="preserve">1. Microservicios independientes: servicio de usuarios y autenticación, servicio de socios, servicio de membresías, servicio de pagos y servicio de notificaciones. Cada uno con su propia base de datos (PostgreSQL para socios y pagos, MongoDB para notificaciones), siguiendo el patrón database per service.</w:t>
            </w:r>
          </w:p>
          <w:p>
            <w:pPr>
              <w:spacing w:after="60"/>
            </w:pPr>
            <w:r>
              <w:rPr>
                <w:rFonts w:ascii="Calibri" w:cs="Calibri" w:eastAsia="Calibri" w:hAnsi="Calibri"/>
              </w:rPr>
              <w:t xml:space="preserve">2. API Gateway (Kong o AWS API Gateway) como punto único de entrada, con limitación de peticiones y autenticación centralizada.</w:t>
            </w:r>
          </w:p>
          <w:p>
            <w:pPr>
              <w:spacing w:after="60"/>
            </w:pPr>
            <w:r>
              <w:rPr>
                <w:rFonts w:ascii="Calibri" w:cs="Calibri" w:eastAsia="Calibri" w:hAnsi="Calibri"/>
              </w:rPr>
              <w:t xml:space="preserve">3. Mensajería asíncrona con Apache Kafka para comunicar eventos entre servicios (por ejemplo, PagoRegistrado → actualizar membresía → enviar notificación).</w:t>
            </w:r>
          </w:p>
          <w:p>
            <w:pPr>
              <w:spacing w:after="60"/>
            </w:pPr>
            <w:r>
              <w:rPr>
                <w:rFonts w:ascii="Calibri" w:cs="Calibri" w:eastAsia="Calibri" w:hAnsi="Calibri"/>
              </w:rPr>
              <w:t xml:space="preserve">4. Orquestación con Kubernetes (Amazon EKS) con autoescalado horizontal y despliegue en varias zonas de disponibilidad para alta disponibilidad.</w:t>
            </w:r>
          </w:p>
          <w:p>
            <w:pPr>
              <w:spacing w:after="60"/>
            </w:pPr>
            <w:r>
              <w:rPr>
                <w:rFonts w:ascii="Calibri" w:cs="Calibri" w:eastAsia="Calibri" w:hAnsi="Calibri"/>
              </w:rPr>
              <w:t xml:space="preserve">5. Frontend: aplicación web en React y aplicación móvil en React Native para socios y personal.</w:t>
            </w:r>
          </w:p>
          <w:p>
            <w:pPr>
              <w:spacing w:after="60"/>
            </w:pPr>
            <w:r>
              <w:rPr>
                <w:rFonts w:ascii="Calibri" w:cs="Calibri" w:eastAsia="Calibri" w:hAnsi="Calibri"/>
              </w:rPr>
              <w:t xml:space="preserve">6. Caché con Redis para acelerar la consulta del estado de las membresías.</w:t>
            </w:r>
          </w:p>
          <w:p>
            <w:pPr>
              <w:spacing w:after="60"/>
            </w:pPr>
            <w:r>
              <w:rPr>
                <w:rFonts w:ascii="Calibri" w:cs="Calibri" w:eastAsia="Calibri" w:hAnsi="Calibri"/>
              </w:rPr>
              <w:t xml:space="preserve">7. Observabilidad: Prometheus y Grafana para métricas, y la pila ELK para registros.</w:t>
            </w:r>
          </w:p>
          <w:p>
            <w:pPr>
              <w:spacing w:after="60"/>
            </w:pPr>
            <w:r>
              <w:rPr>
                <w:rFonts w:ascii="Calibri" w:cs="Calibri" w:eastAsia="Calibri" w:hAnsi="Calibri"/>
              </w:rPr>
              <w:t xml:space="preserve">8. Autenticación con OAuth 2.0 y OpenID Connect mediante Auth0 o Amazon Cognito.</w:t>
            </w:r>
          </w:p>
          <w:p>
            <w:pPr>
              <w:spacing w:after="0"/>
            </w:pPr>
            <w:r>
              <w:rPr>
                <w:rFonts w:ascii="Calibri" w:cs="Calibri" w:eastAsia="Calibri" w:hAnsi="Calibri"/>
              </w:rPr>
              <w:t xml:space="preserve">Esta arquitectura permite escalar cada servicio de forma independiente, desplegar sin tiempo de inactividad y agregar nuevas funcionalidades sin afectar al resto del sistema.</w:t>
            </w:r>
          </w:p>
        </w:tc>
      </w:tr>
    </w:tbl>
    <w:p>
      <w:pPr>
        <w:spacing w:after="120"/>
      </w:pPr>
    </w:p>
    <w:p>
      <w:pPr>
        <w:keepNext/>
        <w:spacing w:after="80"/>
      </w:pPr>
      <w:r>
        <w:rPr>
          <w:rFonts w:ascii="Calibri" w:cs="Calibri" w:eastAsia="Calibri" w:hAnsi="Calibri"/>
        </w:rPr>
        <w:t xml:space="preserve">Sí, la propuesta está sobredimensionada, y cada pieza choca con algo concreto de mi proyecto: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Lo que propuso</w:t>
            </w:r>
          </w:p>
        </w:tc>
        <w:tc>
          <w:tcPr>
            <w:tcW w:type="dxa" w:w="675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Por qué no encaja en FitManage</w:t>
            </w:r>
          </w:p>
        </w:tc>
      </w:tr>
      <w:tr>
        <w:trPr>
          <w:cantSplit/>
        </w:trPr>
        <w:tc>
          <w:tcPr>
            <w:tcW w:type="dxa" w:w="2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Cinco microservicios con una base de datos cada uno</w:t>
            </w:r>
          </w:p>
        </w:tc>
        <w:tc>
          <w:tcPr>
            <w:tcW w:type="dxa" w:w="67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Rompe el driver número uno. Hoy el pago y su evento de auditoría se guardan en la misma transacción; separados, un fallo entre servicios puede dejar un pago sin auditoría o una membresía sin actualizar. Arreglarlo exige sagas y consistencia eventual, que es más código para un solo desarrollador justo en la parte de dinero.</w:t>
            </w:r>
          </w:p>
        </w:tc>
      </w:tr>
      <w:tr>
        <w:trPr>
          <w:cantSplit/>
        </w:trPr>
        <w:tc>
          <w:tcPr>
            <w:tcW w:type="dxa" w:w="2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Kafka, API Gateway y Redis</w:t>
            </w:r>
          </w:p>
        </w:tc>
        <w:tc>
          <w:tcPr>
            <w:tcW w:type="dxa" w:w="67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Sirven para miles de peticiones por segundo entre muchos servicios. Un gimnasio de barrio tiene de 1 a 3 equipos en recepción. El estado de la membresía se calcula en milisegundos con una consulta; la caché que sí necesito es la del navegador, para cuando se cae el internet (QA-02), y la propuesta ni siquiera menciona ese problema.</w:t>
            </w:r>
          </w:p>
        </w:tc>
      </w:tr>
      <w:tr>
        <w:trPr>
          <w:cantSplit/>
        </w:trPr>
        <w:tc>
          <w:tcPr>
            <w:tcW w:type="dxa" w:w="2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Kubernetes en Amazon EKS, en varias zonas</w:t>
            </w:r>
          </w:p>
        </w:tc>
        <w:tc>
          <w:tcPr>
            <w:tcW w:type="dxa" w:w="67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Solo el plano de control de EKS cuesta USD 0,10 por hora, unos USD 73 al mes, antes de pagar un solo servidor. R-01 exige costo cero. Además alguien tendría que operarlo, y no hay quién.</w:t>
            </w:r>
          </w:p>
        </w:tc>
      </w:tr>
      <w:tr>
        <w:trPr>
          <w:cantSplit/>
        </w:trPr>
        <w:tc>
          <w:tcPr>
            <w:tcW w:type="dxa" w:w="2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App móvil en React Native</w:t>
            </w:r>
          </w:p>
        </w:tc>
        <w:tc>
          <w:tcPr>
            <w:tcW w:type="dxa" w:w="67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Contradice R-02: el MVP funciona en el navegador del PC de recepción y del celular, sin instalar aplicaciones.</w:t>
            </w:r>
          </w:p>
        </w:tc>
      </w:tr>
      <w:tr>
        <w:trPr>
          <w:cantSplit/>
        </w:trPr>
        <w:tc>
          <w:tcPr>
            <w:tcW w:type="dxa" w:w="2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Prometheus, Grafana, ELK y Auth0 o Cognito</w:t>
            </w:r>
          </w:p>
        </w:tc>
        <w:tc>
          <w:tcPr>
            <w:tcW w:type="dxa" w:w="67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Son más servicios que mantener o pagar. Django ya trae autenticación, sesiones y protección CSRF, y RNF-04 se cumple con bcrypt y django-axes.</w:t>
            </w:r>
          </w:p>
        </w:tc>
      </w:tr>
    </w:tbl>
    <w:p>
      <w:pPr>
        <w:spacing w:after="120"/>
      </w:pPr>
    </w:p>
    <w:p>
      <w:pPr>
        <w:spacing w:after="160"/>
      </w:pPr>
      <w:r>
        <w:rPr>
          <w:rFonts w:ascii="Calibri" w:cs="Calibri" w:eastAsia="Calibri" w:hAnsi="Calibri"/>
        </w:rPr>
        <w:t xml:space="preserve">Mi corrección es la alternativa A de la matriz y quedó registrada en el ADR N.° 03: una sola aplicación Django, organizada por módulos, con PostgreSQL gestionado, plantillas en el servidor, un Service Worker para la consulta sin conexión y un único endpoint JSON de estados. Cuando le repetí la pregunta a la IA agregando el contexto (MiPyme, un desarrollador, costo cero, internet inestable), propuso un monolito modular. Eso confirma que la primera respuesta era una alucinación estructural: estaba bien armada, pero para otro tamaño de empresa.</w:t>
      </w:r>
    </w:p>
    <w:p>
      <w:pPr>
        <w:pStyle w:val="Heading1"/>
        <w:spacing w:after="160" w:before="300"/>
      </w:pPr>
      <w:r>
        <w:rPr>
          <w:rFonts w:ascii="Calibri" w:cs="Calibri" w:eastAsia="Calibri" w:hAnsi="Calibri"/>
          <w:b/>
          <w:bCs/>
        </w:rPr>
        <w:t xml:space="preserve">Lista de autoevaluación antes de entregar</w:t>
      </w:r>
    </w:p>
    <w:p>
      <w:pPr>
        <w:pStyle w:val="ListParagraph"/>
        <w:numPr>
          <w:ilvl w:val="0"/>
          <w:numId w:val="2"/>
        </w:numPr>
        <w:spacing w:after="120"/>
      </w:pPr>
      <w:r>
        <w:rPr>
          <w:rFonts w:ascii="Calibri" w:cs="Calibri" w:eastAsia="Calibri" w:hAnsi="Calibri"/>
        </w:rPr>
        <w:t xml:space="preserve">Entiendo por qué un ADR es un registro inmutable, no un documento editable.</w:t>
      </w:r>
    </w:p>
    <w:p>
      <w:pPr>
        <w:pStyle w:val="ListParagraph"/>
        <w:numPr>
          <w:ilvl w:val="0"/>
          <w:numId w:val="2"/>
        </w:numPr>
        <w:spacing w:after="120"/>
      </w:pPr>
      <w:r>
        <w:rPr>
          <w:rFonts w:ascii="Calibri" w:cs="Calibri" w:eastAsia="Calibri" w:hAnsi="Calibri"/>
        </w:rPr>
        <w:t xml:space="preserve">Mi ADR compara al menos dos alternativas reales, no solo justifica una decisión ya tomada.</w:t>
      </w:r>
    </w:p>
    <w:p>
      <w:pPr>
        <w:pStyle w:val="ListParagraph"/>
        <w:numPr>
          <w:ilvl w:val="0"/>
          <w:numId w:val="2"/>
        </w:numPr>
        <w:spacing w:after="120"/>
      </w:pPr>
      <w:r>
        <w:rPr>
          <w:rFonts w:ascii="Calibri" w:cs="Calibri" w:eastAsia="Calibri" w:hAnsi="Calibri"/>
        </w:rPr>
        <w:t xml:space="preserve">Construí una matriz de decisión trazable a mis drivers de la FPI-18.</w:t>
      </w:r>
    </w:p>
    <w:p>
      <w:pPr>
        <w:pStyle w:val="ListParagraph"/>
        <w:numPr>
          <w:ilvl w:val="0"/>
          <w:numId w:val="2"/>
        </w:numPr>
        <w:spacing w:after="120"/>
      </w:pPr>
      <w:r>
        <w:rPr>
          <w:rFonts w:ascii="Calibri" w:cs="Calibri" w:eastAsia="Calibri" w:hAnsi="Calibri"/>
        </w:rPr>
        <w:t xml:space="preserve">Detecté si una IA propuso una alucinación estructural (arquitectura sobredimensionada) para mi contexto.</w:t>
      </w:r>
    </w:p>
    <w:p>
      <w:pPr>
        <w:pStyle w:val="ListParagraph"/>
        <w:numPr>
          <w:ilvl w:val="0"/>
          <w:numId w:val="2"/>
        </w:numPr>
        <w:spacing w:after="120"/>
      </w:pPr>
      <w:r>
        <w:rPr>
          <w:rFonts w:ascii="Calibri" w:cs="Calibri" w:eastAsia="Calibri" w:hAnsi="Calibri"/>
        </w:rPr>
        <w:t xml:space="preserve">Diligencié completamente la FPI-19 con mi ADR formal.</w:t>
      </w:r>
    </w:p>
    <w:p>
      <w:pPr>
        <w:pStyle w:val="Heading1"/>
        <w:spacing w:after="160" w:before="300"/>
      </w:pPr>
      <w:r>
        <w:rPr>
          <w:rFonts w:ascii="Calibri" w:cs="Calibri" w:eastAsia="Calibri" w:hAnsi="Calibri"/>
          <w:b/>
          <w:bCs/>
        </w:rPr>
        <w:t xml:space="preserve">Foro de reflexión</w:t>
      </w:r>
    </w:p>
    <w:p>
      <w:pPr>
        <w:spacing w:after="160"/>
      </w:pPr>
      <w:r>
        <w:rPr>
          <w:rFonts w:ascii="Calibri" w:cs="Calibri" w:eastAsia="Calibri" w:hAnsi="Calibri"/>
          <w:b/>
          <w:bCs/>
        </w:rPr>
        <w:t xml:space="preserve">Título: </w:t>
      </w:r>
      <w:r>
        <w:rPr>
          <w:rFonts w:ascii="Calibri" w:cs="Calibri" w:eastAsia="Calibri" w:hAnsi="Calibri"/>
          <w:i/>
          <w:iCs/>
        </w:rPr>
        <w:t xml:space="preserve">"¿Documentar decisiones es burocracia o es protección del proyecto?"</w:t>
      </w:r>
    </w:p>
    <w:p>
      <w:pPr>
        <w:spacing w:after="160"/>
      </w:pPr>
      <w:r>
        <w:rPr>
          <w:rFonts w:ascii="Calibri" w:cs="Calibri" w:eastAsia="Calibri" w:hAnsi="Calibri"/>
        </w:rPr>
        <w:t xml:space="preserve">Redacte una reflexión de 250–300 palabras respondiendo: ¿qué riesgos concretos corre un proyecto cuando las decisiones arquitectónicas importantes se toman verbalmente y nunca se documentan? ¿Cómo un ADR bien escrito protege al equipo cuando cambia de integrantes o cuando el negocio cuestiona una decisión meses después? Apoye su respuesta con un ejemplo de su propio proyecto o del taller.</w:t>
      </w:r>
    </w:p>
    <w:p>
      <w:pPr>
        <w:spacing w:after="80"/>
      </w:pPr>
      <w:r>
        <w:rPr>
          <w:rFonts w:ascii="Calibri" w:cs="Calibri" w:eastAsia="Calibri" w:hAnsi="Calibri"/>
        </w:rPr>
        <w:t xml:space="preserve">Reflexión (265 palabras)</w:t>
      </w:r>
    </w:p>
    <w:p>
      <w:pPr>
        <w:spacing w:after="160"/>
      </w:pPr>
      <w:r>
        <w:rPr>
          <w:rFonts w:ascii="Calibri" w:cs="Calibri" w:eastAsia="Calibri" w:hAnsi="Calibri"/>
        </w:rPr>
        <w:t xml:space="preserve">Cuando una decisión importante solo se habla y nunca se escribe, el proyecto corre al menos tres riesgos. El primero es olvidar la razón: meses después nadie recuerda por qué se escogió algo y se cambia sin medir lo que se rompe. El segundo es repetir discusiones, porque cada persona nueva vuelve a proponer lo que ya se descartó. El tercero es no poder defenderse cuando el negocio pregunta por qué se hizo así.</w:t>
      </w:r>
    </w:p>
    <w:p>
      <w:pPr>
        <w:spacing w:after="160"/>
      </w:pPr>
      <w:r>
        <w:rPr>
          <w:rFonts w:ascii="Calibri" w:cs="Calibri" w:eastAsia="Calibri" w:hAnsi="Calibri"/>
        </w:rPr>
        <w:t xml:space="preserve">En FitManage tengo un ejemplo casi exacto. El DAD decía «monolito modular», pero no explicaba por qué no una SPA o microservicios. En este taller, una IA me recomendó microservicios con Kafka y Kubernetes, con argumentos que suenan muy convincentes. Sin un registro, me habría tocado reconstruir de memoria por qué eso no servía. Ahora el ADR N.° 03 lo dice en una tabla: los microservicios separan el pago de su auditoría, que es mi driver número uno, y solo el plano de control de EKS ya cuesta unos USD 73 al mes, cuando la restricción es costo cero.</w:t>
      </w:r>
    </w:p>
    <w:p>
      <w:pPr>
        <w:spacing w:after="160"/>
      </w:pPr>
      <w:r>
        <w:rPr>
          <w:rFonts w:ascii="Calibri" w:cs="Calibri" w:eastAsia="Calibri" w:hAnsi="Calibri"/>
        </w:rPr>
        <w:t xml:space="preserve">Trabajo solo, pero eso no me salva del problema: el que cambia de integrante soy yo mismo dentro de seis meses, o el profesor que revisa. Si el dueño del gimnasio pregunta por qué no hay una app en la tienda de aplicaciones, la respuesta está escrita: R-02 y el ADR N.° 03, con lo que se ganó y lo que se perdió.</w:t>
      </w:r>
    </w:p>
    <w:p>
      <w:pPr>
        <w:spacing w:after="160"/>
      </w:pPr>
      <w:r>
        <w:rPr>
          <w:rFonts w:ascii="Calibri" w:cs="Calibri" w:eastAsia="Calibri" w:hAnsi="Calibri"/>
        </w:rPr>
        <w:t xml:space="preserve">Por eso no lo veo como burocracia, siempre que el ADR sea corto. Cuesta veinte minutos escribirlo y evita semanas de discusiones repetidas o de cambios hechos a ciegas.</w:t>
      </w:r>
    </w:p>
    <w:p>
      <w:pPr>
        <w:pStyle w:val="Heading1"/>
        <w:spacing w:after="160" w:before="300"/>
      </w:pPr>
      <w:r>
        <w:rPr>
          <w:rFonts w:ascii="Calibri" w:cs="Calibri" w:eastAsia="Calibri" w:hAnsi="Calibri"/>
          <w:b/>
          <w:bCs/>
        </w:rPr>
        <w:t xml:space="preserve">Cuestionario</w:t>
      </w:r>
    </w:p>
    <w:p>
      <w:pPr>
        <w:spacing w:after="160"/>
      </w:pPr>
      <w:r>
        <w:rPr>
          <w:rFonts w:ascii="Calibri" w:cs="Calibri" w:eastAsia="Calibri" w:hAnsi="Calibri"/>
        </w:rPr>
        <w:t xml:space="preserve">Seleccione una única respuesta.</w:t>
      </w:r>
    </w:p>
    <w:p>
      <w:pPr>
        <w:pStyle w:val="Heading3"/>
        <w:spacing w:after="160" w:before="300"/>
      </w:pPr>
      <w:r>
        <w:rPr>
          <w:rFonts w:ascii="Calibri" w:cs="Calibri" w:eastAsia="Calibri" w:hAnsi="Calibri"/>
          <w:b/>
          <w:bCs/>
        </w:rPr>
        <w:t xml:space="preserve">1. Un ADR se considera un registro:</w:t>
      </w:r>
    </w:p>
    <w:p>
      <w:pPr>
        <w:pStyle w:val="ListParagraph"/>
        <w:numPr>
          <w:ilvl w:val="0"/>
          <w:numId w:val="2"/>
        </w:numPr>
        <w:spacing w:after="120"/>
      </w:pPr>
      <w:r>
        <w:rPr>
          <w:rFonts w:ascii="Calibri" w:cs="Calibri" w:eastAsia="Calibri" w:hAnsi="Calibri"/>
        </w:rPr>
        <w:t xml:space="preserve">A. Editable libremente en cualquier momento sin dejar rastro.</w:t>
      </w:r>
    </w:p>
    <w:p>
      <w:pPr>
        <w:pStyle w:val="ListParagraph"/>
        <w:numPr>
          <w:ilvl w:val="0"/>
          <w:numId w:val="2"/>
        </w:numPr>
        <w:spacing w:after="120"/>
      </w:pPr>
      <w:r>
        <w:rPr>
          <w:rFonts w:ascii="Calibri" w:cs="Calibri" w:eastAsia="Calibri" w:hAnsi="Calibri"/>
        </w:rPr>
        <w:t xml:space="preserve">B. Histórico e inmutable; si la decisión cambia, se crea un nuevo ADR que reemplaza al anterior. ✅</w:t>
      </w:r>
    </w:p>
    <w:p>
      <w:pPr>
        <w:pStyle w:val="ListParagraph"/>
        <w:numPr>
          <w:ilvl w:val="0"/>
          <w:numId w:val="2"/>
        </w:numPr>
        <w:spacing w:after="120"/>
      </w:pPr>
      <w:r>
        <w:rPr>
          <w:rFonts w:ascii="Calibri" w:cs="Calibri" w:eastAsia="Calibri" w:hAnsi="Calibri"/>
        </w:rPr>
        <w:t xml:space="preserve">C. Que solo puede redactar el profesor del curso.</w:t>
      </w:r>
    </w:p>
    <w:p>
      <w:pPr>
        <w:pStyle w:val="ListParagraph"/>
        <w:numPr>
          <w:ilvl w:val="0"/>
          <w:numId w:val="2"/>
        </w:numPr>
        <w:spacing w:after="120"/>
      </w:pPr>
      <w:r>
        <w:rPr>
          <w:rFonts w:ascii="Calibri" w:cs="Calibri" w:eastAsia="Calibri" w:hAnsi="Calibri"/>
        </w:rPr>
        <w:t xml:space="preserve">D. Opcional, sin relación con la calidad del proyecto.</w:t>
      </w:r>
    </w:p>
    <w:p>
      <w:pPr>
        <w:pStyle w:val="Heading3"/>
        <w:spacing w:after="160" w:before="300"/>
      </w:pPr>
      <w:r>
        <w:rPr>
          <w:rFonts w:ascii="Calibri" w:cs="Calibri" w:eastAsia="Calibri" w:hAnsi="Calibri"/>
          <w:b/>
          <w:bCs/>
        </w:rPr>
        <w:t xml:space="preserve">2. Un ADR sin alternativas consideradas se asemeja a:</w:t>
      </w:r>
    </w:p>
    <w:p>
      <w:pPr>
        <w:pStyle w:val="ListParagraph"/>
        <w:numPr>
          <w:ilvl w:val="0"/>
          <w:numId w:val="2"/>
        </w:numPr>
        <w:spacing w:after="120"/>
      </w:pPr>
      <w:r>
        <w:rPr>
          <w:rFonts w:ascii="Calibri" w:cs="Calibri" w:eastAsia="Calibri" w:hAnsi="Calibri"/>
        </w:rPr>
        <w:t xml:space="preserve">A. Una decisión de ingeniería rigurosa y completa.</w:t>
      </w:r>
    </w:p>
    <w:p>
      <w:pPr>
        <w:pStyle w:val="ListParagraph"/>
        <w:numPr>
          <w:ilvl w:val="0"/>
          <w:numId w:val="2"/>
        </w:numPr>
        <w:spacing w:after="120"/>
      </w:pPr>
      <w:r>
        <w:rPr>
          <w:rFonts w:ascii="Calibri" w:cs="Calibri" w:eastAsia="Calibri" w:hAnsi="Calibri"/>
        </w:rPr>
        <w:t xml:space="preserve">B. Una afirmación de autoridad sin evidencia de análisis comparativo real. ✅</w:t>
      </w:r>
    </w:p>
    <w:p>
      <w:pPr>
        <w:pStyle w:val="ListParagraph"/>
        <w:numPr>
          <w:ilvl w:val="0"/>
          <w:numId w:val="2"/>
        </w:numPr>
        <w:spacing w:after="120"/>
      </w:pPr>
      <w:r>
        <w:rPr>
          <w:rFonts w:ascii="Calibri" w:cs="Calibri" w:eastAsia="Calibri" w:hAnsi="Calibri"/>
        </w:rPr>
        <w:t xml:space="preserve">C. El formato obligatorio exigido por ISO 25010.</w:t>
      </w:r>
    </w:p>
    <w:p>
      <w:pPr>
        <w:pStyle w:val="ListParagraph"/>
        <w:numPr>
          <w:ilvl w:val="0"/>
          <w:numId w:val="2"/>
        </w:numPr>
        <w:spacing w:after="120"/>
      </w:pPr>
      <w:r>
        <w:rPr>
          <w:rFonts w:ascii="Calibri" w:cs="Calibri" w:eastAsia="Calibri" w:hAnsi="Calibri"/>
        </w:rPr>
        <w:t xml:space="preserve">D. Un requisito funcional del sistema.</w:t>
      </w:r>
    </w:p>
    <w:p>
      <w:pPr>
        <w:pStyle w:val="Heading3"/>
        <w:spacing w:after="160" w:before="300"/>
      </w:pPr>
      <w:r>
        <w:rPr>
          <w:rFonts w:ascii="Calibri" w:cs="Calibri" w:eastAsia="Calibri" w:hAnsi="Calibri"/>
          <w:b/>
          <w:bCs/>
        </w:rPr>
        <w:t xml:space="preserve">3. El campo "Consecuencias" de un ADR debe incluir:</w:t>
      </w:r>
    </w:p>
    <w:p>
      <w:pPr>
        <w:pStyle w:val="ListParagraph"/>
        <w:numPr>
          <w:ilvl w:val="0"/>
          <w:numId w:val="2"/>
        </w:numPr>
        <w:spacing w:after="120"/>
      </w:pPr>
      <w:r>
        <w:rPr>
          <w:rFonts w:ascii="Calibri" w:cs="Calibri" w:eastAsia="Calibri" w:hAnsi="Calibri"/>
        </w:rPr>
        <w:t xml:space="preserve">A. Solo los efectos positivos de la decisión.</w:t>
      </w:r>
    </w:p>
    <w:p>
      <w:pPr>
        <w:pStyle w:val="ListParagraph"/>
        <w:numPr>
          <w:ilvl w:val="0"/>
          <w:numId w:val="2"/>
        </w:numPr>
        <w:spacing w:after="120"/>
      </w:pPr>
      <w:r>
        <w:rPr>
          <w:rFonts w:ascii="Calibri" w:cs="Calibri" w:eastAsia="Calibri" w:hAnsi="Calibri"/>
        </w:rPr>
        <w:t xml:space="preserve">B. Los efectos positivos y negativos esperados, incluyendo el trade-off aceptado. ✅</w:t>
      </w:r>
    </w:p>
    <w:p>
      <w:pPr>
        <w:pStyle w:val="ListParagraph"/>
        <w:numPr>
          <w:ilvl w:val="0"/>
          <w:numId w:val="2"/>
        </w:numPr>
        <w:spacing w:after="120"/>
      </w:pPr>
      <w:r>
        <w:rPr>
          <w:rFonts w:ascii="Calibri" w:cs="Calibri" w:eastAsia="Calibri" w:hAnsi="Calibri"/>
        </w:rPr>
        <w:t xml:space="preserve">C. El nombre del cliente que aprobó la decisión.</w:t>
      </w:r>
    </w:p>
    <w:p>
      <w:pPr>
        <w:pStyle w:val="ListParagraph"/>
        <w:numPr>
          <w:ilvl w:val="0"/>
          <w:numId w:val="2"/>
        </w:numPr>
        <w:spacing w:after="120"/>
      </w:pPr>
      <w:r>
        <w:rPr>
          <w:rFonts w:ascii="Calibri" w:cs="Calibri" w:eastAsia="Calibri" w:hAnsi="Calibri"/>
        </w:rPr>
        <w:t xml:space="preserve">D. El código fuente completo de la implementación.</w:t>
      </w:r>
    </w:p>
    <w:p>
      <w:pPr>
        <w:pStyle w:val="Heading3"/>
        <w:spacing w:after="160" w:before="300"/>
      </w:pPr>
      <w:r>
        <w:rPr>
          <w:rFonts w:ascii="Calibri" w:cs="Calibri" w:eastAsia="Calibri" w:hAnsi="Calibri"/>
          <w:b/>
          <w:bCs/>
        </w:rPr>
        <w:t xml:space="preserve">4. Que una IA recomiende microservicios y colas distribuidas para el MVP de una MiPyme pequeña sin justificarlo en drivers reales es un ejemplo de:</w:t>
      </w:r>
    </w:p>
    <w:p>
      <w:pPr>
        <w:pStyle w:val="ListParagraph"/>
        <w:numPr>
          <w:ilvl w:val="0"/>
          <w:numId w:val="2"/>
        </w:numPr>
        <w:spacing w:after="120"/>
      </w:pPr>
      <w:r>
        <w:rPr>
          <w:rFonts w:ascii="Calibri" w:cs="Calibri" w:eastAsia="Calibri" w:hAnsi="Calibri"/>
        </w:rPr>
        <w:t xml:space="preserve">A. Una recomendación técnica impecable que debe aceptarse sin más análisis.</w:t>
      </w:r>
    </w:p>
    <w:p>
      <w:pPr>
        <w:pStyle w:val="ListParagraph"/>
        <w:numPr>
          <w:ilvl w:val="0"/>
          <w:numId w:val="2"/>
        </w:numPr>
        <w:spacing w:after="120"/>
      </w:pPr>
      <w:r>
        <w:rPr>
          <w:rFonts w:ascii="Calibri" w:cs="Calibri" w:eastAsia="Calibri" w:hAnsi="Calibri"/>
        </w:rPr>
        <w:t xml:space="preserve">B. Una alucinación estructural: una sugerencia plausible pero desconectada del contexto real del proyecto. ✅</w:t>
      </w:r>
    </w:p>
    <w:p>
      <w:pPr>
        <w:pStyle w:val="ListParagraph"/>
        <w:numPr>
          <w:ilvl w:val="0"/>
          <w:numId w:val="2"/>
        </w:numPr>
        <w:spacing w:after="120"/>
      </w:pPr>
      <w:r>
        <w:rPr>
          <w:rFonts w:ascii="Calibri" w:cs="Calibri" w:eastAsia="Calibri" w:hAnsi="Calibri"/>
        </w:rPr>
        <w:t xml:space="preserve">C. Una violación de la Ley 1581 de 2012.</w:t>
      </w:r>
    </w:p>
    <w:p>
      <w:pPr>
        <w:pStyle w:val="ListParagraph"/>
        <w:numPr>
          <w:ilvl w:val="0"/>
          <w:numId w:val="2"/>
        </w:numPr>
        <w:spacing w:after="120"/>
      </w:pPr>
      <w:r>
        <w:rPr>
          <w:rFonts w:ascii="Calibri" w:cs="Calibri" w:eastAsia="Calibri" w:hAnsi="Calibri"/>
        </w:rPr>
        <w:t xml:space="preserve">D. El único patrón arquitectónico válido en la industria actual.</w:t>
      </w:r>
    </w:p>
    <w:p>
      <w:pPr>
        <w:pStyle w:val="Heading3"/>
        <w:spacing w:after="160" w:before="300"/>
      </w:pPr>
      <w:r>
        <w:rPr>
          <w:rFonts w:ascii="Calibri" w:cs="Calibri" w:eastAsia="Calibri" w:hAnsi="Calibri"/>
          <w:b/>
          <w:bCs/>
        </w:rPr>
        <w:t xml:space="preserve">5. Una matriz de decisión que compara alternativas contra los drivers de calidad sirve principalmente para:</w:t>
      </w:r>
    </w:p>
    <w:p>
      <w:pPr>
        <w:pStyle w:val="ListParagraph"/>
        <w:numPr>
          <w:ilvl w:val="0"/>
          <w:numId w:val="2"/>
        </w:numPr>
        <w:spacing w:after="120"/>
      </w:pPr>
      <w:r>
        <w:rPr>
          <w:rFonts w:ascii="Calibri" w:cs="Calibri" w:eastAsia="Calibri" w:hAnsi="Calibri"/>
        </w:rPr>
        <w:t xml:space="preserve">A. Sustituir la necesidad de escribir el ADR.</w:t>
      </w:r>
    </w:p>
    <w:p>
      <w:pPr>
        <w:pStyle w:val="ListParagraph"/>
        <w:numPr>
          <w:ilvl w:val="0"/>
          <w:numId w:val="2"/>
        </w:numPr>
        <w:spacing w:after="120"/>
      </w:pPr>
      <w:r>
        <w:rPr>
          <w:rFonts w:ascii="Calibri" w:cs="Calibri" w:eastAsia="Calibri" w:hAnsi="Calibri"/>
        </w:rPr>
        <w:t xml:space="preserve">B. Hacer explícito el trade-off entre opciones antes de tomar y documentar la decisión final. ✅</w:t>
      </w:r>
    </w:p>
    <w:p>
      <w:pPr>
        <w:pStyle w:val="ListParagraph"/>
        <w:numPr>
          <w:ilvl w:val="0"/>
          <w:numId w:val="2"/>
        </w:numPr>
        <w:spacing w:after="120"/>
      </w:pPr>
      <w:r>
        <w:rPr>
          <w:rFonts w:ascii="Calibri" w:cs="Calibri" w:eastAsia="Calibri" w:hAnsi="Calibri"/>
        </w:rPr>
        <w:t xml:space="preserve">C. Decidir el nombre del repositorio de GitHub.</w:t>
      </w:r>
    </w:p>
    <w:p>
      <w:pPr>
        <w:pStyle w:val="ListParagraph"/>
        <w:numPr>
          <w:ilvl w:val="0"/>
          <w:numId w:val="2"/>
        </w:numPr>
        <w:spacing w:after="120"/>
      </w:pPr>
      <w:r>
        <w:rPr>
          <w:rFonts w:ascii="Calibri" w:cs="Calibri" w:eastAsia="Calibri" w:hAnsi="Calibri"/>
        </w:rPr>
        <w:t xml:space="preserve">D. Eliminar la necesidad de considerar el contexto de la MiPyme.</w:t>
      </w:r>
    </w:p>
    <w:p>
      <w:pPr>
        <w:pStyle w:val="Heading3"/>
        <w:spacing w:after="160" w:before="300"/>
      </w:pPr>
      <w:r>
        <w:rPr>
          <w:rFonts w:ascii="Calibri" w:cs="Calibri" w:eastAsia="Calibri" w:hAnsi="Calibri"/>
          <w:b/>
          <w:bCs/>
        </w:rPr>
        <w:t xml:space="preserve">6. Según la regla de oro de esta guía, una decisión arquitectónica se acepta solo cuando:</w:t>
      </w:r>
    </w:p>
    <w:p>
      <w:pPr>
        <w:pStyle w:val="ListParagraph"/>
        <w:numPr>
          <w:ilvl w:val="0"/>
          <w:numId w:val="2"/>
        </w:numPr>
        <w:spacing w:after="120"/>
      </w:pPr>
      <w:r>
        <w:rPr>
          <w:rFonts w:ascii="Calibri" w:cs="Calibri" w:eastAsia="Calibri" w:hAnsi="Calibri"/>
        </w:rPr>
        <w:t xml:space="preserve">A. El integrante más experimentado del equipo la propone sin más análisis.</w:t>
      </w:r>
    </w:p>
    <w:p>
      <w:pPr>
        <w:pStyle w:val="ListParagraph"/>
        <w:numPr>
          <w:ilvl w:val="0"/>
          <w:numId w:val="2"/>
        </w:numPr>
        <w:spacing w:after="120"/>
      </w:pPr>
      <w:r>
        <w:rPr>
          <w:rFonts w:ascii="Calibri" w:cs="Calibri" w:eastAsia="Calibri" w:hAnsi="Calibri"/>
        </w:rPr>
        <w:t xml:space="preserve">B. Se compararon explícitamente al menos dos alternativas contra los drivers de calidad reales. ✅</w:t>
      </w:r>
    </w:p>
    <w:p>
      <w:pPr>
        <w:pStyle w:val="ListParagraph"/>
        <w:numPr>
          <w:ilvl w:val="0"/>
          <w:numId w:val="2"/>
        </w:numPr>
        <w:spacing w:after="120"/>
      </w:pPr>
      <w:r>
        <w:rPr>
          <w:rFonts w:ascii="Calibri" w:cs="Calibri" w:eastAsia="Calibri" w:hAnsi="Calibri"/>
        </w:rPr>
        <w:t xml:space="preserve">C. La IA la sugirió primero.</w:t>
      </w:r>
    </w:p>
    <w:p>
      <w:pPr>
        <w:pStyle w:val="ListParagraph"/>
        <w:numPr>
          <w:ilvl w:val="0"/>
          <w:numId w:val="2"/>
        </w:numPr>
        <w:spacing w:after="120"/>
      </w:pPr>
      <w:r>
        <w:rPr>
          <w:rFonts w:ascii="Calibri" w:cs="Calibri" w:eastAsia="Calibri" w:hAnsi="Calibri"/>
        </w:rPr>
        <w:t xml:space="preserve">D. No existe ninguna alternativa posible.</w:t>
      </w:r>
    </w:p>
    <w:p>
      <w:pPr>
        <w:pStyle w:val="Heading3"/>
        <w:spacing w:after="160" w:before="300"/>
      </w:pPr>
      <w:r>
        <w:rPr>
          <w:rFonts w:ascii="Calibri" w:cs="Calibri" w:eastAsia="Calibri" w:hAnsi="Calibri"/>
          <w:b/>
          <w:bCs/>
        </w:rPr>
        <w:t xml:space="preserve">7. El estado "Reemplazado" en un ADR indica que:</w:t>
      </w:r>
    </w:p>
    <w:p>
      <w:pPr>
        <w:pStyle w:val="ListParagraph"/>
        <w:numPr>
          <w:ilvl w:val="0"/>
          <w:numId w:val="2"/>
        </w:numPr>
        <w:spacing w:after="120"/>
      </w:pPr>
      <w:r>
        <w:rPr>
          <w:rFonts w:ascii="Calibri" w:cs="Calibri" w:eastAsia="Calibri" w:hAnsi="Calibri"/>
        </w:rPr>
        <w:t xml:space="preserve">A. El ADR se eliminó del repositorio.</w:t>
      </w:r>
    </w:p>
    <w:p>
      <w:pPr>
        <w:pStyle w:val="ListParagraph"/>
        <w:numPr>
          <w:ilvl w:val="0"/>
          <w:numId w:val="2"/>
        </w:numPr>
        <w:spacing w:after="120"/>
      </w:pPr>
      <w:r>
        <w:rPr>
          <w:rFonts w:ascii="Calibri" w:cs="Calibri" w:eastAsia="Calibri" w:hAnsi="Calibri"/>
        </w:rPr>
        <w:t xml:space="preserve">B. La decisión original ya no aplica y fue sustituida por un nuevo ADR que la referencia. ✅</w:t>
      </w:r>
    </w:p>
    <w:p>
      <w:pPr>
        <w:pStyle w:val="ListParagraph"/>
        <w:numPr>
          <w:ilvl w:val="0"/>
          <w:numId w:val="2"/>
        </w:numPr>
        <w:spacing w:after="120"/>
      </w:pPr>
      <w:r>
        <w:rPr>
          <w:rFonts w:ascii="Calibri" w:cs="Calibri" w:eastAsia="Calibri" w:hAnsi="Calibri"/>
        </w:rPr>
        <w:t xml:space="preserve">C. El ADR nunca fue aprobado formalmente.</w:t>
      </w:r>
    </w:p>
    <w:p>
      <w:pPr>
        <w:pStyle w:val="ListParagraph"/>
        <w:numPr>
          <w:ilvl w:val="0"/>
          <w:numId w:val="2"/>
        </w:numPr>
        <w:spacing w:after="120"/>
      </w:pPr>
      <w:r>
        <w:rPr>
          <w:rFonts w:ascii="Calibri" w:cs="Calibri" w:eastAsia="Calibri" w:hAnsi="Calibri"/>
        </w:rPr>
        <w:t xml:space="preserve">D. El ADR corresponde a una decisión de código, no de arquitectura.</w:t>
      </w:r>
    </w:p>
    <w:p>
      <w:pPr>
        <w:pStyle w:val="Heading1"/>
        <w:pageBreakBefore/>
        <w:spacing w:after="160" w:before="0"/>
      </w:pPr>
      <w:r>
        <w:rPr>
          <w:rFonts w:ascii="Calibri" w:cs="Calibri" w:eastAsia="Calibri" w:hAnsi="Calibri"/>
          <w:b/>
          <w:bCs/>
        </w:rPr>
        <w:t xml:space="preserve">Ficha de Aplicación al Proyecto Integrador — FPI-19</w:t>
      </w:r>
    </w:p>
    <w:p>
      <w:pPr>
        <w:pStyle w:val="Heading2"/>
        <w:spacing w:after="160" w:before="300"/>
      </w:pPr>
      <w:r>
        <w:rPr>
          <w:rFonts w:ascii="Calibri" w:cs="Calibri" w:eastAsia="Calibri" w:hAnsi="Calibri"/>
          <w:b/>
          <w:bCs/>
        </w:rPr>
        <w:t xml:space="preserve">Análisis de Alternativas y ADR Formal del Proyecto Integrador</w:t>
      </w:r>
    </w:p>
    <w:p>
      <w:pPr>
        <w:spacing w:after="160"/>
      </w:pPr>
      <w:r>
        <w:rPr>
          <w:rFonts w:ascii="Calibri" w:cs="Calibri" w:eastAsia="Calibri" w:hAnsi="Calibri"/>
          <w:i/>
          <w:iCs/>
        </w:rPr>
        <w:t xml:space="preserve">Esta ficha continúa la FPI-18: convierte los drivers priorizados en una decisión arquitectónica formal, comparada y documentada.</w:t>
      </w:r>
    </w:p>
    <w:p>
      <w:pPr>
        <w:pStyle w:val="Heading3"/>
        <w:keepNext/>
        <w:spacing w:after="160" w:before="300"/>
      </w:pPr>
      <w:r>
        <w:rPr>
          <w:rFonts w:ascii="Calibri" w:cs="Calibri" w:eastAsia="Calibri" w:hAnsi="Calibri"/>
          <w:b/>
          <w:bCs/>
        </w:rPr>
        <w:t xml:space="preserve">A. Identificación de la ficha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rPr>
          <w:cantSplit/>
        </w:trPr>
        <w:tc>
          <w:tcPr>
            <w:tcW w:type="dxa" w:w="25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rPr>
              <w:t xml:space="preserve">Código de la ficha</w:t>
            </w:r>
          </w:p>
        </w:tc>
        <w:tc>
          <w:tcPr>
            <w:tcW w:type="dxa" w:w="68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rPr>
              <w:t xml:space="preserve">FPI-19</w:t>
            </w:r>
          </w:p>
        </w:tc>
      </w:tr>
      <w:tr>
        <w:trPr>
          <w:cantSplit/>
        </w:trPr>
        <w:tc>
          <w:tcPr>
            <w:tcW w:type="dxa" w:w="25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rPr>
              <w:t xml:space="preserve">Nombre del proyecto</w:t>
            </w:r>
          </w:p>
        </w:tc>
        <w:tc>
          <w:tcPr>
            <w:tcW w:type="dxa" w:w="68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rPr>
              <w:t xml:space="preserve">FitManage – Sistema Integrado para el Manejo y Gestión de Gimnasios</w:t>
            </w:r>
          </w:p>
        </w:tc>
      </w:tr>
      <w:tr>
        <w:trPr>
          <w:cantSplit/>
        </w:trPr>
        <w:tc>
          <w:tcPr>
            <w:tcW w:type="dxa" w:w="25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rPr>
              <w:t xml:space="preserve">Tema de la guía</w:t>
            </w:r>
          </w:p>
        </w:tc>
        <w:tc>
          <w:tcPr>
            <w:tcW w:type="dxa" w:w="68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rPr>
              <w:t xml:space="preserve">Toma de decisiones arquitectónicas: trade-offs y ADRs</w:t>
            </w:r>
          </w:p>
        </w:tc>
      </w:tr>
    </w:tbl>
    <w:p>
      <w:pPr>
        <w:spacing w:after="160"/>
      </w:pPr>
      <w:r>
        <w:rPr>
          <w:rFonts w:ascii="Calibri" w:cs="Calibri" w:eastAsia="Calibri" w:hAnsi="Calibri"/>
        </w:rPr>
        <w:t xml:space="preserve"/>
      </w:r>
    </w:p>
    <w:p>
      <w:pPr>
        <w:keepNext/>
        <w:spacing w:after="80"/>
      </w:pPr>
      <w:r>
        <w:rPr>
          <w:rFonts w:ascii="Calibri" w:cs="Calibri" w:eastAsia="Calibri" w:hAnsi="Calibri"/>
          <w:b/>
          <w:bCs/>
        </w:rPr>
        <w:t xml:space="preserve">Integrantes del equipo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rPr>
              <w:t xml:space="preserve">Nombre completo</w:t>
            </w:r>
          </w:p>
        </w:tc>
        <w:tc>
          <w:tcPr>
            <w:tcW w:type="dxa" w:w="4675"/>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rPr>
              <w:t xml:space="preserve">Rol en el equipo</w:t>
            </w:r>
          </w:p>
        </w:tc>
      </w:tr>
      <w:tr>
        <w:trPr>
          <w:cantSplit/>
        </w:trPr>
        <w:tc>
          <w:tcPr>
            <w:tcW w:type="dxa" w:w="46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rPr>
              <w:t xml:space="preserve">Juan Sebastián Cárdenas Acevedo</w:t>
            </w:r>
          </w:p>
        </w:tc>
        <w:tc>
          <w:tcPr>
            <w:tcW w:type="dxa" w:w="46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rPr>
              <w:t xml:space="preserve">Proyecto individual. Me encargo del análisis, la arquitectura, el desarrollo, las pruebas y el repositorio.</w:t>
            </w:r>
          </w:p>
        </w:tc>
      </w:tr>
    </w:tbl>
    <w:p>
      <w:pPr>
        <w:spacing w:after="200"/>
      </w:pPr>
      <w:r>
        <w:rPr>
          <w:rFonts w:ascii="Calibri" w:cs="Calibri" w:eastAsia="Calibri" w:hAnsi="Calibri"/>
        </w:rPr>
        <w:t xml:space="preserve"/>
      </w:r>
    </w:p>
    <w:p>
      <w:pPr>
        <w:pStyle w:val="Heading3"/>
        <w:spacing w:after="160" w:before="300"/>
      </w:pPr>
      <w:r>
        <w:rPr>
          <w:rFonts w:ascii="Calibri" w:cs="Calibri" w:eastAsia="Calibri" w:hAnsi="Calibri"/>
          <w:b/>
          <w:bCs/>
        </w:rPr>
        <w:t xml:space="preserve">B. Recuperar y validar la FPI-18</w:t>
      </w:r>
    </w:p>
    <w:p>
      <w:pPr>
        <w:keepNext/>
        <w:spacing w:after="80"/>
      </w:pPr>
      <w:r>
        <w:rPr>
          <w:rFonts w:ascii="Calibri" w:cs="Calibri" w:eastAsia="Calibri" w:hAnsi="Calibri"/>
          <w:b/>
          <w:bCs/>
        </w:rPr>
        <w:t xml:space="preserve">Drivers priorizados (recuperados de la FPI-18)</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4"/>
              <w:left w:val="single" w:color="999999" w:sz="4"/>
              <w:bottom w:val="single" w:color="999999" w:sz="4"/>
              <w:right w:val="single" w:color="999999" w:sz="4"/>
            </w:tcBorders>
            <w:tcMar>
              <w:top w:type="dxa" w:w="120"/>
              <w:left w:type="dxa" w:w="150"/>
              <w:bottom w:type="dxa" w:w="120"/>
              <w:right w:type="dxa" w:w="150"/>
            </w:tcMar>
          </w:tcPr>
          <w:p>
            <w:pPr>
              <w:spacing w:after="60"/>
            </w:pPr>
            <w:r>
              <w:rPr>
                <w:rFonts w:ascii="Calibri" w:cs="Calibri" w:eastAsia="Calibri" w:hAnsi="Calibri"/>
              </w:rPr>
              <w:t xml:space="preserve">Tomados del ADR N.° 02, en el mismo orden:</w:t>
            </w:r>
          </w:p>
          <w:p>
            <w:pPr>
              <w:spacing w:after="60"/>
            </w:pPr>
            <w:r>
              <w:rPr>
                <w:rFonts w:ascii="Calibri" w:cs="Calibri" w:eastAsia="Calibri" w:hAnsi="Calibri"/>
              </w:rPr>
              <w:t xml:space="preserve">1. Fiabilidad de las reglas de membresía y de los pagos (QA-03 y QA-05): que las fechas sean correctas aunque el servidor esté en UTC y que nunca se duplique un comprobante.</w:t>
            </w:r>
          </w:p>
          <w:p>
            <w:pPr>
              <w:spacing w:after="60"/>
            </w:pPr>
            <w:r>
              <w:rPr>
                <w:rFonts w:ascii="Calibri" w:cs="Calibri" w:eastAsia="Calibri" w:hAnsi="Calibri"/>
              </w:rPr>
              <w:t xml:space="preserve">2. Disponibilidad y rapidez de la consulta en recepción (QA-02 y QA-01): que la consulta funcione sin internet en solo lectura y responda en menos de 2 s en hora pico.</w:t>
            </w:r>
          </w:p>
          <w:p>
            <w:pPr>
              <w:spacing w:after="60"/>
            </w:pPr>
            <w:r>
              <w:rPr>
                <w:rFonts w:ascii="Calibri" w:cs="Calibri" w:eastAsia="Calibri" w:hAnsi="Calibri"/>
              </w:rPr>
              <w:t xml:space="preserve">3. Seguridad del acceso y de los datos personales (QA-04 y Ley 1581 de 2012): que una recepcionista no pueda ver ingresos ni anular pagos, aunque escriba la dirección a mano.</w:t>
            </w:r>
          </w:p>
          <w:p>
            <w:pPr>
              <w:spacing w:after="0"/>
            </w:pPr>
            <w:r>
              <w:rPr>
                <w:rFonts w:ascii="Calibri" w:cs="Calibri" w:eastAsia="Calibri" w:hAnsi="Calibri"/>
              </w:rPr>
              <w:t xml:space="preserve">Los tres siguen vigentes. Lo comprobé contra lo que pasó esta semana: nada de lo que construí o decidí los contradijo.</w:t>
            </w:r>
          </w:p>
        </w:tc>
      </w:tr>
    </w:tbl>
    <w:p>
      <w:pPr>
        <w:spacing w:after="160"/>
      </w:pPr>
      <w:r>
        <w:rPr>
          <w:rFonts w:ascii="Calibri" w:cs="Calibri" w:eastAsia="Calibri" w:hAnsi="Calibri"/>
        </w:rPr>
        <w:t xml:space="preserve"/>
      </w:r>
    </w:p>
    <w:p>
      <w:pPr>
        <w:keepNext/>
        <w:spacing w:after="80"/>
      </w:pPr>
      <w:r>
        <w:rPr>
          <w:rFonts w:ascii="Calibri" w:cs="Calibri" w:eastAsia="Calibri" w:hAnsi="Calibri"/>
          <w:b/>
          <w:bCs/>
        </w:rPr>
        <w:t xml:space="preserve">¿Algo cambió desde la ficha anterior?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550"/>
      </w:tblGrid>
      <w:tr>
        <w:trPr>
          <w:tblHeader/>
        </w:trPr>
        <w:tc>
          <w:tcPr>
            <w:tcW w:type="dxa" w:w="29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Qué cambió</w:t>
            </w:r>
          </w:p>
        </w:tc>
        <w:tc>
          <w:tcPr>
            <w:tcW w:type="dxa" w:w="29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Por qué cambió</w:t>
            </w:r>
          </w:p>
        </w:tc>
        <w:tc>
          <w:tcPr>
            <w:tcW w:type="dxa" w:w="355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Impacto en el proyecto</w:t>
            </w:r>
          </w:p>
        </w:tc>
      </w:tr>
      <w:tr>
        <w:trPr>
          <w:cantSplit/>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Pagué DT-08: hay </w:t>
            </w:r>
            <w:r>
              <w:rPr>
                <w:rFonts w:ascii="Consolas" w:cs="Consolas" w:eastAsia="Consolas" w:hAnsi="Consolas"/>
                <w:sz w:val="18"/>
                <w:szCs w:val="18"/>
              </w:rPr>
              <w:t xml:space="preserve">Dockerfile</w:t>
            </w:r>
            <w:r>
              <w:rPr>
                <w:rFonts w:ascii="Calibri" w:cs="Calibri" w:eastAsia="Calibri" w:hAnsi="Calibri"/>
                <w:sz w:val="19"/>
                <w:szCs w:val="19"/>
              </w:rPr>
              <w:t xml:space="preserve"> y </w:t>
            </w:r>
            <w:r>
              <w:rPr>
                <w:rFonts w:ascii="Consolas" w:cs="Consolas" w:eastAsia="Consolas" w:hAnsi="Consolas"/>
                <w:sz w:val="18"/>
                <w:szCs w:val="18"/>
              </w:rPr>
              <w:t xml:space="preserve">docker-compose.yml</w:t>
            </w:r>
            <w:r>
              <w:rPr>
                <w:rFonts w:ascii="Calibri" w:cs="Calibri" w:eastAsia="Calibri" w:hAnsi="Calibri"/>
                <w:sz w:val="19"/>
                <w:szCs w:val="19"/>
              </w:rPr>
              <w:t xml:space="preserve"> con PostgreSQL 16, y el flujo </w:t>
            </w:r>
            <w:r>
              <w:rPr>
                <w:rFonts w:ascii="Consolas" w:cs="Consolas" w:eastAsia="Consolas" w:hAnsi="Consolas"/>
                <w:sz w:val="18"/>
                <w:szCs w:val="18"/>
              </w:rPr>
              <w:t xml:space="preserve">Calidad</w:t>
            </w:r>
            <w:r>
              <w:rPr>
                <w:rFonts w:ascii="Calibri" w:cs="Calibri" w:eastAsia="Calibri" w:hAnsi="Calibri"/>
                <w:sz w:val="19"/>
                <w:szCs w:val="19"/>
              </w:rPr>
              <w:t xml:space="preserve"> tiene un trabajo nuevo, </w:t>
            </w:r>
            <w:r>
              <w:rPr>
                <w:rFonts w:ascii="Consolas" w:cs="Consolas" w:eastAsia="Consolas" w:hAnsi="Consolas"/>
                <w:sz w:val="18"/>
                <w:szCs w:val="18"/>
              </w:rPr>
              <w:t xml:space="preserve">contenedores</w:t>
            </w:r>
            <w:r>
              <w:rPr>
                <w:rFonts w:ascii="Calibri" w:cs="Calibri" w:eastAsia="Calibri" w:hAnsi="Calibri"/>
                <w:sz w:val="19"/>
                <w:szCs w:val="19"/>
              </w:rPr>
              <w:t xml:space="preserve"> (commit </w:t>
            </w:r>
            <w:r>
              <w:rPr>
                <w:rFonts w:ascii="Consolas" w:cs="Consolas" w:eastAsia="Consolas" w:hAnsi="Consolas"/>
                <w:sz w:val="18"/>
                <w:szCs w:val="18"/>
              </w:rPr>
              <w:t xml:space="preserve">781ad56</w:t>
            </w:r>
            <w:r>
              <w:rPr>
                <w:rFonts w:ascii="Calibri" w:cs="Calibri" w:eastAsia="Calibri" w:hAnsi="Calibri"/>
                <w:sz w:val="19"/>
                <w:szCs w:val="19"/>
              </w:rPr>
              <w:t xml:space="preserve">).</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Estaba planeado para la semana 3 en la FPI-17. Lo necesito para correr QA-05 contra una base de datos real la próxima semana.</w:t>
            </w:r>
          </w:p>
        </w:tc>
        <w:tc>
          <w:tcPr>
            <w:tcW w:type="dxa" w:w="35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Las pruebas corren dentro del contenedor con Python 3.12, y GitHub comprueba en cada push que la aplicación alcanza PostgreSQL. La contraseña de la base no está en el repositorio: se lee de </w:t>
            </w:r>
            <w:r>
              <w:rPr>
                <w:rFonts w:ascii="Consolas" w:cs="Consolas" w:eastAsia="Consolas" w:hAnsi="Consolas"/>
                <w:sz w:val="18"/>
                <w:szCs w:val="18"/>
              </w:rPr>
              <w:t xml:space="preserve">.env</w:t>
            </w:r>
            <w:r>
              <w:rPr>
                <w:rFonts w:ascii="Calibri" w:cs="Calibri" w:eastAsia="Calibri" w:hAnsi="Calibri"/>
                <w:sz w:val="19"/>
                <w:szCs w:val="19"/>
              </w:rPr>
              <w:t xml:space="preserve">.</w:t>
            </w:r>
          </w:p>
        </w:tc>
      </w:tr>
      <w:tr>
        <w:trPr>
          <w:cantSplit/>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La plantilla de ADR pasó de 5 a 6 campos: ahora incluye las alternativas consideradas. Agregué </w:t>
            </w:r>
            <w:r>
              <w:rPr>
                <w:rFonts w:ascii="Consolas" w:cs="Consolas" w:eastAsia="Consolas" w:hAnsi="Consolas"/>
                <w:sz w:val="18"/>
                <w:szCs w:val="18"/>
              </w:rPr>
              <w:t xml:space="preserve">docs/adr/README.md</w:t>
            </w:r>
            <w:r>
              <w:rPr>
                <w:rFonts w:ascii="Calibri" w:cs="Calibri" w:eastAsia="Calibri" w:hAnsi="Calibri"/>
                <w:sz w:val="19"/>
                <w:szCs w:val="19"/>
              </w:rPr>
              <w:t xml:space="preserve"> (índice) y </w:t>
            </w:r>
            <w:r>
              <w:rPr>
                <w:rFonts w:ascii="Consolas" w:cs="Consolas" w:eastAsia="Consolas" w:hAnsi="Consolas"/>
                <w:sz w:val="18"/>
                <w:szCs w:val="18"/>
              </w:rPr>
              <w:t xml:space="preserve">docs/adr/plantilla.md</w:t>
            </w:r>
            <w:r>
              <w:rPr>
                <w:rFonts w:ascii="Calibri" w:cs="Calibri" w:eastAsia="Calibri" w:hAnsi="Calibri"/>
                <w:sz w:val="19"/>
                <w:szCs w:val="19"/>
              </w:rPr>
              <w:t xml:space="preserve">.</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Lo exige esta guía: un ADR sin alternativas es solo una afirmación de autoridad.</w:t>
            </w:r>
          </w:p>
        </w:tc>
        <w:tc>
          <w:tcPr>
            <w:tcW w:type="dxa" w:w="35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Los ADR N.° 01 y 02 no los reescribí para la plantilla nueva, porque un ADR aceptado es inmutable; el índice explica por qué tienen un campo menos. Desde el ADR N.° 03 todos usan la plantilla completa.</w:t>
            </w:r>
          </w:p>
        </w:tc>
      </w:tr>
      <w:tr>
        <w:trPr>
          <w:cantSplit/>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La decisión de construir un monolito, que estaba en el DAD sin justificar, ahora es el ADR N.° 03, con tres alternativas comparadas.</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La regla de oro de esta guía: ninguna decisión se acepta sin al menos dos alternativas comparadas contra los drivers.</w:t>
            </w:r>
          </w:p>
        </w:tc>
        <w:tc>
          <w:tcPr>
            <w:tcW w:type="dxa" w:w="35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La decisión no cambió, pero ahora se puede defender y revisar. Si en el futuro hay varias sedes, el ADR dice exactamente qué habría que volver a evaluar.</w:t>
            </w:r>
          </w:p>
        </w:tc>
      </w:tr>
    </w:tbl>
    <w:p>
      <w:pPr>
        <w:spacing w:after="160"/>
      </w:pPr>
      <w:r>
        <w:rPr>
          <w:rFonts w:ascii="Calibri" w:cs="Calibri" w:eastAsia="Calibri" w:hAnsi="Calibri"/>
          <w:i/>
          <w:iCs/>
        </w:rPr>
        <w:t xml:space="preserve">Si nada cambió, escribe "Sin cambios" en la primera fila y deja la tabla así.</w:t>
      </w:r>
    </w:p>
    <w:p>
      <w:pPr>
        <w:spacing w:after="160"/>
      </w:pPr>
      <w:r>
        <w:rPr>
          <w:rFonts w:ascii="Calibri" w:cs="Calibri" w:eastAsia="Calibri" w:hAnsi="Calibri"/>
        </w:rPr>
        <w:t xml:space="preserve"/>
      </w:r>
    </w:p>
    <w:p>
      <w:pPr>
        <w:pStyle w:val="Heading3"/>
        <w:spacing w:after="160" w:before="300"/>
      </w:pPr>
      <w:r>
        <w:rPr>
          <w:rFonts w:ascii="Calibri" w:cs="Calibri" w:eastAsia="Calibri" w:hAnsi="Calibri"/>
          <w:b/>
          <w:bCs/>
        </w:rPr>
        <w:t xml:space="preserve">C. Aplicación específica — Matriz de decisión y ADR</w:t>
      </w:r>
    </w:p>
    <w:p>
      <w:pPr>
        <w:keepNext/>
        <w:spacing w:after="80"/>
      </w:pPr>
      <w:r>
        <w:rPr>
          <w:rFonts w:ascii="Calibri" w:cs="Calibri" w:eastAsia="Calibri" w:hAnsi="Calibri"/>
          <w:b/>
          <w:bCs/>
        </w:rPr>
        <w:t xml:space="preserve">1. Matriz de decisión (mínimo 2 alternativas)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2350"/>
        <w:gridCol w:w="2300"/>
      </w:tblGrid>
      <w:tr>
        <w:trPr>
          <w:tblHeader/>
        </w:trPr>
        <w:tc>
          <w:tcPr>
            <w:tcW w:type="dxa" w:w="235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8"/>
                <w:szCs w:val="18"/>
              </w:rPr>
              <w:t xml:space="preserve">Alternativa</w:t>
            </w:r>
          </w:p>
        </w:tc>
        <w:tc>
          <w:tcPr>
            <w:tcW w:type="dxa" w:w="235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8"/>
                <w:szCs w:val="18"/>
              </w:rPr>
              <w:t xml:space="preserve">Driver 1: fiabilidad de pagos y fechas</w:t>
            </w:r>
          </w:p>
        </w:tc>
        <w:tc>
          <w:tcPr>
            <w:tcW w:type="dxa" w:w="235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8"/>
                <w:szCs w:val="18"/>
              </w:rPr>
              <w:t xml:space="preserve">Driver 2: consulta disponible en recepción</w:t>
            </w:r>
          </w:p>
        </w:tc>
        <w:tc>
          <w:tcPr>
            <w:tcW w:type="dxa" w:w="23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8"/>
                <w:szCs w:val="18"/>
              </w:rPr>
              <w:t xml:space="preserve">Driver 3: seguridad del acceso y los datos</w:t>
            </w:r>
          </w:p>
        </w:tc>
      </w:tr>
      <w:tr>
        <w:trPr>
          <w:cantSplit/>
        </w:trPr>
        <w:tc>
          <w:tcPr>
            <w:tcW w:type="dxa" w:w="23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8"/>
                <w:szCs w:val="18"/>
              </w:rPr>
              <w:t xml:space="preserve">A. Una aplicación Django con plantillas en el servidor, Service Worker y la API mínima </w:t>
            </w:r>
            <w:r>
              <w:rPr>
                <w:rFonts w:ascii="Consolas" w:cs="Consolas" w:eastAsia="Consolas" w:hAnsi="Consolas"/>
                <w:sz w:val="17"/>
                <w:szCs w:val="17"/>
              </w:rPr>
              <w:t xml:space="preserve">/api/v1/estados/</w:t>
            </w:r>
          </w:p>
        </w:tc>
        <w:tc>
          <w:tcPr>
            <w:tcW w:type="dxa" w:w="23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8"/>
                <w:szCs w:val="18"/>
              </w:rPr>
              <w:t xml:space="preserve">Alto: pago y auditoría en una transacción de PostgreSQL.</w:t>
            </w:r>
          </w:p>
        </w:tc>
        <w:tc>
          <w:tcPr>
            <w:tcW w:type="dxa" w:w="23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8"/>
                <w:szCs w:val="18"/>
              </w:rPr>
              <w:t xml:space="preserve">Alto: el Service Worker responde desde caché sin conexión.</w:t>
            </w:r>
          </w:p>
        </w:tc>
        <w:tc>
          <w:tcPr>
            <w:tcW w:type="dxa" w:w="2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8"/>
                <w:szCs w:val="18"/>
              </w:rPr>
              <w:t xml:space="preserve">Alto: la autorización por rol se revisa en un solo lugar del servidor.</w:t>
            </w:r>
          </w:p>
        </w:tc>
      </w:tr>
      <w:tr>
        <w:trPr>
          <w:cantSplit/>
        </w:trPr>
        <w:tc>
          <w:tcPr>
            <w:tcW w:type="dxa" w:w="23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8"/>
                <w:szCs w:val="18"/>
              </w:rPr>
              <w:t xml:space="preserve">B. API REST en Django + SPA en React</w:t>
            </w:r>
          </w:p>
        </w:tc>
        <w:tc>
          <w:tcPr>
            <w:tcW w:type="dxa" w:w="23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8"/>
                <w:szCs w:val="18"/>
              </w:rPr>
              <w:t xml:space="preserve">Alto, si la SPA no recalcula fechas (el riesgo de DT-04).</w:t>
            </w:r>
          </w:p>
        </w:tc>
        <w:tc>
          <w:tcPr>
            <w:tcW w:type="dxa" w:w="23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8"/>
                <w:szCs w:val="18"/>
              </w:rPr>
              <w:t xml:space="preserve">Alto: la SPA maneja bien la caché.</w:t>
            </w:r>
          </w:p>
        </w:tc>
        <w:tc>
          <w:tcPr>
            <w:tcW w:type="dxa" w:w="2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8"/>
                <w:szCs w:val="18"/>
              </w:rPr>
              <w:t xml:space="preserve">Medio: hay que proteger la API y cuidar lo que muestra el cliente.</w:t>
            </w:r>
          </w:p>
        </w:tc>
      </w:tr>
      <w:tr>
        <w:trPr>
          <w:cantSplit/>
        </w:trPr>
        <w:tc>
          <w:tcPr>
            <w:tcW w:type="dxa" w:w="23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8"/>
                <w:szCs w:val="18"/>
              </w:rPr>
              <w:t xml:space="preserve">C. Microservicios (socios, membresías, pagos, notificaciones)</w:t>
            </w:r>
          </w:p>
        </w:tc>
        <w:tc>
          <w:tcPr>
            <w:tcW w:type="dxa" w:w="23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8"/>
                <w:szCs w:val="18"/>
              </w:rPr>
              <w:t xml:space="preserve">Bajo: pago y auditoría en bases distintas; hacen falta sagas.</w:t>
            </w:r>
          </w:p>
        </w:tc>
        <w:tc>
          <w:tcPr>
            <w:tcW w:type="dxa" w:w="23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8"/>
                <w:szCs w:val="18"/>
              </w:rPr>
              <w:t xml:space="preserve">Medio: posible, pero con más piezas entre la recepción y los datos.</w:t>
            </w:r>
          </w:p>
        </w:tc>
        <w:tc>
          <w:tcPr>
            <w:tcW w:type="dxa" w:w="2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8"/>
                <w:szCs w:val="18"/>
              </w:rPr>
              <w:t xml:space="preserve">Medio: cada servicio debe validar tokens y permisos.</w:t>
            </w:r>
          </w:p>
        </w:tc>
      </w:tr>
    </w:tbl>
    <w:p>
      <w:pPr>
        <w:spacing w:after="200"/>
      </w:pPr>
      <w:r>
        <w:rPr>
          <w:rFonts w:ascii="Calibri" w:cs="Calibri" w:eastAsia="Calibri" w:hAnsi="Calibri"/>
        </w:rPr>
        <w:t xml:space="preserve"/>
      </w:r>
    </w:p>
    <w:p>
      <w:pPr>
        <w:keepNext/>
        <w:spacing w:after="80"/>
      </w:pPr>
      <w:r>
        <w:rPr>
          <w:rFonts w:ascii="Calibri" w:cs="Calibri" w:eastAsia="Calibri" w:hAnsi="Calibri"/>
          <w:b/>
          <w:bCs/>
        </w:rPr>
        <w:t xml:space="preserve">Registro de Decisión Arquitectónica — ADR N.° 03</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cantSplit/>
        </w:trPr>
        <w:tc>
          <w:tcPr>
            <w:tcW w:type="dxa" w:w="24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Título</w:t>
            </w:r>
          </w:p>
        </w:tc>
        <w:tc>
          <w:tcPr>
            <w:tcW w:type="dxa" w:w="6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ADR N.° 03 · Una sola aplicación Django con plantillas en el servidor y una API mínima para la caché sin conexión</w:t>
            </w:r>
          </w:p>
        </w:tc>
      </w:tr>
      <w:tr>
        <w:trPr>
          <w:cantSplit/>
        </w:trPr>
        <w:tc>
          <w:tcPr>
            <w:tcW w:type="dxa" w:w="24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Estado</w:t>
            </w:r>
          </w:p>
        </w:tc>
        <w:tc>
          <w:tcPr>
            <w:tcW w:type="dxa" w:w="6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Aceptado (30/10/2026)</w:t>
            </w:r>
          </w:p>
        </w:tc>
      </w:tr>
      <w:tr>
        <w:trPr>
          <w:cantSplit/>
        </w:trPr>
        <w:tc>
          <w:tcPr>
            <w:tcW w:type="dxa" w:w="24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Contexto</w:t>
            </w:r>
          </w:p>
        </w:tc>
        <w:tc>
          <w:tcPr>
            <w:tcW w:type="dxa" w:w="6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El DAD proponía un monolito modular, pero nunca se registró por qué. Antes de escoger el estilo interno, en la siguiente guía, tenía que fijar cómo se divide y se despliega el sistema. Las fuerzas son los drivers del ADR N.° 02, un solo desarrollador, costo cero (R-01), navegador sin apps nativas (R-02), internet inestable (R-03) y la regla de que un pago y su evento de auditoría se guardan en la misma transacción.</w:t>
            </w:r>
          </w:p>
        </w:tc>
      </w:tr>
      <w:tr>
        <w:trPr>
          <w:cantSplit/>
        </w:trPr>
        <w:tc>
          <w:tcPr>
            <w:tcW w:type="dxa" w:w="24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Decisión</w:t>
            </w:r>
          </w:p>
        </w:tc>
        <w:tc>
          <w:tcPr>
            <w:tcW w:type="dxa" w:w="6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FitManage se construye y se despliega como una sola aplicación Django (alternativa A de la matriz).</w:t>
            </w:r>
          </w:p>
        </w:tc>
      </w:tr>
      <w:tr>
        <w:trPr>
          <w:cantSplit/>
        </w:trPr>
        <w:tc>
          <w:tcPr>
            <w:tcW w:type="dxa" w:w="24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Consecuencias (positivas y negativas)</w:t>
            </w:r>
          </w:p>
        </w:tc>
        <w:tc>
          <w:tcPr>
            <w:tcW w:type="dxa" w:w="6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sz w:val="19"/>
                <w:szCs w:val="19"/>
              </w:rPr>
              <w:t xml:space="preserve">A favor: QA-05 se cumple con una transacción normal de PostgreSQL, sin transacciones distribuidas; la autorización por rol queda en un solo lugar (QA-04); hay un único despliegue en la capa gratuita (R-01); y el Service Worker cubre QA-02 sin necesitar una SPA.</w:t>
            </w:r>
          </w:p>
          <w:p>
            <w:pPr>
              <w:spacing w:after="0"/>
            </w:pPr>
            <w:r>
              <w:rPr>
                <w:rFonts w:ascii="Calibri" w:cs="Calibri" w:eastAsia="Calibri" w:hAnsi="Calibri"/>
                <w:sz w:val="19"/>
                <w:szCs w:val="19"/>
              </w:rPr>
              <w:t xml:space="preserve">En contra: la interfaz será menos dinámica que una SPA; si algún día se pide una app móvil, habrá que ampliar la API; y todo escala junto. Eso está bien para 1 a 3 equipos por gimnasio, pero con varias sedes este ADR se tendría que revisar.</w:t>
            </w:r>
          </w:p>
        </w:tc>
      </w:tr>
      <w:tr>
        <w:trPr>
          <w:cantSplit/>
        </w:trPr>
        <w:tc>
          <w:tcPr>
            <w:tcW w:type="dxa" w:w="24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Alternativas consideradas y por qué se descartaron</w:t>
            </w:r>
          </w:p>
        </w:tc>
        <w:tc>
          <w:tcPr>
            <w:tcW w:type="dxa" w:w="6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sz w:val="19"/>
                <w:szCs w:val="19"/>
              </w:rPr>
              <w:t xml:space="preserve">B (API + SPA): duplica proyectos, despliegues y pruebas para un solo desarrollador y reparte la autorización entre dos lugares, sin mejorar ningún driver, porque la consulta sin conexión ya la resuelve el Service Worker.</w:t>
            </w:r>
          </w:p>
          <w:p>
            <w:pPr>
              <w:spacing w:after="0"/>
            </w:pPr>
            <w:r>
              <w:rPr>
                <w:rFonts w:ascii="Calibri" w:cs="Calibri" w:eastAsia="Calibri" w:hAnsi="Calibri"/>
                <w:sz w:val="19"/>
                <w:szCs w:val="19"/>
              </w:rPr>
              <w:t xml:space="preserve">C (microservicios): separa el pago de su auditoría, que es el driver número uno, y obligaría a usar sagas y consistencia eventual justo en la parte de dinero. Además multiplica la infraestructura que habría que pagar y vigilar, para un problema de escala que un gimnasio de barrio no tiene.</w:t>
            </w:r>
          </w:p>
        </w:tc>
      </w:tr>
    </w:tbl>
    <w:p>
      <w:pPr>
        <w:spacing w:after="200"/>
      </w:pPr>
      <w:r>
        <w:rPr>
          <w:rFonts w:ascii="Calibri" w:cs="Calibri" w:eastAsia="Calibri" w:hAnsi="Calibri"/>
        </w:rPr>
        <w:t xml:space="preserve"/>
      </w:r>
    </w:p>
    <w:p>
      <w:pPr>
        <w:pStyle w:val="Heading3"/>
        <w:spacing w:after="160" w:before="300"/>
      </w:pPr>
      <w:r>
        <w:rPr>
          <w:rFonts w:ascii="Calibri" w:cs="Calibri" w:eastAsia="Calibri" w:hAnsi="Calibri"/>
          <w:b/>
          <w:bCs/>
        </w:rPr>
        <w:t xml:space="preserve">D. Reflexión y trazabilidad</w:t>
      </w:r>
    </w:p>
    <w:p>
      <w:pPr>
        <w:keepNext/>
        <w:spacing w:after="80"/>
      </w:pPr>
      <w:r>
        <w:rPr>
          <w:rFonts w:ascii="Calibri" w:cs="Calibri" w:eastAsia="Calibri" w:hAnsi="Calibri"/>
          <w:b/>
          <w:bCs/>
        </w:rPr>
        <w:t xml:space="preserve">¿Qué aprendimos?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4"/>
              <w:left w:val="single" w:color="999999" w:sz="4"/>
              <w:bottom w:val="single" w:color="999999" w:sz="4"/>
              <w:right w:val="single" w:color="999999" w:sz="4"/>
            </w:tcBorders>
            <w:tcMar>
              <w:top w:type="dxa" w:w="120"/>
              <w:left w:type="dxa" w:w="150"/>
              <w:bottom w:type="dxa" w:w="120"/>
              <w:right w:type="dxa" w:w="150"/>
            </w:tcMar>
          </w:tcPr>
          <w:p>
            <w:pPr>
              <w:spacing w:after="0"/>
            </w:pPr>
            <w:r>
              <w:rPr>
                <w:rFonts w:ascii="Calibri" w:cs="Calibri" w:eastAsia="Calibri" w:hAnsi="Calibri"/>
              </w:rPr>
              <w:t xml:space="preserve">Aprendí que un ADR vale sobre todo por las alternativas que descarta. Mi ADR N.° 01 y mi ADR N.° 02 no tenían ese campo y, al releerlos, se notaba: decían qué decidí pero no contra qué lo comparé. También me quedó claro por qué un ADR no se edita. Cuando cambié la plantilla tuve la tentación de completar los dos anteriores, y entendí que eso habría sido maquillar la historia; lo correcto fue dejarlos como estaban y explicarlo en el índice. La matriz de decisión me ayudó a ver que la alternativa B no era mala: empataba en dos drivers. Se descartó porque no ganaba nada a cambio del esfuerzo extra, y eso solo se ve cuando se ponen las opciones una al lado de la otra.</w:t>
            </w:r>
          </w:p>
        </w:tc>
      </w:tr>
    </w:tbl>
    <w:p>
      <w:pPr>
        <w:spacing w:after="160"/>
      </w:pPr>
      <w:r>
        <w:rPr>
          <w:rFonts w:ascii="Calibri" w:cs="Calibri" w:eastAsia="Calibri" w:hAnsi="Calibri"/>
        </w:rPr>
        <w:t xml:space="preserve"/>
      </w:r>
    </w:p>
    <w:p>
      <w:pPr>
        <w:keepNext/>
        <w:spacing w:after="80"/>
      </w:pPr>
      <w:r>
        <w:rPr>
          <w:rFonts w:ascii="Calibri" w:cs="Calibri" w:eastAsia="Calibri" w:hAnsi="Calibri"/>
          <w:b/>
          <w:bCs/>
        </w:rPr>
        <w:t xml:space="preserve">¿Cómo se aplica al proyecto?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4"/>
              <w:left w:val="single" w:color="999999" w:sz="4"/>
              <w:bottom w:val="single" w:color="999999" w:sz="4"/>
              <w:right w:val="single" w:color="999999" w:sz="4"/>
            </w:tcBorders>
            <w:tcMar>
              <w:top w:type="dxa" w:w="120"/>
              <w:left w:type="dxa" w:w="150"/>
              <w:bottom w:type="dxa" w:w="120"/>
              <w:right w:type="dxa" w:w="150"/>
            </w:tcMar>
          </w:tcPr>
          <w:p>
            <w:pPr>
              <w:spacing w:after="0"/>
            </w:pPr>
            <w:r>
              <w:rPr>
                <w:rFonts w:ascii="Calibri" w:cs="Calibri" w:eastAsia="Calibri" w:hAnsi="Calibri"/>
              </w:rPr>
              <w:t xml:space="preserve">Decidí que FitManage es una sola aplicación Django con plantillas en el servidor, un Service Worker para la consulta sin conexión y un único endpoint JSON de estados. Ante un evaluador externo la defendería con la matriz: es la única opción que queda en «alto» en los tres drivers. La comparación con microservicios es la más fácil de explicar, porque separan el pago de su auditoría y solo el plano de control de Kubernetes en AWS ya cuesta unos USD 73 al mes. Si me preguntan por qué no una SPA, la respuesta es que empata en fiabilidad y disponibilidad, pero me cuesta el doble de trabajo y complica la seguridad. Y tengo cómo demostrar que el monolito no es descuido: la puerta de calidad del ADR N.° 01 ya mide complejidad, cobertura y seguridad en cada push.</w:t>
            </w:r>
          </w:p>
        </w:tc>
      </w:tr>
    </w:tbl>
    <w:p>
      <w:pPr>
        <w:spacing w:after="160"/>
      </w:pPr>
      <w:r>
        <w:rPr>
          <w:rFonts w:ascii="Calibri" w:cs="Calibri" w:eastAsia="Calibri" w:hAnsi="Calibri"/>
        </w:rPr>
        <w:t xml:space="preserve"/>
      </w:r>
    </w:p>
    <w:p>
      <w:pPr>
        <w:keepNext/>
        <w:spacing w:after="80"/>
      </w:pPr>
      <w:r>
        <w:rPr>
          <w:rFonts w:ascii="Calibri" w:cs="Calibri" w:eastAsia="Calibri" w:hAnsi="Calibri"/>
          <w:b/>
          <w:bCs/>
        </w:rPr>
        <w:t xml:space="preserve">Decisiones tomadas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Decisión</w:t>
            </w:r>
          </w:p>
        </w:tc>
        <w:tc>
          <w:tcPr>
            <w:tcW w:type="dxa" w:w="4675"/>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Justificación</w:t>
            </w:r>
          </w:p>
        </w:tc>
      </w:tr>
      <w:tr>
        <w:trPr>
          <w:cantSplit/>
        </w:trPr>
        <w:tc>
          <w:tcPr>
            <w:tcW w:type="dxa" w:w="46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Construir y desplegar FitManage como una sola aplicación Django (ADR N.° 03).</w:t>
            </w:r>
          </w:p>
        </w:tc>
        <w:tc>
          <w:tcPr>
            <w:tcW w:type="dxa" w:w="46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Es la única alternativa con «alto» en los tres drivers y la única que cabe en costo cero con un desarrollador.</w:t>
            </w:r>
          </w:p>
        </w:tc>
      </w:tr>
      <w:tr>
        <w:trPr>
          <w:cantSplit/>
        </w:trPr>
        <w:tc>
          <w:tcPr>
            <w:tcW w:type="dxa" w:w="46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Usar desde ahora la plantilla de ADR de 6 campos y no reescribir los ADR N.° 01 y 02.</w:t>
            </w:r>
          </w:p>
        </w:tc>
        <w:tc>
          <w:tcPr>
            <w:tcW w:type="dxa" w:w="46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Las alternativas son lo que convierte un ADR en evidencia; y un ADR aceptado no se edita.</w:t>
            </w:r>
          </w:p>
        </w:tc>
      </w:tr>
      <w:tr>
        <w:trPr>
          <w:cantSplit/>
        </w:trPr>
        <w:tc>
          <w:tcPr>
            <w:tcW w:type="dxa" w:w="46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Pagar DT-08 con Docker y verificarlo en GitHub Actions en lugar de solo en mi computador.</w:t>
            </w:r>
          </w:p>
        </w:tc>
        <w:tc>
          <w:tcPr>
            <w:tcW w:type="dxa" w:w="46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El fallo de la semana pasada me enseñó que lo que no corre en el mismo entorno que el flujo </w:t>
            </w:r>
            <w:r>
              <w:rPr>
                <w:rFonts w:ascii="Consolas" w:cs="Consolas" w:eastAsia="Consolas" w:hAnsi="Consolas"/>
                <w:sz w:val="18"/>
                <w:szCs w:val="18"/>
              </w:rPr>
              <w:t xml:space="preserve">Calidad</w:t>
            </w:r>
            <w:r>
              <w:rPr>
                <w:rFonts w:ascii="Calibri" w:cs="Calibri" w:eastAsia="Calibri" w:hAnsi="Calibri"/>
                <w:sz w:val="19"/>
                <w:szCs w:val="19"/>
              </w:rPr>
              <w:t xml:space="preserve"> no está comprobado.</w:t>
            </w:r>
          </w:p>
        </w:tc>
      </w:tr>
    </w:tbl>
    <w:p>
      <w:pPr>
        <w:spacing w:after="200"/>
      </w:pPr>
      <w:r>
        <w:rPr>
          <w:rFonts w:ascii="Calibri" w:cs="Calibri" w:eastAsia="Calibri" w:hAnsi="Calibri"/>
        </w:rPr>
        <w:t xml:space="preserve"/>
      </w:r>
    </w:p>
    <w:p>
      <w:pPr>
        <w:spacing w:after="80"/>
      </w:pPr>
      <w:r>
        <w:rPr>
          <w:rFonts w:ascii="Calibri" w:cs="Calibri" w:eastAsia="Calibri" w:hAnsi="Calibri"/>
          <w:b/>
          <w:bCs/>
        </w:rPr>
        <w:t xml:space="preserve">Evidencia generada</w:t>
      </w:r>
    </w:p>
    <w:p>
      <w:pPr>
        <w:spacing w:after="80"/>
      </w:pPr>
      <w:r>
        <w:rPr>
          <w:rFonts w:ascii="Calibri" w:cs="Calibri" w:eastAsia="Calibri" w:hAnsi="Calibri"/>
        </w:rPr>
        <w:t xml:space="preserve">☑  Matriz de decisión diligenciada.</w:t>
      </w:r>
    </w:p>
    <w:p>
      <w:pPr>
        <w:spacing w:after="80"/>
      </w:pPr>
      <w:r>
        <w:rPr>
          <w:rFonts w:ascii="Calibri" w:cs="Calibri" w:eastAsia="Calibri" w:hAnsi="Calibri"/>
        </w:rPr>
        <w:t xml:space="preserve">☑  ADR N.° 03 completo, con alternativas consideradas.</w:t>
      </w:r>
    </w:p>
    <w:p>
      <w:pPr>
        <w:spacing w:after="80"/>
      </w:pPr>
      <w:r>
        <w:rPr>
          <w:rFonts w:ascii="Calibri" w:cs="Calibri" w:eastAsia="Calibri" w:hAnsi="Calibri"/>
        </w:rPr>
        <w:t xml:space="preserve">☑  Otra evidencia: en https://github.com/GAMERO29/FitManage, </w:t>
      </w:r>
      <w:r>
        <w:rPr>
          <w:rFonts w:ascii="Consolas" w:cs="Consolas" w:eastAsia="Consolas" w:hAnsi="Consolas"/>
          <w:sz w:val="19"/>
          <w:szCs w:val="19"/>
        </w:rPr>
        <w:t xml:space="preserve">docs/adr/ADR-003-unidad-de-despliegue.md</w:t>
      </w:r>
      <w:r>
        <w:rPr>
          <w:rFonts w:ascii="Calibri" w:cs="Calibri" w:eastAsia="Calibri" w:hAnsi="Calibri"/>
        </w:rPr>
        <w:t xml:space="preserve">, el índice y la plantilla de ADR en </w:t>
      </w:r>
      <w:r>
        <w:rPr>
          <w:rFonts w:ascii="Consolas" w:cs="Consolas" w:eastAsia="Consolas" w:hAnsi="Consolas"/>
          <w:sz w:val="19"/>
          <w:szCs w:val="19"/>
        </w:rPr>
        <w:t xml:space="preserve">docs/adr/</w:t>
      </w:r>
      <w:r>
        <w:rPr>
          <w:rFonts w:ascii="Calibri" w:cs="Calibri" w:eastAsia="Calibri" w:hAnsi="Calibri"/>
        </w:rPr>
        <w:t xml:space="preserve">, el prompt y las dos respuestas de la IA en </w:t>
      </w:r>
      <w:r>
        <w:rPr>
          <w:rFonts w:ascii="Consolas" w:cs="Consolas" w:eastAsia="Consolas" w:hAnsi="Consolas"/>
          <w:sz w:val="19"/>
          <w:szCs w:val="19"/>
        </w:rPr>
        <w:t xml:space="preserve">docs/guia-03-sw2/ejercicio-ia/</w:t>
      </w:r>
      <w:r>
        <w:rPr>
          <w:rFonts w:ascii="Calibri" w:cs="Calibri" w:eastAsia="Calibri" w:hAnsi="Calibri"/>
        </w:rPr>
        <w:t xml:space="preserve">, y el pago de DT-08 (</w:t>
      </w:r>
      <w:r>
        <w:rPr>
          <w:rFonts w:ascii="Consolas" w:cs="Consolas" w:eastAsia="Consolas" w:hAnsi="Consolas"/>
          <w:sz w:val="19"/>
          <w:szCs w:val="19"/>
        </w:rPr>
        <w:t xml:space="preserve">Dockerfile</w:t>
      </w:r>
      <w:r>
        <w:rPr>
          <w:rFonts w:ascii="Calibri" w:cs="Calibri" w:eastAsia="Calibri" w:hAnsi="Calibri"/>
        </w:rPr>
        <w:t xml:space="preserve">, </w:t>
      </w:r>
      <w:r>
        <w:rPr>
          <w:rFonts w:ascii="Consolas" w:cs="Consolas" w:eastAsia="Consolas" w:hAnsi="Consolas"/>
          <w:sz w:val="19"/>
          <w:szCs w:val="19"/>
        </w:rPr>
        <w:t xml:space="preserve">docker-compose.yml</w:t>
      </w:r>
      <w:r>
        <w:rPr>
          <w:rFonts w:ascii="Calibri" w:cs="Calibri" w:eastAsia="Calibri" w:hAnsi="Calibri"/>
        </w:rPr>
        <w:t xml:space="preserve"> y el trabajo </w:t>
      </w:r>
      <w:r>
        <w:rPr>
          <w:rFonts w:ascii="Consolas" w:cs="Consolas" w:eastAsia="Consolas" w:hAnsi="Consolas"/>
          <w:sz w:val="19"/>
          <w:szCs w:val="19"/>
        </w:rPr>
        <w:t xml:space="preserve">contenedores</w:t>
      </w:r>
      <w:r>
        <w:rPr>
          <w:rFonts w:ascii="Calibri" w:cs="Calibri" w:eastAsia="Calibri" w:hAnsi="Calibri"/>
        </w:rPr>
        <w:t xml:space="preserve"> del flujo </w:t>
      </w:r>
      <w:r>
        <w:rPr>
          <w:rFonts w:ascii="Consolas" w:cs="Consolas" w:eastAsia="Consolas" w:hAnsi="Consolas"/>
          <w:sz w:val="19"/>
          <w:szCs w:val="19"/>
        </w:rPr>
        <w:t xml:space="preserve">Calidad</w:t>
      </w:r>
      <w:r>
        <w:rPr>
          <w:rFonts w:ascii="Calibri" w:cs="Calibri" w:eastAsia="Calibri" w:hAnsi="Calibri"/>
        </w:rPr>
        <w:t xml:space="preserve">, en verde).</w:t>
      </w:r>
    </w:p>
    <w:p>
      <w:pPr>
        <w:spacing w:after="120"/>
      </w:pPr>
      <w:r>
        <w:rPr>
          <w:rFonts w:ascii="Calibri" w:cs="Calibri" w:eastAsia="Calibri" w:hAnsi="Calibri"/>
        </w:rPr>
        <w:t xml:space="preserve"/>
      </w:r>
    </w:p>
    <w:p>
      <w:pPr>
        <w:keepNext/>
        <w:spacing w:after="80"/>
      </w:pPr>
      <w:r>
        <w:rPr>
          <w:rFonts w:ascii="Calibri" w:cs="Calibri" w:eastAsia="Calibri" w:hAnsi="Calibri"/>
          <w:b/>
          <w:bCs/>
        </w:rPr>
        <w:t xml:space="preserve">Dificultades o ajustes identificados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4"/>
              <w:left w:val="single" w:color="999999" w:sz="4"/>
              <w:bottom w:val="single" w:color="999999" w:sz="4"/>
              <w:right w:val="single" w:color="999999" w:sz="4"/>
            </w:tcBorders>
            <w:tcMar>
              <w:top w:type="dxa" w:w="120"/>
              <w:left w:type="dxa" w:w="150"/>
              <w:bottom w:type="dxa" w:w="120"/>
              <w:right w:type="dxa" w:w="150"/>
            </w:tcMar>
          </w:tcPr>
          <w:p>
            <w:pPr>
              <w:spacing w:after="0"/>
            </w:pPr>
            <w:r>
              <w:rPr>
                <w:rFonts w:ascii="Calibri" w:cs="Calibri" w:eastAsia="Calibri" w:hAnsi="Calibri"/>
              </w:rPr>
              <w:t xml:space="preserve">La más difícil de descartar fue la alternativa B, la API con una SPA en React. Es lo que se ve en la mayoría de tutoriales y empata con mi opción en dos de los tres drivers; incluso maneja mejor la caché sin conexión. Me costó aceptar que «más moderna» no es un driver. Lo que la descartó fue contar el trabajo: dos proyectos, dos despliegues, dos juegos de pruebas y la autorización en dos lugares, todo para una sola persona y sin ganar en ningún driver. También me tomó tiempo el pago de DT-08. En el equipo donde desarrollé esa parte no se podían descargar imágenes de Docker Hub, así que no pude probar los contenedores ahí; por eso agregué el trabajo </w:t>
            </w:r>
            <w:r>
              <w:rPr>
                <w:rFonts w:ascii="Consolas" w:cs="Consolas" w:eastAsia="Consolas" w:hAnsi="Consolas"/>
                <w:sz w:val="19"/>
                <w:szCs w:val="19"/>
              </w:rPr>
              <w:t xml:space="preserve">contenedores</w:t>
            </w:r>
            <w:r>
              <w:rPr>
                <w:rFonts w:ascii="Calibri" w:cs="Calibri" w:eastAsia="Calibri" w:hAnsi="Calibri"/>
              </w:rPr>
              <w:t xml:space="preserve"> al flujo </w:t>
            </w:r>
            <w:r>
              <w:rPr>
                <w:rFonts w:ascii="Consolas" w:cs="Consolas" w:eastAsia="Consolas" w:hAnsi="Consolas"/>
                <w:sz w:val="19"/>
                <w:szCs w:val="19"/>
              </w:rPr>
              <w:t xml:space="preserve">Calidad</w:t>
            </w:r>
            <w:r>
              <w:rPr>
                <w:rFonts w:ascii="Calibri" w:cs="Calibri" w:eastAsia="Calibri" w:hAnsi="Calibri"/>
              </w:rPr>
              <w:t xml:space="preserve"> y lo validé en GitHub Actions.</w:t>
            </w:r>
          </w:p>
        </w:tc>
      </w:tr>
    </w:tbl>
    <w:p>
      <w:pPr>
        <w:spacing w:after="160"/>
      </w:pPr>
      <w:r>
        <w:rPr>
          <w:rFonts w:ascii="Calibri" w:cs="Calibri" w:eastAsia="Calibri" w:hAnsi="Calibri"/>
        </w:rPr>
        <w:t xml:space="preserve"/>
      </w:r>
    </w:p>
    <w:p>
      <w:pPr>
        <w:keepNext/>
        <w:spacing w:after="80"/>
      </w:pPr>
      <w:r>
        <w:rPr>
          <w:rFonts w:ascii="Calibri" w:cs="Calibri" w:eastAsia="Calibri" w:hAnsi="Calibri"/>
          <w:b/>
          <w:bCs/>
        </w:rPr>
        <w:t xml:space="preserve">Próximo paso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4"/>
              <w:left w:val="single" w:color="999999" w:sz="4"/>
              <w:bottom w:val="single" w:color="999999" w:sz="4"/>
              <w:right w:val="single" w:color="999999" w:sz="4"/>
            </w:tcBorders>
            <w:tcMar>
              <w:top w:type="dxa" w:w="120"/>
              <w:left w:type="dxa" w:w="150"/>
              <w:bottom w:type="dxa" w:w="120"/>
              <w:right w:type="dxa" w:w="150"/>
            </w:tcMar>
          </w:tcPr>
          <w:p>
            <w:pPr>
              <w:pStyle w:val="ListParagraph"/>
              <w:numPr>
                <w:ilvl w:val="0"/>
                <w:numId w:val="2"/>
              </w:numPr>
              <w:spacing w:after="60"/>
            </w:pPr>
            <w:r>
              <w:rPr>
                <w:rFonts w:ascii="Calibri" w:cs="Calibri" w:eastAsia="Calibri" w:hAnsi="Calibri"/>
              </w:rPr>
              <w:t xml:space="preserve">Comparar los estilos internos (capas, hexagonal y monolito modular) para la aplicación Django del ADR N.° 03, usando la misma matriz de drivers.</w:t>
            </w:r>
          </w:p>
          <w:p>
            <w:pPr>
              <w:pStyle w:val="ListParagraph"/>
              <w:numPr>
                <w:ilvl w:val="0"/>
                <w:numId w:val="2"/>
              </w:numPr>
              <w:spacing w:after="60"/>
            </w:pPr>
            <w:r>
              <w:rPr>
                <w:rFonts w:ascii="Calibri" w:cs="Calibri" w:eastAsia="Calibri" w:hAnsi="Calibri"/>
              </w:rPr>
              <w:t xml:space="preserve">Implementar los repositorios con Django ORM y la prueba concurrente de QA-05 contra PostgreSQL (DT-01 y DT-02, semana 4), aprovechando el </w:t>
            </w:r>
            <w:r>
              <w:rPr>
                <w:rFonts w:ascii="Consolas" w:cs="Consolas" w:eastAsia="Consolas" w:hAnsi="Consolas"/>
                <w:sz w:val="19"/>
                <w:szCs w:val="19"/>
              </w:rPr>
              <w:t xml:space="preserve">docker-compose</w:t>
            </w:r>
            <w:r>
              <w:rPr>
                <w:rFonts w:ascii="Calibri" w:cs="Calibri" w:eastAsia="Calibri" w:hAnsi="Calibri"/>
              </w:rPr>
              <w:t xml:space="preserve"> que ya quedó listo.</w:t>
            </w:r>
          </w:p>
          <w:p>
            <w:pPr>
              <w:pStyle w:val="ListParagraph"/>
              <w:numPr>
                <w:ilvl w:val="0"/>
                <w:numId w:val="2"/>
              </w:numPr>
              <w:spacing w:after="0"/>
            </w:pPr>
            <w:r>
              <w:rPr>
                <w:rFonts w:ascii="Calibri" w:cs="Calibri" w:eastAsia="Calibri" w:hAnsi="Calibri"/>
              </w:rPr>
              <w:t xml:space="preserve">Mantener el índice </w:t>
            </w:r>
            <w:r>
              <w:rPr>
                <w:rFonts w:ascii="Consolas" w:cs="Consolas" w:eastAsia="Consolas" w:hAnsi="Consolas"/>
                <w:sz w:val="19"/>
                <w:szCs w:val="19"/>
              </w:rPr>
              <w:t xml:space="preserve">docs/adr/README.md</w:t>
            </w:r>
            <w:r>
              <w:rPr>
                <w:rFonts w:ascii="Calibri" w:cs="Calibri" w:eastAsia="Calibri" w:hAnsi="Calibri"/>
              </w:rPr>
              <w:t xml:space="preserve"> al día con cada ADR nuevo.</w:t>
            </w:r>
          </w:p>
        </w:tc>
      </w:tr>
    </w:tbl>
    <w:p>
      <w:pPr>
        <w:spacing w:after="160"/>
      </w:pPr>
      <w:r>
        <w:rPr>
          <w:rFonts w:ascii="Calibri" w:cs="Calibri" w:eastAsia="Calibri" w:hAnsi="Calibri"/>
        </w:rPr>
        <w:t xml:space="preserve"/>
      </w:r>
    </w:p>
    <w:p>
      <w:pPr>
        <w:pStyle w:val="Heading3"/>
        <w:spacing w:after="160" w:before="300"/>
      </w:pPr>
      <w:r>
        <w:rPr>
          <w:rFonts w:ascii="Calibri" w:cs="Calibri" w:eastAsia="Calibri" w:hAnsi="Calibri"/>
          <w:b/>
          <w:bCs/>
        </w:rPr>
        <w:t xml:space="preserve">Conexión con la siguiente guía</w:t>
      </w:r>
    </w:p>
    <w:p>
      <w:pPr>
        <w:spacing w:after="160"/>
      </w:pPr>
      <w:r>
        <w:rPr>
          <w:rFonts w:ascii="Calibri" w:cs="Calibri" w:eastAsia="Calibri" w:hAnsi="Calibri"/>
        </w:rPr>
        <w:t xml:space="preserve">La decisión registrada en el ADR N.° 03 de esta FPI-19 es la antesala directa de la siguiente guía, donde el equipo elegirá formalmente su estilo arquitectónico (capas, hexagonal, monolito modular) y comenzará a refactorizar el código real del MVP hacia esa estructura. Si el estilo elegido contradice alguna alternativa ya descartada aquí, el equipo deberá explicar qué cambió.</w:t>
      </w:r>
    </w:p>
    <w:p>
      <w:pPr>
        <w:pStyle w:val="Heading1"/>
        <w:keepNext/>
        <w:spacing w:after="160" w:before="300"/>
      </w:pPr>
      <w:r>
        <w:rPr>
          <w:rFonts w:ascii="Calibri" w:cs="Calibri" w:eastAsia="Calibri" w:hAnsi="Calibri"/>
          <w:b/>
          <w:bCs/>
        </w:rPr>
        <w:t xml:space="preserve">Rúbrica de evaluación (escala 1 a 5)</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390"/>
        <w:gridCol w:w="1390"/>
        <w:gridCol w:w="1390"/>
        <w:gridCol w:w="1390"/>
        <w:gridCol w:w="1390"/>
      </w:tblGrid>
      <w:tr>
        <w:tc>
          <w:tcPr>
            <w:tcW w:type="dxa" w:w="24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Criterio (peso)</w:t>
            </w:r>
          </w:p>
        </w:tc>
        <w:tc>
          <w:tcPr>
            <w:tcW w:type="dxa" w:w="139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1</w:t>
            </w:r>
          </w:p>
        </w:tc>
        <w:tc>
          <w:tcPr>
            <w:tcW w:type="dxa" w:w="139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2–3</w:t>
            </w:r>
          </w:p>
        </w:tc>
        <w:tc>
          <w:tcPr>
            <w:tcW w:type="dxa" w:w="139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3</w:t>
            </w:r>
          </w:p>
        </w:tc>
        <w:tc>
          <w:tcPr>
            <w:tcW w:type="dxa" w:w="139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4</w:t>
            </w:r>
          </w:p>
        </w:tc>
        <w:tc>
          <w:tcPr>
            <w:tcW w:type="dxa" w:w="139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5</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Comprensión conceptual del ADR (15%)</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Confunde el ADR con documentación general</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Comprende conceptos básicos</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Comprende lo esencial</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Aplica correctamente la estructura de 6 campos</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Explica y relaciona los conceptos con profundidad</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Rigor de la matriz de decisión (25%)</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No compara alternativas reales</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Comparación superficial</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Comparación aceptable con criterios básicos</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Comparación rigurosa trazable a los drivers</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Matriz ejemplar y bien argumentada</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Calidad del ADR redactado (25%)</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ADR incompleto o sin alternativas</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ADR básico, alternativas débiles</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ADR aceptable con los 6 campos</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ADR completo, claro y bien justificado</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ADR de nivel profesional</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Rigor de la auditoría a la IA (15%)</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No audita o copia sin procesar</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Críticas superficiales</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Detecta alucinaciones básicas</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Auditoría robusta con corrección concreta</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Auditoría excepcional y bien argumentada</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Participación en el foro (10%)</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No participa</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Participación mínima</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Responde la pregunta</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Argumenta con ejemplos</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Reflexión crítica y fundamentada</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Trazabilidad respecto a la FPI-18 (10%)</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No recupera lo construido antes</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Copia sin verificar vigencia</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Valida lo esencial</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Valida y actualiza correctamente</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Trazabilidad ejemplar con causa e impacto de cambios</w:t>
            </w:r>
          </w:p>
        </w:tc>
      </w:tr>
    </w:tbl>
    <w:p>
      <w:pPr>
        <w:spacing w:after="120"/>
      </w:pPr>
      <w:r>
        <w:rPr>
          <w:rFonts w:ascii="Calibri" w:cs="Calibri" w:eastAsia="Calibri" w:hAnsi="Calibri"/>
        </w:rPr>
        <w:t xml:space="preserve"/>
      </w:r>
    </w:p>
    <w:p>
      <w:pPr>
        <w:spacing w:after="160"/>
      </w:pPr>
      <w:r>
        <w:rPr>
          <w:rFonts w:ascii="Calibri" w:cs="Calibri" w:eastAsia="Calibri" w:hAnsi="Calibri"/>
          <w:i/>
          <w:iCs/>
        </w:rPr>
        <w:t xml:space="preserve">Nota final = suma ponderada de los 6 criterios según el peso indicado entre paréntesis (total 100%).</w:t>
      </w:r>
    </w:p>
    <w:p>
      <w:pPr>
        <w:pStyle w:val="Heading1"/>
        <w:spacing w:after="160" w:before="300"/>
      </w:pPr>
      <w:r>
        <w:rPr>
          <w:rFonts w:ascii="Calibri" w:cs="Calibri" w:eastAsia="Calibri" w:hAnsi="Calibri"/>
          <w:b/>
          <w:bCs/>
        </w:rPr>
        <w:t xml:space="preserve">Recursos académicos y bibliografía</w:t>
      </w:r>
    </w:p>
    <w:p>
      <w:pPr>
        <w:pStyle w:val="ListParagraph"/>
        <w:numPr>
          <w:ilvl w:val="0"/>
          <w:numId w:val="2"/>
        </w:numPr>
        <w:spacing w:after="120"/>
      </w:pPr>
      <w:r>
        <w:rPr>
          <w:rFonts w:ascii="Calibri" w:cs="Calibri" w:eastAsia="Calibri" w:hAnsi="Calibri"/>
        </w:rPr>
        <w:t xml:space="preserve">Nygard, Michael. Documenting Architecture Decisions (origen del formato ADR).</w:t>
      </w:r>
    </w:p>
    <w:p>
      <w:pPr>
        <w:pStyle w:val="ListParagraph"/>
        <w:numPr>
          <w:ilvl w:val="0"/>
          <w:numId w:val="2"/>
        </w:numPr>
        <w:spacing w:after="120"/>
      </w:pPr>
      <w:r>
        <w:rPr>
          <w:rFonts w:ascii="Calibri" w:cs="Calibri" w:eastAsia="Calibri" w:hAnsi="Calibri"/>
        </w:rPr>
        <w:t xml:space="preserve">Bass, Len; Clements, Paul; Kazman, Rick. Software Architecture in Practice.</w:t>
      </w:r>
    </w:p>
    <w:p>
      <w:pPr>
        <w:pStyle w:val="ListParagraph"/>
        <w:numPr>
          <w:ilvl w:val="0"/>
          <w:numId w:val="2"/>
        </w:numPr>
        <w:spacing w:after="120"/>
      </w:pPr>
      <w:r>
        <w:rPr>
          <w:rFonts w:ascii="Calibri" w:cs="Calibri" w:eastAsia="Calibri" w:hAnsi="Calibri"/>
        </w:rPr>
        <w:t xml:space="preserve">IEEE Computer Society. SWEBOK Guide, Version 4.0 (Software Architecture).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Calibri" w:cs="Calibri" w:eastAsia="Calibri" w:hAnsi="Calibri"/>
      <w:b/>
      <w:bCs/>
      <w:color w:val="1F3864"/>
      <w:sz w:val="26"/>
      <w:szCs w:val="26"/>
    </w:rPr>
  </w:style>
  <w:style w:type="paragraph" w:styleId="Heading2">
    <w:name w:val="Heading 2"/>
    <w:basedOn w:val="Normal"/>
    <w:next w:val="Normal"/>
    <w:qFormat/>
    <w:pPr>
      <w:spacing w:after="140" w:before="260"/>
    </w:pPr>
    <w:rPr>
      <w:rFonts w:ascii="Calibri" w:cs="Calibri" w:eastAsia="Calibri" w:hAnsi="Calibri"/>
      <w:b/>
      <w:bCs/>
      <w:color w:val="2E5395"/>
      <w:sz w:val="24"/>
      <w:szCs w:val="24"/>
    </w:rPr>
  </w:style>
  <w:style w:type="paragraph" w:styleId="Heading3">
    <w:name w:val="Heading 3"/>
    <w:basedOn w:val="Normal"/>
    <w:next w:val="Normal"/>
    <w:qFormat/>
    <w:pPr>
      <w:spacing w:after="100" w:before="200"/>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2026-08-29T16:12:44.141Z</dcterms:created>
  <dcterms:modified xsi:type="dcterms:W3CDTF">2026-08-29T16:12:44.155Z</dcterms:modified>
</cp:coreProperties>
</file>

<file path=docProps/custom.xml><?xml version="1.0" encoding="utf-8"?>
<Properties xmlns="http://schemas.openxmlformats.org/officeDocument/2006/custom-properties" xmlns:vt="http://schemas.openxmlformats.org/officeDocument/2006/docPropsVTypes"/>
</file>