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UNIVERSIDAD DE PAMPLONA</w:t>
      </w:r>
    </w:p>
    <w:p>
      <w:pPr>
        <w:spacing w:after="40"/>
        <w:jc w:val="center"/>
      </w:pPr>
      <w:r>
        <w:rPr>
          <w:rFonts w:ascii="Calibri" w:cs="Calibri" w:eastAsia="Calibri" w:hAnsi="Calibri"/>
          <w:b/>
          <w:bCs/>
          <w:sz w:val="24"/>
          <w:szCs w:val="24"/>
        </w:rPr>
        <w:t xml:space="preserve">Facultad de Ingenierías y Arquitectura</w:t>
      </w:r>
    </w:p>
    <w:p>
      <w:pPr>
        <w:spacing w:after="300"/>
        <w:jc w:val="center"/>
      </w:pPr>
      <w:r>
        <w:rPr>
          <w:rFonts w:ascii="Calibri" w:cs="Calibri" w:eastAsia="Calibri" w:hAnsi="Calibri"/>
          <w:b/>
          <w:bCs/>
          <w:sz w:val="24"/>
          <w:szCs w:val="24"/>
        </w:rPr>
        <w:t xml:space="preserve">Programa de Ingeniería de Sistemas</w:t>
      </w:r>
    </w:p>
    <w:p>
      <w:pPr>
        <w:spacing w:after="40"/>
        <w:jc w:val="center"/>
      </w:pPr>
      <w:r>
        <w:rPr>
          <w:rFonts w:ascii="Calibri" w:cs="Calibri" w:eastAsia="Calibri" w:hAnsi="Calibri"/>
          <w:b/>
          <w:bCs/>
          <w:sz w:val="26"/>
          <w:szCs w:val="26"/>
        </w:rPr>
        <w:t xml:space="preserve">GUÍA DE APRENDIZAJE No. 5</w:t>
      </w:r>
    </w:p>
    <w:p>
      <w:pPr>
        <w:keepNext/>
        <w:spacing w:after="300"/>
        <w:jc w:val="center"/>
      </w:pPr>
      <w:r>
        <w:rPr>
          <w:rFonts w:ascii="Calibri" w:cs="Calibri" w:eastAsia="Calibri" w:hAnsi="Calibri"/>
          <w:b/>
          <w:bCs/>
          <w:sz w:val="24"/>
          <w:szCs w:val="24"/>
        </w:rPr>
        <w:t xml:space="preserve">Distribución y Acoplamiento: Microservicios, APIs y el Debate de la Distribución Prematura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Asignatura</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Ingeniería de Software II</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Corte</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Primer Corte (Cierre de Corte)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Duración</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Semana 5</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Proyecto integrador</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Fase 21: Análisis de viabilidad de distribución y mapa de Bounded Contexts del MVP</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Herramientas</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C4 Model, Mermaid (Context Map) + IA generativa auditada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Formato de entrega</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Documento con taller resuelto y Ficha de Aplicación al Proyecto Integrador (FPI-21) diligenciada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Fecha límite</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Domingo de la Semana 5, 11:59 p.m. (ver fecha exacta en el aula virtual)</w:t>
            </w:r>
          </w:p>
        </w:tc>
      </w:tr>
    </w:tbl>
    <w:p>
      <w:pPr>
        <w:spacing w:after="200"/>
      </w:pPr>
      <w:r>
        <w:rPr>
          <w:rFonts w:ascii="Calibri" w:cs="Calibri" w:eastAsia="Calibri" w:hAnsi="Calibri"/>
        </w:rPr>
        <w:t xml:space="preserve"/>
      </w:r>
    </w:p>
    <w:p>
      <w:pPr>
        <w:pStyle w:val="Heading1"/>
        <w:spacing w:after="160" w:before="300"/>
      </w:pPr>
      <w:r>
        <w:rPr>
          <w:rFonts w:ascii="Calibri" w:cs="Calibri" w:eastAsia="Calibri" w:hAnsi="Calibri"/>
          <w:b/>
          <w:bCs/>
        </w:rPr>
        <w:t xml:space="preserve">Fase 21 del Proyecto Integrador — Evolución del MVP</w:t>
      </w:r>
    </w:p>
    <w:p>
      <w:pPr>
        <w:spacing w:after="160"/>
      </w:pPr>
      <w:r>
        <w:rPr>
          <w:rFonts w:ascii="Calibri" w:cs="Calibri" w:eastAsia="Calibri" w:hAnsi="Calibri"/>
        </w:rPr>
        <w:t xml:space="preserve">En la Guía 4 elegiste un estilo arquitectónico y desacoplaste el núcleo de negocio de la infraestructura dentro de un mismo proceso. La pregunta de esta semana es distinta y mucho más riesgosa: ¿deberías ir un paso más allá y fragmentar tu sistema en servicios distribuidos físicamente? El patrón de microservicios domina el discurso de la industria, pero la evidencia demuestra que distribuir bases de datos e infraestructura antes de alcanzar una escala adecuada es uno de los mayores generadores de fracaso técnico y financiero en las empresas pequeñas.</w:t>
      </w:r>
    </w:p>
    <w:p>
      <w:pPr>
        <w:spacing w:after="160"/>
      </w:pPr>
      <w:r>
        <w:rPr>
          <w:rFonts w:ascii="Calibri" w:cs="Calibri" w:eastAsia="Calibri" w:hAnsi="Calibri"/>
          <w:i/>
          <w:iCs/>
        </w:rPr>
        <w:t xml:space="preserve">Esta guía retoma el monolito modular refactorizado en la FPI-20: en vez de fragmentarlo a ciegas, identificarás sus límites de negocio (Bounded Contexts) y decidirás, con evidencia y no con moda, qué módulos —si acaso alguno— justifican distribuirse. El resultado se registra en la FPI-21.</w:t>
      </w:r>
    </w:p>
    <w:p>
      <w:pPr>
        <w:pStyle w:val="Heading1"/>
        <w:spacing w:after="160" w:before="300"/>
      </w:pPr>
      <w:r>
        <w:rPr>
          <w:rFonts w:ascii="Calibri" w:cs="Calibri" w:eastAsia="Calibri" w:hAnsi="Calibri"/>
          <w:b/>
          <w:bCs/>
        </w:rPr>
        <w:t xml:space="preserve">Resultados de aprendizaje</w:t>
      </w:r>
    </w:p>
    <w:p>
      <w:pPr>
        <w:pStyle w:val="ListParagraph"/>
        <w:numPr>
          <w:ilvl w:val="0"/>
          <w:numId w:val="2"/>
        </w:numPr>
        <w:spacing w:after="120"/>
      </w:pPr>
      <w:r>
        <w:rPr>
          <w:rFonts w:ascii="Calibri" w:cs="Calibri" w:eastAsia="Calibri" w:hAnsi="Calibri"/>
        </w:rPr>
        <w:t xml:space="preserve">Explicar el Principio de Distribución Prematura de Fowler y Newman.</w:t>
      </w:r>
    </w:p>
    <w:p>
      <w:pPr>
        <w:pStyle w:val="ListParagraph"/>
        <w:numPr>
          <w:ilvl w:val="0"/>
          <w:numId w:val="2"/>
        </w:numPr>
        <w:spacing w:after="120"/>
      </w:pPr>
      <w:r>
        <w:rPr>
          <w:rFonts w:ascii="Calibri" w:cs="Calibri" w:eastAsia="Calibri" w:hAnsi="Calibri"/>
        </w:rPr>
        <w:t xml:space="preserve">Identificar Bounded Contexts (límites de negocio) mediante Diseño Guiado por el Dominio (DDD).</w:t>
      </w:r>
    </w:p>
    <w:p>
      <w:pPr>
        <w:pStyle w:val="ListParagraph"/>
        <w:numPr>
          <w:ilvl w:val="0"/>
          <w:numId w:val="2"/>
        </w:numPr>
        <w:spacing w:after="120"/>
      </w:pPr>
      <w:r>
        <w:rPr>
          <w:rFonts w:ascii="Calibri" w:cs="Calibri" w:eastAsia="Calibri" w:hAnsi="Calibri"/>
        </w:rPr>
        <w:t xml:space="preserve">Analizar las consecuencias técnicas del patrón Database-per-Service.</w:t>
      </w:r>
    </w:p>
    <w:p>
      <w:pPr>
        <w:pStyle w:val="ListParagraph"/>
        <w:numPr>
          <w:ilvl w:val="0"/>
          <w:numId w:val="2"/>
        </w:numPr>
        <w:spacing w:after="120"/>
      </w:pPr>
      <w:r>
        <w:rPr>
          <w:rFonts w:ascii="Calibri" w:cs="Calibri" w:eastAsia="Calibri" w:hAnsi="Calibri"/>
        </w:rPr>
        <w:t xml:space="preserve">Evaluar la viabilidad financiera y de latencia real de una propuesta de arquitectura distribuida para una MiPyme.</w:t>
      </w:r>
    </w:p>
    <w:p>
      <w:pPr>
        <w:pStyle w:val="ListParagraph"/>
        <w:numPr>
          <w:ilvl w:val="0"/>
          <w:numId w:val="2"/>
        </w:numPr>
        <w:spacing w:after="120"/>
      </w:pPr>
      <w:r>
        <w:rPr>
          <w:rFonts w:ascii="Calibri" w:cs="Calibri" w:eastAsia="Calibri" w:hAnsi="Calibri"/>
        </w:rPr>
        <w:t xml:space="preserve">Auditar críticamente una arquitectura de microservicios sugerida por IA, detectando sobrecostos y riesgos de red.</w:t>
      </w:r>
    </w:p>
    <w:p>
      <w:pPr>
        <w:pStyle w:val="Heading1"/>
        <w:spacing w:after="160" w:before="300"/>
      </w:pPr>
      <w:r>
        <w:rPr>
          <w:rFonts w:ascii="Calibri" w:cs="Calibri" w:eastAsia="Calibri" w:hAnsi="Calibri"/>
          <w:b/>
          <w:bCs/>
        </w:rPr>
        <w:t xml:space="preserve">Objetivos</w:t>
      </w:r>
    </w:p>
    <w:p>
      <w:pPr>
        <w:pStyle w:val="Heading2"/>
        <w:spacing w:after="160" w:before="300"/>
      </w:pPr>
      <w:r>
        <w:rPr>
          <w:rFonts w:ascii="Calibri" w:cs="Calibri" w:eastAsia="Calibri" w:hAnsi="Calibri"/>
          <w:b/>
          <w:bCs/>
        </w:rPr>
        <w:t xml:space="preserve">General</w:t>
      </w:r>
    </w:p>
    <w:p>
      <w:pPr>
        <w:spacing w:after="160"/>
      </w:pPr>
      <w:r>
        <w:rPr>
          <w:rFonts w:ascii="Calibri" w:cs="Calibri" w:eastAsia="Calibri" w:hAnsi="Calibri"/>
        </w:rPr>
        <w:t xml:space="preserve">Analizar con rigor científico la viabilidad de distribuir el MVP, identificando sus Bounded Contexts antes de tomar cualquier decisión de partición física.</w:t>
      </w:r>
    </w:p>
    <w:p>
      <w:pPr>
        <w:pStyle w:val="Heading2"/>
        <w:spacing w:after="160" w:before="300"/>
      </w:pPr>
      <w:r>
        <w:rPr>
          <w:rFonts w:ascii="Calibri" w:cs="Calibri" w:eastAsia="Calibri" w:hAnsi="Calibri"/>
          <w:b/>
          <w:bCs/>
        </w:rPr>
        <w:t xml:space="preserve">Específicos</w:t>
      </w:r>
    </w:p>
    <w:p>
      <w:pPr>
        <w:pStyle w:val="ListParagraph"/>
        <w:numPr>
          <w:ilvl w:val="0"/>
          <w:numId w:val="2"/>
        </w:numPr>
        <w:spacing w:after="120"/>
      </w:pPr>
      <w:r>
        <w:rPr>
          <w:rFonts w:ascii="Calibri" w:cs="Calibri" w:eastAsia="Calibri" w:hAnsi="Calibri"/>
        </w:rPr>
        <w:t xml:space="preserve">Explicar por qué la distribución física introduce latencia, consistencia eventual y fallos parciales de red.</w:t>
      </w:r>
    </w:p>
    <w:p>
      <w:pPr>
        <w:pStyle w:val="ListParagraph"/>
        <w:numPr>
          <w:ilvl w:val="0"/>
          <w:numId w:val="2"/>
        </w:numPr>
        <w:spacing w:after="120"/>
      </w:pPr>
      <w:r>
        <w:rPr>
          <w:rFonts w:ascii="Calibri" w:cs="Calibri" w:eastAsia="Calibri" w:hAnsi="Calibri"/>
        </w:rPr>
        <w:t xml:space="preserve">Delimitar al menos tres Bounded Contexts del dominio del MVP.</w:t>
      </w:r>
    </w:p>
    <w:p>
      <w:pPr>
        <w:pStyle w:val="ListParagraph"/>
        <w:numPr>
          <w:ilvl w:val="0"/>
          <w:numId w:val="2"/>
        </w:numPr>
        <w:spacing w:after="120"/>
      </w:pPr>
      <w:r>
        <w:rPr>
          <w:rFonts w:ascii="Calibri" w:cs="Calibri" w:eastAsia="Calibri" w:hAnsi="Calibri"/>
        </w:rPr>
        <w:t xml:space="preserve">Calcular el costo real de infraestructura distribuida frente al margen operativo de la MiPyme.</w:t>
      </w:r>
    </w:p>
    <w:p>
      <w:pPr>
        <w:pStyle w:val="ListParagraph"/>
        <w:numPr>
          <w:ilvl w:val="0"/>
          <w:numId w:val="2"/>
        </w:numPr>
        <w:spacing w:after="120"/>
      </w:pPr>
      <w:r>
        <w:rPr>
          <w:rFonts w:ascii="Calibri" w:cs="Calibri" w:eastAsia="Calibri" w:hAnsi="Calibri"/>
        </w:rPr>
        <w:t xml:space="preserve">Justificar, para cada módulo, si permanece en el monolito o se distribuye, con un atributo de calidad concreto.</w:t>
      </w:r>
    </w:p>
    <w:p>
      <w:pPr>
        <w:pStyle w:val="ListParagraph"/>
        <w:numPr>
          <w:ilvl w:val="0"/>
          <w:numId w:val="2"/>
        </w:numPr>
        <w:spacing w:after="120"/>
      </w:pPr>
      <w:r>
        <w:rPr>
          <w:rFonts w:ascii="Calibri" w:cs="Calibri" w:eastAsia="Calibri" w:hAnsi="Calibri"/>
        </w:rPr>
        <w:t xml:space="preserve">Registrar el mapa de contextos y la decisión de distribución en la FPI-21.</w:t>
      </w:r>
    </w:p>
    <w:p>
      <w:pPr>
        <w:pStyle w:val="Heading1"/>
        <w:spacing w:after="160" w:before="300"/>
      </w:pPr>
      <w:r>
        <w:rPr>
          <w:rFonts w:ascii="Calibri" w:cs="Calibri" w:eastAsia="Calibri" w:hAnsi="Calibri"/>
          <w:b/>
          <w:bCs/>
        </w:rPr>
        <w:t xml:space="preserve">Saberes previos</w:t>
      </w:r>
    </w:p>
    <w:p>
      <w:pPr>
        <w:spacing w:after="160"/>
      </w:pPr>
      <w:r>
        <w:rPr>
          <w:rFonts w:ascii="Calibri" w:cs="Calibri" w:eastAsia="Calibri" w:hAnsi="Calibri"/>
        </w:rPr>
        <w:t xml:space="preserve">Antes de iniciar, responde (no se califica):</w:t>
      </w:r>
    </w:p>
    <w:p>
      <w:pPr>
        <w:pStyle w:val="ListParagraph"/>
        <w:numPr>
          <w:ilvl w:val="0"/>
          <w:numId w:val="2"/>
        </w:numPr>
        <w:spacing w:after="120"/>
      </w:pPr>
      <w:r>
        <w:rPr>
          <w:rFonts w:ascii="Calibri" w:cs="Calibri" w:eastAsia="Calibri" w:hAnsi="Calibri"/>
        </w:rPr>
        <w:t xml:space="preserve">¿Has escuchado hablar de "microservicios"? ¿Qué crees que gana y qué crees que pierde un sistema al dividirse así?</w:t>
      </w:r>
    </w:p>
    <w:p>
      <w:pPr>
        <w:pStyle w:val="ListParagraph"/>
        <w:numPr>
          <w:ilvl w:val="0"/>
          <w:numId w:val="2"/>
        </w:numPr>
        <w:spacing w:after="120"/>
      </w:pPr>
      <w:r>
        <w:rPr>
          <w:rFonts w:ascii="Calibri" w:cs="Calibri" w:eastAsia="Calibri" w:hAnsi="Calibri"/>
        </w:rPr>
        <w:t xml:space="preserve">¿Cuántos módulos de negocio distintos tiene tu MVP actualmente (ej. facturación, inventario, clientes)?</w:t>
      </w:r>
    </w:p>
    <w:p>
      <w:pPr>
        <w:pStyle w:val="ListParagraph"/>
        <w:numPr>
          <w:ilvl w:val="0"/>
          <w:numId w:val="2"/>
        </w:numPr>
        <w:spacing w:after="120"/>
      </w:pPr>
      <w:r>
        <w:rPr>
          <w:rFonts w:ascii="Calibri" w:cs="Calibri" w:eastAsia="Calibri" w:hAnsi="Calibri"/>
        </w:rPr>
        <w:t xml:space="preserve">¿Qué tan estable es la conexión a internet de la organización beneficiaria de tu proyecto?</w:t>
      </w:r>
    </w:p>
    <w:p>
      <w:pPr>
        <w:pStyle w:val="Heading1"/>
        <w:spacing w:after="160" w:before="300"/>
      </w:pPr>
      <w:r>
        <w:rPr>
          <w:rFonts w:ascii="Calibri" w:cs="Calibri" w:eastAsia="Calibri" w:hAnsi="Calibri"/>
          <w:b/>
          <w:bCs/>
        </w:rPr>
        <w:t xml:space="preserve">Concepto 1 — El Principio de Distribución Prematura</w:t>
      </w:r>
    </w:p>
    <w:p>
      <w:pPr>
        <w:keepNext/>
        <w:spacing w:after="160"/>
      </w:pPr>
      <w:r>
        <w:rPr>
          <w:rFonts w:ascii="Calibri" w:cs="Calibri" w:eastAsia="Calibri" w:hAnsi="Calibri"/>
        </w:rPr>
        <w:t xml:space="preserve">Martin Fowler y Sam Newman definen que la primera ley de la distribución de objetos es: "no distribuyas tus objetos". La distribución física introduce de forma ineludible problemas de latencia, consistencia eventual, fallos parciales de red y la necesidad de transacciones distribuidas o sagas de compensación. Ninguno de estos problemas existe en un monolito modular bien diseñado.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AAB8C2" w:sz="4"/>
              <w:left w:val="single" w:color="2E5395" w:sz="24"/>
              <w:bottom w:val="single" w:color="AAB8C2" w:sz="4"/>
              <w:right w:val="single" w:color="AAB8C2" w:sz="4"/>
            </w:tcBorders>
            <w:shd w:fill="EAF1FB" w:val="clear"/>
            <w:tcMar>
              <w:top w:type="dxa" w:w="140"/>
              <w:left w:type="dxa" w:w="220"/>
              <w:bottom w:type="dxa" w:w="140"/>
              <w:right w:type="dxa" w:w="200"/>
            </w:tcMar>
          </w:tcPr>
          <w:p>
            <w:pPr>
              <w:spacing w:after="100"/>
            </w:pPr>
            <w:r>
              <w:rPr>
                <w:rFonts w:ascii="Calibri" w:cs="Calibri" w:eastAsia="Calibri" w:hAnsi="Calibri"/>
                <w:i/>
                <w:iCs/>
              </w:rPr>
              <w:t xml:space="preserve">Analogía territorial: una distribuidora de calzado en Cúcuta debe enviar 100 cajas de zapatos escolares a Venezuela por la aduana de La Parada. La opción monolítica es cargar todo en un solo camión articulado: un viaje, una aduana, cero coordinación en la vía. La opción distribuida es enviar a 100 motorizados independientes, uno por caja: si una moto pincha, las otras 99 llegan, pero coordinar a 100 operarios, pagar 100 peajes y conciliar 100 trámites aduaneros introduce un caos logístico insostenible para un negocio pequeño de calzado.</w:t>
            </w:r>
          </w:p>
        </w:tc>
      </w:tr>
    </w:tbl>
    <w:p>
      <w:pPr>
        <w:pStyle w:val="Heading1"/>
        <w:spacing w:after="160" w:before="300"/>
      </w:pPr>
      <w:r>
        <w:rPr>
          <w:rFonts w:ascii="Calibri" w:cs="Calibri" w:eastAsia="Calibri" w:hAnsi="Calibri"/>
          <w:b/>
          <w:bCs/>
        </w:rPr>
        <w:t xml:space="preserve">Concepto 2 — Diseño Orientado al Dominio (DDD) y Bounded Contexts</w:t>
      </w:r>
    </w:p>
    <w:p>
      <w:pPr>
        <w:spacing w:after="160"/>
      </w:pPr>
      <w:r>
        <w:rPr>
          <w:rFonts w:ascii="Calibri" w:cs="Calibri" w:eastAsia="Calibri" w:hAnsi="Calibri"/>
        </w:rPr>
        <w:t xml:space="preserve">DDD define que un sistema debe dividirse según límites del lenguaje de negocio y de los equipos de desarrollo (Bounded Contexts). Cada contexto delimitado posee su propio modelo de datos exclusivo y, en principio, no debe cruzar claves foráneas físicas directas con otros esquemas. Identificar estos límites —incluso si el sistema sigue siendo un monolito— es la preparación necesaria para cualquier distribución futura ordenada.</w:t>
      </w:r>
    </w:p>
    <w:p>
      <w:pPr>
        <w:pStyle w:val="Heading1"/>
        <w:spacing w:after="160" w:before="300"/>
      </w:pPr>
      <w:r>
        <w:rPr>
          <w:rFonts w:ascii="Calibri" w:cs="Calibri" w:eastAsia="Calibri" w:hAnsi="Calibri"/>
          <w:b/>
          <w:bCs/>
        </w:rPr>
        <w:t xml:space="preserve">Concepto 3 — El patrón Database-per-Service y sus consecuencias</w:t>
      </w:r>
    </w:p>
    <w:p>
      <w:pPr>
        <w:spacing w:after="160"/>
      </w:pPr>
      <w:r>
        <w:rPr>
          <w:rFonts w:ascii="Calibri" w:cs="Calibri" w:eastAsia="Calibri" w:hAnsi="Calibri"/>
        </w:rPr>
        <w:t xml:space="preserve">Si un módulo se distribuye con su propia base de datos, se pierde la integridad referencial y las transacciones ACID directas entre tablas de diferentes servicios, requiriendo consistencia eventual y mecanismos de compensación (sagas). Este costo técnico debe compararse honestamente contra el beneficio real que la distribución aportaría — no asumirse como gratuito.</w:t>
      </w:r>
    </w:p>
    <w:p>
      <w:pPr>
        <w:pStyle w:val="Heading1"/>
        <w:spacing w:after="160" w:before="300"/>
      </w:pPr>
      <w:r>
        <w:rPr>
          <w:rFonts w:ascii="Calibri" w:cs="Calibri" w:eastAsia="Calibri" w:hAnsi="Calibri"/>
          <w:b/>
          <w:bCs/>
        </w:rPr>
        <w:t xml:space="preserve">Concepto 4 — Arquitecturas Orientadas a Eventos (EDA) como puente</w:t>
      </w:r>
    </w:p>
    <w:p>
      <w:pPr>
        <w:spacing w:after="160"/>
      </w:pPr>
      <w:r>
        <w:rPr>
          <w:rFonts w:ascii="Calibri" w:cs="Calibri" w:eastAsia="Calibri" w:hAnsi="Calibri"/>
        </w:rPr>
        <w:t xml:space="preserve">Si en el futuro se justifica distribuir un contexto, las Arquitecturas Orientadas a Eventos permiten el acoplamiento asíncrono y la consistencia eventual entre contextos delimitados mediante la emisión de Eventos de Dominio (hechos inmutables del pasado del negocio), evitando el acoplamiento síncrono directo entre servicios.</w:t>
      </w:r>
    </w:p>
    <w:p>
      <w:pPr>
        <w:spacing w:after="160"/>
      </w:pPr>
      <w:r>
        <w:rPr>
          <w:rFonts w:ascii="Calibri" w:cs="Calibri" w:eastAsia="Calibri" w:hAnsi="Calibri"/>
          <w:b/>
          <w:bCs/>
        </w:rPr>
        <w:t xml:space="preserve">Regla de oro de esta guía: </w:t>
      </w:r>
      <w:r>
        <w:rPr>
          <w:rFonts w:ascii="Calibri" w:cs="Calibri" w:eastAsia="Calibri" w:hAnsi="Calibri"/>
          <w:i/>
          <w:iCs/>
        </w:rPr>
        <w:t xml:space="preserve">"Ningún módulo se distribuye solo porque 'así se hace en la industria'; se distribuye únicamente cuando el costo de mantenerlo en el monolito supera, con evidencia real, el costo operativo de la distribución."</w:t>
      </w:r>
    </w:p>
    <w:p>
      <w:pPr>
        <w:pStyle w:val="Heading1"/>
        <w:spacing w:after="160" w:before="300"/>
      </w:pPr>
      <w:r>
        <w:rPr>
          <w:rFonts w:ascii="Calibri" w:cs="Calibri" w:eastAsia="Calibri" w:hAnsi="Calibri"/>
          <w:b/>
          <w:bCs/>
        </w:rPr>
        <w:t xml:space="preserve">Taller</w:t>
      </w:r>
    </w:p>
    <w:p>
      <w:pPr>
        <w:pStyle w:val="Heading2"/>
        <w:spacing w:after="160" w:before="300"/>
      </w:pPr>
      <w:r>
        <w:rPr>
          <w:rFonts w:ascii="Calibri" w:cs="Calibri" w:eastAsia="Calibri" w:hAnsi="Calibri"/>
          <w:b/>
          <w:bCs/>
        </w:rPr>
        <w:t xml:space="preserve">Nivel Básico (análisis conceptual)</w:t>
      </w:r>
    </w:p>
    <w:p>
      <w:pPr>
        <w:pStyle w:val="Heading3"/>
        <w:spacing w:after="160" w:before="300"/>
      </w:pPr>
      <w:r>
        <w:rPr>
          <w:rFonts w:ascii="Calibri" w:cs="Calibri" w:eastAsia="Calibri" w:hAnsi="Calibri"/>
          <w:b/>
          <w:bCs/>
        </w:rPr>
        <w:t xml:space="preserve">Ejercicio 1</w:t>
      </w:r>
    </w:p>
    <w:p>
      <w:pPr>
        <w:spacing w:after="160"/>
      </w:pPr>
      <w:r>
        <w:rPr>
          <w:rFonts w:ascii="Calibri" w:cs="Calibri" w:eastAsia="Calibri" w:hAnsi="Calibri"/>
        </w:rPr>
        <w:t xml:space="preserve">Explica con tus palabras, en máximo 100 palabras, qué es un Bounded Context y por qué es útil identificarlo incluso si el sistema sigue siendo un monolito.</w:t>
      </w:r>
    </w:p>
    <w:p>
      <w:pPr>
        <w:spacing w:after="160"/>
      </w:pPr>
      <w:r>
        <w:rPr>
          <w:rFonts w:ascii="Calibri" w:cs="Calibri" w:eastAsia="Calibri" w:hAnsi="Calibri"/>
          <w:b/>
          <w:bCs/>
        </w:rPr>
        <w:t xml:space="preserve">R/= </w:t>
      </w:r>
      <w:r>
        <w:rPr>
          <w:rFonts w:ascii="Calibri" w:cs="Calibri" w:eastAsia="Calibri" w:hAnsi="Calibri"/>
        </w:rPr>
        <w:t xml:space="preserve">Un Bounded Context es la parte del sistema donde una palabra del negocio significa siempre lo mismo y tiene un solo modelo. En FitManage, «usuario» en Acceso del personal es alguien del equipo del gimnasio con rol y contraseña, mientras que la persona que paga es un «socio», que vive en otro contexto. Identificarlos sirve aunque todo siga en un monolito: cada contexto es dueño de sus tablas y de su puerto, se evita que un módulo modifique los datos de otro y, si algún día hay que separar uno, la frontera ya está trazada y se sabe qué depende de qué.</w:t>
      </w:r>
    </w:p>
    <w:p>
      <w:pPr>
        <w:pStyle w:val="Heading3"/>
        <w:spacing w:after="160" w:before="300"/>
      </w:pPr>
      <w:r>
        <w:rPr>
          <w:rFonts w:ascii="Calibri" w:cs="Calibri" w:eastAsia="Calibri" w:hAnsi="Calibri"/>
          <w:b/>
          <w:bCs/>
        </w:rPr>
        <w:t xml:space="preserve">Ejercicio 2</w:t>
      </w:r>
    </w:p>
    <w:p>
      <w:pPr>
        <w:spacing w:after="160"/>
      </w:pPr>
      <w:r>
        <w:rPr>
          <w:rFonts w:ascii="Calibri" w:cs="Calibri" w:eastAsia="Calibri" w:hAnsi="Calibri"/>
        </w:rPr>
        <w:t xml:space="preserve">Para un caso ficticio (una distribuidora con módulos de Ventas, Inventario y Envíos), identifica los límites de cada Bounded Context y qué términos de negocio son exclusivos de cada uno.</w:t>
      </w:r>
    </w:p>
    <w:p>
      <w:pPr>
        <w:keepNext/>
        <w:spacing w:after="160"/>
      </w:pPr>
      <w:r>
        <w:rPr>
          <w:rFonts w:ascii="Calibri" w:cs="Calibri" w:eastAsia="Calibri" w:hAnsi="Calibri"/>
          <w:b/>
          <w:bCs/>
        </w:rPr>
        <w:t xml:space="preserve">R/= </w:t>
      </w:r>
      <w:r>
        <w:rPr>
          <w:rFonts w:ascii="Calibri" w:cs="Calibri" w:eastAsia="Calibri" w:hAnsi="Calibri"/>
        </w:rPr>
        <w:t xml:space="preserve">Caso ficticio: Distribuidora El Rosal, que surte de abarrotes a tiendas de barrio del área metropolitana de Cúcuta. Lo interesante es que la misma palabra cambia de significado según el contexto: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2450"/>
        <w:gridCol w:w="2000"/>
      </w:tblGrid>
      <w:tr>
        <w:trPr>
          <w:tblHeader/>
        </w:trPr>
        <w:tc>
          <w:tcPr>
            <w:tcW w:type="dxa" w:w="1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Contexto</w:t>
            </w:r>
          </w:p>
        </w:tc>
        <w:tc>
          <w:tcPr>
            <w:tcW w:type="dxa" w:w="31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Qué resuelve y dónde termina</w:t>
            </w:r>
          </w:p>
        </w:tc>
        <w:tc>
          <w:tcPr>
            <w:tcW w:type="dxa" w:w="24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Términos exclusivos</w:t>
            </w:r>
          </w:p>
        </w:tc>
        <w:tc>
          <w:tcPr>
            <w:tcW w:type="dxa" w:w="20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Qué significa «producto» ahí</w:t>
            </w:r>
          </w:p>
        </w:tc>
      </w:tr>
      <w:tr>
        <w:trPr>
          <w:cantSplit/>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Ventas</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Desde la cotización hasta el pedido confirmado y facturado. Termina cuando el pedido queda aprobado.</w:t>
            </w:r>
          </w:p>
        </w:tc>
        <w:tc>
          <w:tcPr>
            <w:tcW w:type="dxa" w:w="2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cliente (tienda), cotización, pedido, lista de precios, descuento por volumen, cupo de crédito</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Algo que se ofrece a un precio, con descuentos y presentaciones.</w:t>
            </w:r>
          </w:p>
        </w:tc>
      </w:tr>
      <w:tr>
        <w:trPr>
          <w:cantSplit/>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Inventario</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Cuánto hay, dónde está y qué se reserva para cada pedido. Termina cuando separa la mercancía.</w:t>
            </w:r>
          </w:p>
        </w:tc>
        <w:tc>
          <w:tcPr>
            <w:tcW w:type="dxa" w:w="2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existencia, bodega, ubicación, lote, fecha de vencimiento, reserva, ajuste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Una referencia física (SKU) con unidades, lotes y ubicación.</w:t>
            </w:r>
          </w:p>
        </w:tc>
      </w:tr>
      <w:tr>
        <w:trPr>
          <w:cantSplit/>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Envíos</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Desde el alistamiento hasta la entrega. Termina con la prueba de entrega o la devolución.</w:t>
            </w:r>
          </w:p>
        </w:tc>
        <w:tc>
          <w:tcPr>
            <w:tcW w:type="dxa" w:w="2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despacho, ruta, vehículo, conductor, guía, destinatario, novedad de entrega</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Un bulto con peso, volumen y dirección de destino.</w:t>
            </w:r>
          </w:p>
        </w:tc>
      </w:tr>
    </w:tbl>
    <w:p>
      <w:pPr>
        <w:spacing w:after="120"/>
      </w:pPr>
    </w:p>
    <w:p>
      <w:pPr>
        <w:spacing w:after="160"/>
      </w:pPr>
      <w:r>
        <w:rPr>
          <w:rFonts w:ascii="Calibri" w:cs="Calibri" w:eastAsia="Calibri" w:hAnsi="Calibri"/>
        </w:rPr>
        <w:t xml:space="preserve">Las fronteras se notan en lo que cada contexto no sabe. Ventas no sabe en qué estante está el producto; Inventario no sabe a qué precio se vendió; Envíos no sabe ni el precio ni el lote, solo cuántos bultos van y para dónde. Se comunican con hechos del negocio: «PedidoConfirmado» hace que Inventario reserve y «MercancíaSeparada» le dice a Envíos que puede programar el despacho.</w:t>
      </w:r>
    </w:p>
    <w:p>
      <w:pPr>
        <w:pStyle w:val="Heading2"/>
        <w:spacing w:after="160" w:before="300"/>
      </w:pPr>
      <w:r>
        <w:rPr>
          <w:rFonts w:ascii="Calibri" w:cs="Calibri" w:eastAsia="Calibri" w:hAnsi="Calibri"/>
          <w:b/>
          <w:bCs/>
        </w:rPr>
        <w:t xml:space="preserve">Nivel Intermedio (viabilidad financiera + auditoría a la IA)</w:t>
      </w:r>
    </w:p>
    <w:p>
      <w:pPr>
        <w:pStyle w:val="Heading3"/>
        <w:spacing w:after="160" w:before="300"/>
      </w:pPr>
      <w:r>
        <w:rPr>
          <w:rFonts w:ascii="Calibri" w:cs="Calibri" w:eastAsia="Calibri" w:hAnsi="Calibri"/>
          <w:b/>
          <w:bCs/>
        </w:rPr>
        <w:t xml:space="preserve">Ejercicio 3</w:t>
      </w:r>
    </w:p>
    <w:p>
      <w:pPr>
        <w:spacing w:after="160"/>
      </w:pPr>
      <w:r>
        <w:rPr>
          <w:rFonts w:ascii="Calibri" w:cs="Calibri" w:eastAsia="Calibri" w:hAnsi="Calibri"/>
        </w:rPr>
        <w:t xml:space="preserve">Calcula (de forma aproximada) el costo mensual de una infraestructura distribuida en la nube (ej. funciones serverless + una base de datos por servicio) y compáralo contra el margen operativo típico de una MiPyme con ventas de 500 USD mensuales.</w:t>
      </w:r>
    </w:p>
    <w:p>
      <w:pPr>
        <w:keepNext/>
        <w:spacing w:after="160"/>
      </w:pPr>
      <w:r>
        <w:rPr>
          <w:rFonts w:ascii="Calibri" w:cs="Calibri" w:eastAsia="Calibri" w:hAnsi="Calibri"/>
          <w:b/>
          <w:bCs/>
        </w:rPr>
        <w:t xml:space="preserve">R/= </w:t>
      </w:r>
      <w:r>
        <w:rPr>
          <w:rFonts w:ascii="Calibri" w:cs="Calibri" w:eastAsia="Calibri" w:hAnsi="Calibri"/>
        </w:rPr>
        <w:t xml:space="preserve">Armé el cálculo con precios on-demand de AWS en us-east-1 y lo dejé como un script que se puede volver a correr (</w:t>
      </w:r>
      <w:r>
        <w:rPr>
          <w:rFonts w:ascii="Consolas" w:cs="Consolas" w:eastAsia="Consolas" w:hAnsi="Consolas"/>
          <w:sz w:val="19"/>
          <w:szCs w:val="19"/>
        </w:rPr>
        <w:t xml:space="preserve">docs/guia-05-sw2/costos.py</w:t>
      </w:r>
      <w:r>
        <w:rPr>
          <w:rFonts w:ascii="Calibri" w:cs="Calibri" w:eastAsia="Calibri" w:hAnsi="Calibri"/>
        </w:rPr>
        <w:t xml:space="preserve">). El escenario es FitManage con sus 4 contextos con lógica propia (Acceso, Socios, Membresías y cobros, Reportes) como funciones Lambda detrás de API Gateway y una base PostgreSQL en RDS para cada uno. No conté los créditos promocionales para cuentas nuevas, porque se acaban.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Concepto</w:t>
            </w:r>
          </w:p>
        </w:tc>
        <w:tc>
          <w:tcPr>
            <w:tcW w:type="dxa" w:w="30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USD al mes</w:t>
            </w:r>
          </w:p>
        </w:tc>
      </w:tr>
      <w:tr>
        <w:trPr>
          <w:cantSplit/>
        </w:trPr>
        <w:tc>
          <w:tcPr>
            <w:tcW w:type="dxa" w:w="6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RDS PostgreSQL db.t4g.micro × 4 (0,016 USD/h × 730 h)</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46,72</w:t>
            </w:r>
          </w:p>
        </w:tc>
      </w:tr>
      <w:tr>
        <w:trPr>
          <w:cantSplit/>
        </w:trPr>
        <w:tc>
          <w:tcPr>
            <w:tcW w:type="dxa" w:w="6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Almacenamiento RDS, 20 GB por base × 4 (0,115 USD/GB-mes)</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9,20</w:t>
            </w:r>
          </w:p>
        </w:tc>
      </w:tr>
      <w:tr>
        <w:trPr>
          <w:cantSplit/>
        </w:trPr>
        <w:tc>
          <w:tcPr>
            <w:tcW w:type="dxa" w:w="6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NAT Gateway, para que las Lambdas de la VPC salgan a internet (0,045 USD/h)</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32,85</w:t>
            </w:r>
          </w:p>
        </w:tc>
      </w:tr>
      <w:tr>
        <w:trPr>
          <w:cantSplit/>
        </w:trPr>
        <w:tc>
          <w:tcPr>
            <w:tcW w:type="dxa" w:w="6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NAT Gateway, 1 GB procesado (0,045 USD/GB)</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0,04</w:t>
            </w:r>
          </w:p>
        </w:tc>
      </w:tr>
      <w:tr>
        <w:trPr>
          <w:cantSplit/>
        </w:trPr>
        <w:tc>
          <w:tcPr>
            <w:tcW w:type="dxa" w:w="6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IPv4 pública del NAT (0,005 USD/h)</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3,65</w:t>
            </w:r>
          </w:p>
        </w:tc>
      </w:tr>
      <w:tr>
        <w:trPr>
          <w:cantSplit/>
        </w:trPr>
        <w:tc>
          <w:tcPr>
            <w:tcW w:type="dxa" w:w="6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Secrets Manager, 4 claves de base de datos (0,40 USD cada una)</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1,60</w:t>
            </w:r>
          </w:p>
        </w:tc>
      </w:tr>
      <w:tr>
        <w:trPr>
          <w:cantSplit/>
        </w:trPr>
        <w:tc>
          <w:tcPr>
            <w:tcW w:type="dxa" w:w="6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API Gateway HTTP, 18.000 peticiones (1,00 USD por millón)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0,02</w:t>
            </w:r>
          </w:p>
        </w:tc>
      </w:tr>
      <w:tr>
        <w:trPr>
          <w:cantSplit/>
        </w:trPr>
        <w:tc>
          <w:tcPr>
            <w:tcW w:type="dxa" w:w="6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Lambda (1 millón de peticiones y 400.000 GB-s gratis al mes)</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0,00</w:t>
            </w:r>
          </w:p>
        </w:tc>
      </w:tr>
      <w:tr>
        <w:trPr>
          <w:cantSplit/>
        </w:trPr>
        <w:tc>
          <w:tcPr>
            <w:tcW w:type="dxa" w:w="6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Total</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94,08 (≈ COP 299.655 con TRM de 3.185,01)</w:t>
            </w:r>
          </w:p>
        </w:tc>
      </w:tr>
    </w:tbl>
    <w:p>
      <w:pPr>
        <w:spacing w:after="120"/>
      </w:pPr>
    </w:p>
    <w:p>
      <w:pPr>
        <w:spacing w:after="160"/>
      </w:pPr>
      <w:r>
        <w:rPr>
          <w:rFonts w:ascii="Calibri" w:cs="Calibri" w:eastAsia="Calibri" w:hAnsi="Calibri"/>
        </w:rPr>
        <w:t xml:space="preserve">Ahora la comparación. Una MiPyme que vende 500 USD al mes (unos COP 1,6 millones) y tiene, por suponer, un margen operativo del 20 %, gana unos 100 USD. La arquitectura distribuida se comería el </w:t>
      </w:r>
      <w:r>
        <w:rPr>
          <w:rFonts w:ascii="Calibri" w:cs="Calibri" w:eastAsia="Calibri" w:hAnsi="Calibri"/>
          <w:b/>
          <w:bCs/>
        </w:rPr>
        <w:t xml:space="preserve">18,8 % de las ventas y el 94 % del margen</w:t>
      </w:r>
      <w:r>
        <w:rPr>
          <w:rFonts w:ascii="Calibri" w:cs="Calibri" w:eastAsia="Calibri" w:hAnsi="Calibri"/>
        </w:rPr>
        <w:t xml:space="preserve">: el negocio trabajaría casi solo para pagarle a la nube. El monolito del ADR N.° 03 cabe en la capa gratuita de un PaaS, a 0 USD.</w:t>
      </w:r>
    </w:p>
    <w:p>
      <w:pPr>
        <w:spacing w:after="160"/>
      </w:pPr>
      <w:r>
        <w:rPr>
          <w:rFonts w:ascii="Calibri" w:cs="Calibri" w:eastAsia="Calibri" w:hAnsi="Calibri"/>
        </w:rPr>
        <w:t xml:space="preserve">Lo que más me sorprendió fue dónde está el gasto. Lo que se cobra por uso (Lambda y API Gateway) casi no cuesta nada, que es lo que venden las guías de «serverless barato». Lo caro es lo que queda encendido todo el mes aunque nadie entre al gimnasio de noche: las cuatro bases de datos y el NAT Gateway, que juntos suman 92 de los 94 dólares.</w:t>
      </w:r>
    </w:p>
    <w:p>
      <w:pPr>
        <w:pStyle w:val="Heading3"/>
        <w:spacing w:after="160" w:before="300"/>
      </w:pPr>
      <w:r>
        <w:rPr>
          <w:rFonts w:ascii="Calibri" w:cs="Calibri" w:eastAsia="Calibri" w:hAnsi="Calibri"/>
          <w:b/>
          <w:bCs/>
        </w:rPr>
        <w:t xml:space="preserve">Ejercicio 4</w:t>
      </w:r>
    </w:p>
    <w:p>
      <w:pPr>
        <w:spacing w:after="160"/>
      </w:pPr>
      <w:r>
        <w:rPr>
          <w:rFonts w:ascii="Calibri" w:cs="Calibri" w:eastAsia="Calibri" w:hAnsi="Calibri"/>
        </w:rPr>
        <w:t xml:space="preserve">Pide a una IA generativa que diseñe una arquitectura de microservicios distribuidos en la nube para un negocio pequeño con bajo volumen de transacciones. Audita: ¿consideró el costo real de la infraestructura propuesta? ¿asumió una red de internet local perfectamente confiable? Documenta el prompt, la respuesta y tu evaluación.</w:t>
      </w:r>
    </w:p>
    <w:p>
      <w:pPr>
        <w:keepNext/>
        <w:spacing w:after="160"/>
      </w:pPr>
      <w:r>
        <w:rPr>
          <w:rFonts w:ascii="Calibri" w:cs="Calibri" w:eastAsia="Calibri" w:hAnsi="Calibri"/>
          <w:b/>
          <w:bCs/>
        </w:rPr>
        <w:t xml:space="preserve">R/= </w:t>
      </w:r>
      <w:r>
        <w:rPr>
          <w:rFonts w:ascii="Calibri" w:cs="Calibri" w:eastAsia="Calibri" w:hAnsi="Calibri"/>
        </w:rPr>
        <w:t xml:space="preserve">Abrí una sesión nueva con Claude (Anthropic) y escribí este prompt, sin decir nada del internet de la recepción ni del presupuesto: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Diseña una arquitectura de microservicios distribuidos en la nube para un gimnasio pequeño que tiene unas 300 transacciones al día (consultas de socios y pagos de membresía).</w:t>
            </w:r>
          </w:p>
        </w:tc>
      </w:tr>
    </w:tbl>
    <w:p>
      <w:pPr>
        <w:spacing w:after="120"/>
      </w:pPr>
    </w:p>
    <w:p>
      <w:pPr>
        <w:keepNext/>
        <w:spacing w:after="80"/>
      </w:pPr>
      <w:r>
        <w:rPr>
          <w:rFonts w:ascii="Calibri" w:cs="Calibri" w:eastAsia="Calibri" w:hAnsi="Calibri"/>
        </w:rPr>
        <w:t xml:space="preserve">Respuesta de la IA, sin modificar: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60"/>
            </w:pPr>
            <w:r>
              <w:rPr>
                <w:rFonts w:ascii="Calibri" w:cs="Calibri" w:eastAsia="Calibri" w:hAnsi="Calibri"/>
              </w:rPr>
              <w:t xml:space="preserve">Para un gimnasio con bajo volumen, una arquitectura serverless de microservicios en AWS es ideal porque solo pagas por lo que usas:</w:t>
            </w:r>
          </w:p>
          <w:p>
            <w:pPr>
              <w:spacing w:after="60"/>
            </w:pPr>
            <w:r>
              <w:rPr>
                <w:rFonts w:ascii="Calibri" w:cs="Calibri" w:eastAsia="Calibri" w:hAnsi="Calibri"/>
              </w:rPr>
              <w:t xml:space="preserve">1. Servicios: usuarios-service, socios-service, membresias-service, pagos-service y notificaciones-service, cada uno como un conjunto de funciones AWS Lambda.</w:t>
            </w:r>
          </w:p>
          <w:p>
            <w:pPr>
              <w:spacing w:after="60"/>
            </w:pPr>
            <w:r>
              <w:rPr>
                <w:rFonts w:ascii="Calibri" w:cs="Calibri" w:eastAsia="Calibri" w:hAnsi="Calibri"/>
              </w:rPr>
              <w:t xml:space="preserve">2. Entrada: Amazon API Gateway con autenticación mediante Amazon Cognito.</w:t>
            </w:r>
          </w:p>
          <w:p>
            <w:pPr>
              <w:spacing w:after="60"/>
            </w:pPr>
            <w:r>
              <w:rPr>
                <w:rFonts w:ascii="Calibri" w:cs="Calibri" w:eastAsia="Calibri" w:hAnsi="Calibri"/>
              </w:rPr>
              <w:t xml:space="preserve">3. Datos: cada servicio con su propia base de datos Amazon RDS for PostgreSQL (patrón database per service), en subredes privadas de una VPC.</w:t>
            </w:r>
          </w:p>
          <w:p>
            <w:pPr>
              <w:spacing w:after="60"/>
            </w:pPr>
            <w:r>
              <w:rPr>
                <w:rFonts w:ascii="Calibri" w:cs="Calibri" w:eastAsia="Calibri" w:hAnsi="Calibri"/>
              </w:rPr>
              <w:t xml:space="preserve">4. Comunicación: eventos asíncronos con Amazon EventBridge (PagoRegistrado, MembresiaRenovada) para mantener la consistencia eventual entre servicios.</w:t>
            </w:r>
          </w:p>
          <w:p>
            <w:pPr>
              <w:spacing w:after="60"/>
            </w:pPr>
            <w:r>
              <w:rPr>
                <w:rFonts w:ascii="Calibri" w:cs="Calibri" w:eastAsia="Calibri" w:hAnsi="Calibri"/>
              </w:rPr>
              <w:t xml:space="preserve">5. Frontend: aplicación React alojada en S3 + CloudFront.</w:t>
            </w:r>
          </w:p>
          <w:p>
            <w:pPr>
              <w:spacing w:after="60"/>
            </w:pPr>
            <w:r>
              <w:rPr>
                <w:rFonts w:ascii="Calibri" w:cs="Calibri" w:eastAsia="Calibri" w:hAnsi="Calibri"/>
              </w:rPr>
              <w:t xml:space="preserve">6. Notificaciones: Amazon SNS para enviar SMS de recordatorio de vencimiento.</w:t>
            </w:r>
          </w:p>
          <w:p>
            <w:pPr>
              <w:spacing w:after="60"/>
            </w:pPr>
            <w:r>
              <w:rPr>
                <w:rFonts w:ascii="Calibri" w:cs="Calibri" w:eastAsia="Calibri" w:hAnsi="Calibri"/>
              </w:rPr>
              <w:t xml:space="preserve">Costos: gracias al modelo de pago por uso y a la capa gratuita, con 300 transacciones diarias el costo mensual sería prácticamente nulo, de unos pocos dólares.</w:t>
            </w:r>
          </w:p>
          <w:p>
            <w:pPr>
              <w:spacing w:after="0"/>
            </w:pPr>
            <w:r>
              <w:rPr>
                <w:rFonts w:ascii="Calibri" w:cs="Calibri" w:eastAsia="Calibri" w:hAnsi="Calibri"/>
              </w:rPr>
              <w:t xml:space="preserve">Ventajas: escalado automático, alta disponibilidad gestionada por AWS sin servidores que mantener, y cada servicio se puede desplegar de forma independiente.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Pregunta</w:t>
            </w:r>
          </w:p>
        </w:tc>
        <w:tc>
          <w:tcPr>
            <w:tcW w:type="dxa" w:w="67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Evaluación</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¿Consideró el costo real?</w:t>
            </w:r>
          </w:p>
        </w:tc>
        <w:tc>
          <w:tcPr>
            <w:tcW w:type="dxa" w:w="6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No. Dice «pocos dólares» porque solo pensó en Lambda, que sí es casi gratis. Pero su propio diseño pone 5 bases RDS siempre encendidas y mete las Lambdas en subredes privadas, así que para llegar a SNS o a una pasarela de pago necesitan un NAT Gateway (o endpoints privados, que también se cobran por hora).</w:t>
            </w:r>
          </w:p>
          <w:p>
            <w:pPr>
              <w:spacing w:after="0"/>
            </w:pPr>
            <w:r>
              <w:rPr>
                <w:rFonts w:ascii="Calibri" w:cs="Calibri" w:eastAsia="Calibri" w:hAnsi="Calibri"/>
                <w:sz w:val="19"/>
                <w:szCs w:val="19"/>
              </w:rPr>
              <w:t xml:space="preserve">Con mi script, solo 4 bases ya suman 94,08 USD al mes; con las 5 que propuso son unos 108 USD. Eso es más que todo el margen supuesto de la MiPyme.</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¿Asumió una red local confiable?</w:t>
            </w:r>
          </w:p>
        </w:tc>
        <w:tc>
          <w:tcPr>
            <w:tcW w:type="dxa" w:w="6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Sí. Cada consulta de la recepcionista viaja por internet hasta API Gateway, despierta una Lambda y consulta una base en otro país. No hay ningún modo sin conexión, y el problema número uno de la recepción es justamente que el internet se cae (R-03, QA-02).</w:t>
            </w:r>
          </w:p>
          <w:p>
            <w:pPr>
              <w:spacing w:after="0"/>
            </w:pPr>
            <w:r>
              <w:rPr>
                <w:rFonts w:ascii="Calibri" w:cs="Calibri" w:eastAsia="Calibri" w:hAnsi="Calibri"/>
                <w:sz w:val="19"/>
                <w:szCs w:val="19"/>
              </w:rPr>
              <w:t xml:space="preserve">Cuando se caiga, el gimnasio no podrá saber quién está al día, que es la única tarea que el MVP no puede dejar de hacer.</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¿Qué más se le escapó?</w:t>
            </w:r>
          </w:p>
        </w:tc>
        <w:tc>
          <w:tcPr>
            <w:tcW w:type="dxa" w:w="6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Con una base por servicio, el pago y su auditoría quedan en bases distintas y su consistencia se vuelve «eventual»: justo lo que el driver número uno no tolera.</w:t>
            </w:r>
          </w:p>
          <w:p>
            <w:pPr>
              <w:spacing w:after="60"/>
            </w:pPr>
            <w:r>
              <w:rPr>
                <w:rFonts w:ascii="Calibri" w:cs="Calibri" w:eastAsia="Calibri" w:hAnsi="Calibri"/>
                <w:sz w:val="19"/>
                <w:szCs w:val="19"/>
              </w:rPr>
              <w:t xml:space="preserve">Los SMS de SNS tienen costo por mensaje, y el MVP decidió usar enlaces wa.me sin costo (RF-06).</w:t>
            </w:r>
          </w:p>
          <w:p>
            <w:pPr>
              <w:spacing w:after="0"/>
            </w:pPr>
            <w:r>
              <w:rPr>
                <w:rFonts w:ascii="Calibri" w:cs="Calibri" w:eastAsia="Calibri" w:hAnsi="Calibri"/>
                <w:sz w:val="19"/>
                <w:szCs w:val="19"/>
              </w:rPr>
              <w:t xml:space="preserve">Para una persona, operar 5 servicios, EventBridge, Cognito y CloudFront es más trabajo que construir el MVP completo.</w:t>
            </w:r>
          </w:p>
        </w:tc>
      </w:tr>
    </w:tbl>
    <w:p>
      <w:pPr>
        <w:spacing w:after="120"/>
      </w:pPr>
    </w:p>
    <w:p>
      <w:pPr>
        <w:spacing w:after="160"/>
      </w:pPr>
      <w:r>
        <w:rPr>
          <w:rFonts w:ascii="Calibri" w:cs="Calibri" w:eastAsia="Calibri" w:hAnsi="Calibri"/>
        </w:rPr>
        <w:t xml:space="preserve">Mi corrección es el ADR N.° 05: todo sigue en el monolito modular, con los contextos separados de forma lógica, y la única copia distribuida de datos es la caché de solo lectura del navegador, que existe para cuando se cae el internet.</w:t>
      </w:r>
    </w:p>
    <w:p>
      <w:pPr>
        <w:pStyle w:val="Heading3"/>
        <w:spacing w:after="160" w:before="300"/>
      </w:pPr>
      <w:r>
        <w:rPr>
          <w:rFonts w:ascii="Calibri" w:cs="Calibri" w:eastAsia="Calibri" w:hAnsi="Calibri"/>
          <w:b/>
          <w:bCs/>
        </w:rPr>
        <w:t xml:space="preserve">Ejercicio 5</w:t>
      </w:r>
    </w:p>
    <w:p>
      <w:pPr>
        <w:spacing w:after="160"/>
      </w:pPr>
      <w:r>
        <w:rPr>
          <w:rFonts w:ascii="Calibri" w:cs="Calibri" w:eastAsia="Calibri" w:hAnsi="Calibri"/>
        </w:rPr>
        <w:t xml:space="preserve">Diseña un diagrama Mermaid de Context Map para tu propio proyecto, mostrando los Bounded Contexts identificados y sus relaciones.</w:t>
      </w:r>
    </w:p>
    <w:p>
      <w:pPr>
        <w:spacing w:after="160"/>
      </w:pPr>
      <w:r>
        <w:rPr>
          <w:rFonts w:ascii="Calibri" w:cs="Calibri" w:eastAsia="Calibri" w:hAnsi="Calibri"/>
          <w:b/>
          <w:bCs/>
        </w:rPr>
        <w:t xml:space="preserve">R/= </w:t>
      </w:r>
      <w:r>
        <w:rPr>
          <w:rFonts w:ascii="Calibri" w:cs="Calibri" w:eastAsia="Calibri" w:hAnsi="Calibri"/>
        </w:rPr>
        <w:t xml:space="preserve">Este es el mapa de contextos de FitManage. El código fuente en Mermaid está en </w:t>
      </w:r>
      <w:r>
        <w:rPr>
          <w:rFonts w:ascii="Consolas" w:cs="Consolas" w:eastAsia="Consolas" w:hAnsi="Consolas"/>
          <w:sz w:val="19"/>
          <w:szCs w:val="19"/>
        </w:rPr>
        <w:t xml:space="preserve">docs/arquitectura/contextos.mmd</w:t>
      </w:r>
      <w:r>
        <w:rPr>
          <w:rFonts w:ascii="Calibri" w:cs="Calibri" w:eastAsia="Calibri" w:hAnsi="Calibri"/>
        </w:rPr>
        <w:t xml:space="preserve"> y la explicación completa en </w:t>
      </w:r>
      <w:r>
        <w:rPr>
          <w:rFonts w:ascii="Consolas" w:cs="Consolas" w:eastAsia="Consolas" w:hAnsi="Consolas"/>
          <w:sz w:val="19"/>
          <w:szCs w:val="19"/>
        </w:rPr>
        <w:t xml:space="preserve">docs/arquitectura/contextos.md</w:t>
      </w:r>
      <w:r>
        <w:rPr>
          <w:rFonts w:ascii="Calibri" w:cs="Calibri" w:eastAsia="Calibri" w:hAnsi="Calibri"/>
        </w:rPr>
        <w:t xml:space="preserve">.</w:t>
      </w:r>
    </w:p>
    <w:p>
      <w:pPr>
        <w:spacing w:after="120"/>
        <w:jc w:val="center"/>
      </w:pPr>
      <w:r>
        <w:drawing>
          <wp:inline xmlns:a="http://schemas.openxmlformats.org/drawingml/2006/main" xmlns:pic="http://schemas.openxmlformats.org/drawingml/2006/picture" distT="0" distB="0" distL="0" distR="0">
            <wp:extent cx="5943600" cy="2304600"/>
            <wp:docPr id="11" name="Mapa de contextos de FitManage"/>
            <a:graphic>
              <a:graphicData uri="http://schemas.openxmlformats.org/drawingml/2006/picture">
                <pic:pic>
                  <pic:nvPicPr>
                    <pic:cNvPr id="11" name="Mapa de contextos de FitManage.png"/>
                    <pic:cNvPicPr/>
                  </pic:nvPicPr>
                  <pic:blipFill>
                    <a:blip r:embed="rIdMapaContextos"/>
                    <a:stretch>
                      <a:fillRect/>
                    </a:stretch>
                  </pic:blipFill>
                  <pic:spPr>
                    <a:xfrm>
                      <a:off x="0" y="0"/>
                      <a:ext cx="5943600" cy="2304600"/>
                    </a:xfrm>
                    <a:prstGeom prst="rect">
                      <a:avLst/>
                    </a:prstGeom>
                  </pic:spPr>
                </pic:pic>
              </a:graphicData>
            </a:graphic>
          </wp:inline>
        </w:drawing>
      </w:r>
    </w:p>
    <w:p>
      <w:pPr>
        <w:spacing w:after="160"/>
      </w:pPr>
      <w:r>
        <w:rPr>
          <w:rFonts w:ascii="Calibri" w:cs="Calibri" w:eastAsia="Calibri" w:hAnsi="Calibri"/>
          <w:sz w:val="19"/>
          <w:szCs w:val="19"/>
        </w:rPr>
        <w:t xml:space="preserve">Convenciones: C/P = cliente-proveedor; CF = conformista; OHS = servicio abierto publicado; las líneas punteadas son eventos de dominio. Hoy, Acceso del personal, Socios y Membresías y cobros ya existen en el código; Recepción, Reportes, Auditoría y Recordatorios están diseñados en el DAD y se construyen en las próximas semanas.</w:t>
      </w:r>
    </w:p>
    <w:p>
      <w:pPr>
        <w:keepNext/>
        <w:spacing w:after="80"/>
      </w:pPr>
      <w:r>
        <w:rPr>
          <w:rFonts w:ascii="Calibri" w:cs="Calibri" w:eastAsia="Calibri" w:hAnsi="Calibri"/>
        </w:rPr>
        <w:t xml:space="preserve">Código Mermaid: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flowchart LR</w:t>
            </w:r>
          </w:p>
          <w:p>
            <w:pPr>
              <w:spacing w:after="0"/>
            </w:pPr>
            <w:r>
              <w:rPr>
                <w:rFonts w:ascii="Consolas" w:cs="Consolas" w:eastAsia="Consolas" w:hAnsi="Consolas"/>
                <w:sz w:val="17"/>
                <w:szCs w:val="17"/>
              </w:rPr>
              <w:t xml:space="preserve">  ACC["&lt;b&gt;Acceso del personal&lt;/b&gt;&lt;br/&gt;Usuario · Rol · bloqueo"]</w:t>
            </w:r>
          </w:p>
          <w:p>
            <w:pPr>
              <w:spacing w:after="0"/>
            </w:pPr>
            <w:r>
              <w:rPr>
                <w:rFonts w:ascii="Consolas" w:cs="Consolas" w:eastAsia="Consolas" w:hAnsi="Consolas"/>
                <w:sz w:val="17"/>
                <w:szCs w:val="17"/>
              </w:rPr>
              <w:t xml:space="preserve">  SOC["&lt;b&gt;Socios&lt;/b&gt;&lt;br/&gt;Socio · documento · teléfono&lt;br/&gt;autorización de datos"]</w:t>
            </w:r>
          </w:p>
          <w:p>
            <w:pPr>
              <w:spacing w:after="0"/>
            </w:pPr>
            <w:r>
              <w:rPr>
                <w:rFonts w:ascii="Consolas" w:cs="Consolas" w:eastAsia="Consolas" w:hAnsi="Consolas"/>
                <w:sz w:val="17"/>
                <w:szCs w:val="17"/>
              </w:rPr>
              <w:t xml:space="preserve">  MEM["&lt;b&gt;Membresías y cobros&lt;/b&gt;&lt;br/&gt;(núcleo)&lt;br/&gt;Plan · Pago · CalculadoraMembresia&lt;br/&gt;vencimiento · anulación · comprobante"]</w:t>
            </w:r>
          </w:p>
          <w:p>
            <w:pPr>
              <w:spacing w:after="0"/>
            </w:pPr>
            <w:r>
              <w:rPr>
                <w:rFonts w:ascii="Consolas" w:cs="Consolas" w:eastAsia="Consolas" w:hAnsi="Consolas"/>
                <w:sz w:val="17"/>
                <w:szCs w:val="17"/>
              </w:rPr>
              <w:t xml:space="preserve">  REC["&lt;b&gt;Recepción&lt;/b&gt;&lt;br/&gt;consulta Activo / Vencido&lt;br/&gt;caché sin conexión"]</w:t>
            </w:r>
          </w:p>
          <w:p>
            <w:pPr>
              <w:spacing w:after="0"/>
            </w:pPr>
            <w:r>
              <w:rPr>
                <w:rFonts w:ascii="Consolas" w:cs="Consolas" w:eastAsia="Consolas" w:hAnsi="Consolas"/>
                <w:sz w:val="17"/>
                <w:szCs w:val="17"/>
              </w:rPr>
              <w:t xml:space="preserve">  REP["&lt;b&gt;Reportes&lt;/b&gt;&lt;br/&gt;ingresos · próximos vencimientos"]</w:t>
            </w:r>
          </w:p>
          <w:p>
            <w:pPr>
              <w:spacing w:after="0"/>
            </w:pPr>
            <w:r>
              <w:rPr>
                <w:rFonts w:ascii="Consolas" w:cs="Consolas" w:eastAsia="Consolas" w:hAnsi="Consolas"/>
                <w:sz w:val="17"/>
                <w:szCs w:val="17"/>
              </w:rPr>
              <w:t xml:space="preserve">  AUD["&lt;b&gt;Auditoría&lt;/b&gt;&lt;br/&gt;actor · acción · motivo · fecha"]</w:t>
            </w:r>
          </w:p>
          <w:p>
            <w:pPr>
              <w:spacing w:after="0"/>
            </w:pPr>
            <w:r>
              <w:rPr>
                <w:rFonts w:ascii="Consolas" w:cs="Consolas" w:eastAsia="Consolas" w:hAnsi="Consolas"/>
                <w:sz w:val="17"/>
                <w:szCs w:val="17"/>
              </w:rPr>
              <w:t xml:space="preserve">  RCD["&lt;b&gt;Recordatorios&lt;/b&gt;&lt;br/&gt;enlace wa.me"]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SOC --&gt;|"C/P"| MEM</w:t>
            </w:r>
          </w:p>
          <w:p>
            <w:pPr>
              <w:spacing w:after="0"/>
            </w:pPr>
            <w:r>
              <w:rPr>
                <w:rFonts w:ascii="Consolas" w:cs="Consolas" w:eastAsia="Consolas" w:hAnsi="Consolas"/>
                <w:sz w:val="17"/>
                <w:szCs w:val="17"/>
              </w:rPr>
              <w:t xml:space="preserve">  ACC --&gt;|"CF"| MEM</w:t>
            </w:r>
          </w:p>
          <w:p>
            <w:pPr>
              <w:spacing w:after="0"/>
            </w:pPr>
            <w:r>
              <w:rPr>
                <w:rFonts w:ascii="Consolas" w:cs="Consolas" w:eastAsia="Consolas" w:hAnsi="Consolas"/>
                <w:sz w:val="17"/>
                <w:szCs w:val="17"/>
              </w:rPr>
              <w:t xml:space="preserve">  MEM --&gt;|"OHS /api/v1/estados/"| REC</w:t>
            </w:r>
          </w:p>
          <w:p>
            <w:pPr>
              <w:spacing w:after="0"/>
            </w:pPr>
            <w:r>
              <w:rPr>
                <w:rFonts w:ascii="Consolas" w:cs="Consolas" w:eastAsia="Consolas" w:hAnsi="Consolas"/>
                <w:sz w:val="17"/>
                <w:szCs w:val="17"/>
              </w:rPr>
              <w:t xml:space="preserve">  MEM --&gt;|"lectura"| REP</w:t>
            </w:r>
          </w:p>
          <w:p>
            <w:pPr>
              <w:spacing w:after="0"/>
            </w:pPr>
            <w:r>
              <w:rPr>
                <w:rFonts w:ascii="Consolas" w:cs="Consolas" w:eastAsia="Consolas" w:hAnsi="Consolas"/>
                <w:sz w:val="17"/>
                <w:szCs w:val="17"/>
              </w:rPr>
              <w:t xml:space="preserve">  REP --&gt;|"vencen en 3 días"| RCD</w:t>
            </w:r>
          </w:p>
          <w:p>
            <w:pPr>
              <w:spacing w:after="0"/>
            </w:pPr>
            <w:r>
              <w:rPr>
                <w:rFonts w:ascii="Consolas" w:cs="Consolas" w:eastAsia="Consolas" w:hAnsi="Consolas"/>
                <w:sz w:val="17"/>
                <w:szCs w:val="17"/>
              </w:rPr>
              <w:t xml:space="preserve">  SOC --&gt;|"teléfono"| RCD</w:t>
            </w:r>
          </w:p>
          <w:p>
            <w:pPr>
              <w:spacing w:after="0"/>
            </w:pPr>
            <w:r>
              <w:rPr>
                <w:rFonts w:ascii="Consolas" w:cs="Consolas" w:eastAsia="Consolas" w:hAnsi="Consolas"/>
                <w:sz w:val="17"/>
                <w:szCs w:val="17"/>
              </w:rPr>
              <w:t xml:space="preserve">  MEM -.-&gt;|"eventos"| AUD</w:t>
            </w:r>
          </w:p>
          <w:p>
            <w:pPr>
              <w:spacing w:after="0"/>
            </w:pPr>
            <w:r>
              <w:rPr>
                <w:rFonts w:ascii="Consolas" w:cs="Consolas" w:eastAsia="Consolas" w:hAnsi="Consolas"/>
                <w:sz w:val="17"/>
                <w:szCs w:val="17"/>
              </w:rPr>
              <w:t xml:space="preserve">  SOC -.-&gt;|"eventos"| AUD</w:t>
            </w:r>
          </w:p>
          <w:p>
            <w:pPr>
              <w:spacing w:after="0"/>
            </w:pPr>
            <w:r>
              <w:rPr>
                <w:rFonts w:ascii="Consolas" w:cs="Consolas" w:eastAsia="Consolas" w:hAnsi="Consolas"/>
                <w:sz w:val="17"/>
                <w:szCs w:val="17"/>
              </w:rPr>
              <w:t xml:space="preserve">  ACC -.-&gt;|"eventos"| AUD</w:t>
            </w:r>
          </w:p>
        </w:tc>
      </w:tr>
    </w:tbl>
    <w:p>
      <w:pPr>
        <w:spacing w:after="120"/>
      </w:pPr>
    </w:p>
    <w:p>
      <w:pPr>
        <w:pStyle w:val="Heading1"/>
        <w:spacing w:after="160" w:before="300"/>
      </w:pPr>
      <w:r>
        <w:rPr>
          <w:rFonts w:ascii="Calibri" w:cs="Calibri" w:eastAsia="Calibri" w:hAnsi="Calibri"/>
          <w:b/>
          <w:bCs/>
        </w:rPr>
        <w:t xml:space="preserve">Lista de autoevaluación antes de entregar</w:t>
      </w:r>
    </w:p>
    <w:p>
      <w:pPr>
        <w:pStyle w:val="ListParagraph"/>
        <w:numPr>
          <w:ilvl w:val="0"/>
          <w:numId w:val="2"/>
        </w:numPr>
        <w:spacing w:after="120"/>
      </w:pPr>
      <w:r>
        <w:rPr>
          <w:rFonts w:ascii="Calibri" w:cs="Calibri" w:eastAsia="Calibri" w:hAnsi="Calibri"/>
        </w:rPr>
        <w:t xml:space="preserve">Identifiqué al menos tres Bounded Contexts reales de mi proyecto, no inventados.</w:t>
      </w:r>
    </w:p>
    <w:p>
      <w:pPr>
        <w:pStyle w:val="ListParagraph"/>
        <w:numPr>
          <w:ilvl w:val="0"/>
          <w:numId w:val="2"/>
        </w:numPr>
        <w:spacing w:after="120"/>
      </w:pPr>
      <w:r>
        <w:rPr>
          <w:rFonts w:ascii="Calibri" w:cs="Calibri" w:eastAsia="Calibri" w:hAnsi="Calibri"/>
        </w:rPr>
        <w:t xml:space="preserve">Calculé, de forma aproximada, el costo real de una alternativa distribuida para mi MiPyme.</w:t>
      </w:r>
    </w:p>
    <w:p>
      <w:pPr>
        <w:pStyle w:val="ListParagraph"/>
        <w:numPr>
          <w:ilvl w:val="0"/>
          <w:numId w:val="2"/>
        </w:numPr>
        <w:spacing w:after="120"/>
      </w:pPr>
      <w:r>
        <w:rPr>
          <w:rFonts w:ascii="Calibri" w:cs="Calibri" w:eastAsia="Calibri" w:hAnsi="Calibri"/>
        </w:rPr>
        <w:t xml:space="preserve">Entiendo las consecuencias del patrón Database-per-Service (pérdida de transacciones ACID directas).</w:t>
      </w:r>
    </w:p>
    <w:p>
      <w:pPr>
        <w:pStyle w:val="ListParagraph"/>
        <w:numPr>
          <w:ilvl w:val="0"/>
          <w:numId w:val="2"/>
        </w:numPr>
        <w:spacing w:after="120"/>
      </w:pPr>
      <w:r>
        <w:rPr>
          <w:rFonts w:ascii="Calibri" w:cs="Calibri" w:eastAsia="Calibri" w:hAnsi="Calibri"/>
        </w:rPr>
        <w:t xml:space="preserve">Audité si una IA propuso una arquitectura distribuida sin justificar el costo ni la latencia real.</w:t>
      </w:r>
    </w:p>
    <w:p>
      <w:pPr>
        <w:pStyle w:val="ListParagraph"/>
        <w:numPr>
          <w:ilvl w:val="0"/>
          <w:numId w:val="2"/>
        </w:numPr>
        <w:spacing w:after="120"/>
      </w:pPr>
      <w:r>
        <w:rPr>
          <w:rFonts w:ascii="Calibri" w:cs="Calibri" w:eastAsia="Calibri" w:hAnsi="Calibri"/>
        </w:rPr>
        <w:t xml:space="preserve">Diligencié completamente la FPI-21 con una decisión de distribución justificada módulo por módulo.</w:t>
      </w:r>
    </w:p>
    <w:p>
      <w:pPr>
        <w:pStyle w:val="Heading1"/>
        <w:spacing w:after="160" w:before="300"/>
      </w:pPr>
      <w:r>
        <w:rPr>
          <w:rFonts w:ascii="Calibri" w:cs="Calibri" w:eastAsia="Calibri" w:hAnsi="Calibri"/>
          <w:b/>
          <w:bCs/>
        </w:rPr>
        <w:t xml:space="preserve">Foro de reflexión</w:t>
      </w:r>
    </w:p>
    <w:p>
      <w:pPr>
        <w:spacing w:after="160"/>
      </w:pPr>
      <w:r>
        <w:rPr>
          <w:rFonts w:ascii="Calibri" w:cs="Calibri" w:eastAsia="Calibri" w:hAnsi="Calibri"/>
          <w:b/>
          <w:bCs/>
        </w:rPr>
        <w:t xml:space="preserve">Título: </w:t>
      </w:r>
      <w:r>
        <w:rPr>
          <w:rFonts w:ascii="Calibri" w:cs="Calibri" w:eastAsia="Calibri" w:hAnsi="Calibri"/>
          <w:i/>
          <w:iCs/>
        </w:rPr>
        <w:t xml:space="preserve">"El Hype-Driven Architecture (HDA): ¿es el abuso de microservicios el mayor destructor de MiPymes en Latinoamérica?"</w:t>
      </w:r>
    </w:p>
    <w:p>
      <w:pPr>
        <w:spacing w:after="160"/>
      </w:pPr>
      <w:r>
        <w:rPr>
          <w:rFonts w:ascii="Calibri" w:cs="Calibri" w:eastAsia="Calibri" w:hAnsi="Calibri"/>
        </w:rPr>
        <w:t xml:space="preserve">Redacte una reflexión de 250–300 palabras respondiendo: ¿por qué muchos equipos eligen microservicios distribuidos para proyectos pequeños a pesar de que la sobrecarga de red y la complejidad operativa suelen destruir el ROI del negocio? Fundamente su postura con evidencia de su propio análisis de costos (Ejercicio 3).</w:t>
      </w:r>
    </w:p>
    <w:p>
      <w:pPr>
        <w:spacing w:after="80"/>
      </w:pPr>
      <w:r>
        <w:rPr>
          <w:rFonts w:ascii="Calibri" w:cs="Calibri" w:eastAsia="Calibri" w:hAnsi="Calibri"/>
        </w:rPr>
        <w:t xml:space="preserve">Reflexión (290 palabras)</w:t>
      </w:r>
    </w:p>
    <w:p>
      <w:pPr>
        <w:spacing w:after="160"/>
      </w:pPr>
      <w:r>
        <w:rPr>
          <w:rFonts w:ascii="Calibri" w:cs="Calibri" w:eastAsia="Calibri" w:hAnsi="Calibri"/>
        </w:rPr>
        <w:t xml:space="preserve">Creo que muchos equipos eligen microservicios para proyectos pequeños por tres razones que no tienen que ver con el negocio. La primera es imitación: es lo que cuentan Netflix o Amazon, y se asume que lo que sirve a millones de usuarios sirve para cualquiera. La segunda es el currículum, porque «Kubernetes» y «Kafka» suenan mejor en una hoja de vida que «monolito bien hecho». La tercera es que los costos de la nube se presentan por petición, y eso esconde lo que queda encendido todo el mes.</w:t>
      </w:r>
    </w:p>
    <w:p>
      <w:pPr>
        <w:spacing w:after="160"/>
      </w:pPr>
      <w:r>
        <w:rPr>
          <w:rFonts w:ascii="Calibri" w:cs="Calibri" w:eastAsia="Calibri" w:hAnsi="Calibri"/>
        </w:rPr>
        <w:t xml:space="preserve">Mi cálculo del Ejercicio 3 muestra justo eso. FitManage distribuido en AWS costaría unos 94 USD al mes, y 92 de esos dólares no dependen de cuántos socios entren al gimnasio: son cuatro bases de datos y un NAT Gateway funcionando de noche con el local cerrado. Para una MiPyme que vende 500 USD al mes, eso se lleva casi todo el margen. Y lo grave es que no compra nada útil, porque el sistema pierde la transacción que une el pago con su auditoría y además deja de funcionar cuando se cae el internet de la recepción, que es lo que más pasa.</w:t>
      </w:r>
    </w:p>
    <w:p>
      <w:pPr>
        <w:spacing w:after="160"/>
      </w:pPr>
      <w:r>
        <w:rPr>
          <w:rFonts w:ascii="Calibri" w:cs="Calibri" w:eastAsia="Calibri" w:hAnsi="Calibri"/>
        </w:rPr>
        <w:t xml:space="preserve">No me atrevería a decir que es «el mayor destructor» de MiPymes en Latinoamérica, porque no tengo datos para afirmarlo. Sí veo que es una forma muy fácil de gastar en infraestructura un dinero que una empresa pequeña no tiene, y de convertir un sistema simple en algo que nadie del negocio puede sostener cuando el desarrollador se va.</w:t>
      </w:r>
    </w:p>
    <w:p>
      <w:pPr>
        <w:spacing w:after="160"/>
      </w:pPr>
      <w:r>
        <w:rPr>
          <w:rFonts w:ascii="Calibri" w:cs="Calibri" w:eastAsia="Calibri" w:hAnsi="Calibri"/>
        </w:rPr>
        <w:t xml:space="preserve">Mi conclusión es que la distribución se gana con evidencia. En FitManage el único dato que se copia fuera del servidor es la caché del navegador, y está ahí porque el internet se cae, no porque esté de moda.</w:t>
      </w:r>
    </w:p>
    <w:p>
      <w:pPr>
        <w:pStyle w:val="Heading1"/>
        <w:spacing w:after="160" w:before="300"/>
      </w:pPr>
      <w:r>
        <w:rPr>
          <w:rFonts w:ascii="Calibri" w:cs="Calibri" w:eastAsia="Calibri" w:hAnsi="Calibri"/>
          <w:b/>
          <w:bCs/>
        </w:rPr>
        <w:t xml:space="preserve">Cuestionario</w:t>
      </w:r>
    </w:p>
    <w:p>
      <w:pPr>
        <w:spacing w:after="160"/>
      </w:pPr>
      <w:r>
        <w:rPr>
          <w:rFonts w:ascii="Calibri" w:cs="Calibri" w:eastAsia="Calibri" w:hAnsi="Calibri"/>
        </w:rPr>
        <w:t xml:space="preserve">Seleccione una única respuesta.</w:t>
      </w:r>
    </w:p>
    <w:p>
      <w:pPr>
        <w:pStyle w:val="Heading3"/>
        <w:spacing w:after="160" w:before="300"/>
      </w:pPr>
      <w:r>
        <w:rPr>
          <w:rFonts w:ascii="Calibri" w:cs="Calibri" w:eastAsia="Calibri" w:hAnsi="Calibri"/>
          <w:b/>
          <w:bCs/>
        </w:rPr>
        <w:t xml:space="preserve">1. La primera ley de la distribución de objetos, según Fowler y Newman, es:</w:t>
      </w:r>
    </w:p>
    <w:p>
      <w:pPr>
        <w:pStyle w:val="ListParagraph"/>
        <w:numPr>
          <w:ilvl w:val="0"/>
          <w:numId w:val="2"/>
        </w:numPr>
        <w:spacing w:after="120"/>
      </w:pPr>
      <w:r>
        <w:rPr>
          <w:rFonts w:ascii="Calibri" w:cs="Calibri" w:eastAsia="Calibri" w:hAnsi="Calibri"/>
        </w:rPr>
        <w:t xml:space="preserve">A. "Distribuye siempre que puedas para ganar escalabilidad."</w:t>
      </w:r>
    </w:p>
    <w:p>
      <w:pPr>
        <w:pStyle w:val="ListParagraph"/>
        <w:numPr>
          <w:ilvl w:val="0"/>
          <w:numId w:val="2"/>
        </w:numPr>
        <w:spacing w:after="120"/>
      </w:pPr>
      <w:r>
        <w:rPr>
          <w:rFonts w:ascii="Calibri" w:cs="Calibri" w:eastAsia="Calibri" w:hAnsi="Calibri"/>
        </w:rPr>
        <w:t xml:space="preserve">B. "No distribuyas tus objetos": la distribución introduce latencia, consistencia eventual y fallos parciales de red. ✅</w:t>
      </w:r>
    </w:p>
    <w:p>
      <w:pPr>
        <w:pStyle w:val="ListParagraph"/>
        <w:numPr>
          <w:ilvl w:val="0"/>
          <w:numId w:val="2"/>
        </w:numPr>
        <w:spacing w:after="120"/>
      </w:pPr>
      <w:r>
        <w:rPr>
          <w:rFonts w:ascii="Calibri" w:cs="Calibri" w:eastAsia="Calibri" w:hAnsi="Calibri"/>
        </w:rPr>
        <w:t xml:space="preserve">C. "Toda base de datos debe ser independiente desde el primer día."</w:t>
      </w:r>
    </w:p>
    <w:p>
      <w:pPr>
        <w:pStyle w:val="ListParagraph"/>
        <w:numPr>
          <w:ilvl w:val="0"/>
          <w:numId w:val="2"/>
        </w:numPr>
        <w:spacing w:after="120"/>
      </w:pPr>
      <w:r>
        <w:rPr>
          <w:rFonts w:ascii="Calibri" w:cs="Calibri" w:eastAsia="Calibri" w:hAnsi="Calibri"/>
        </w:rPr>
        <w:t xml:space="preserve">D. "Los microservicios siempre reducen la complejidad operativa."</w:t>
      </w:r>
    </w:p>
    <w:p>
      <w:pPr>
        <w:pStyle w:val="Heading3"/>
        <w:spacing w:after="160" w:before="300"/>
      </w:pPr>
      <w:r>
        <w:rPr>
          <w:rFonts w:ascii="Calibri" w:cs="Calibri" w:eastAsia="Calibri" w:hAnsi="Calibri"/>
          <w:b/>
          <w:bCs/>
        </w:rPr>
        <w:t xml:space="preserve">2. Un Bounded Context, en DDD, se define como:</w:t>
      </w:r>
    </w:p>
    <w:p>
      <w:pPr>
        <w:pStyle w:val="ListParagraph"/>
        <w:numPr>
          <w:ilvl w:val="0"/>
          <w:numId w:val="2"/>
        </w:numPr>
        <w:spacing w:after="120"/>
      </w:pPr>
      <w:r>
        <w:rPr>
          <w:rFonts w:ascii="Calibri" w:cs="Calibri" w:eastAsia="Calibri" w:hAnsi="Calibri"/>
        </w:rPr>
        <w:t xml:space="preserve">A. Un límite geográfico de red configurado en el firewall corporativo.</w:t>
      </w:r>
    </w:p>
    <w:p>
      <w:pPr>
        <w:pStyle w:val="ListParagraph"/>
        <w:numPr>
          <w:ilvl w:val="0"/>
          <w:numId w:val="2"/>
        </w:numPr>
        <w:spacing w:after="120"/>
      </w:pPr>
      <w:r>
        <w:rPr>
          <w:rFonts w:ascii="Calibri" w:cs="Calibri" w:eastAsia="Calibri" w:hAnsi="Calibri"/>
        </w:rPr>
        <w:t xml:space="preserve">B. El espacio conceptual y lingüístico donde un modelo de dominio y sus términos tienen un significado consistente. ✅</w:t>
      </w:r>
    </w:p>
    <w:p>
      <w:pPr>
        <w:pStyle w:val="ListParagraph"/>
        <w:numPr>
          <w:ilvl w:val="0"/>
          <w:numId w:val="2"/>
        </w:numPr>
        <w:spacing w:after="120"/>
      </w:pPr>
      <w:r>
        <w:rPr>
          <w:rFonts w:ascii="Calibri" w:cs="Calibri" w:eastAsia="Calibri" w:hAnsi="Calibri"/>
        </w:rPr>
        <w:t xml:space="preserve">C. Un tipo de contenedor Docker con límites estrictos de CPU.</w:t>
      </w:r>
    </w:p>
    <w:p>
      <w:pPr>
        <w:pStyle w:val="ListParagraph"/>
        <w:numPr>
          <w:ilvl w:val="0"/>
          <w:numId w:val="2"/>
        </w:numPr>
        <w:spacing w:after="120"/>
      </w:pPr>
      <w:r>
        <w:rPr>
          <w:rFonts w:ascii="Calibri" w:cs="Calibri" w:eastAsia="Calibri" w:hAnsi="Calibri"/>
        </w:rPr>
        <w:t xml:space="preserve">D. El total de líneas de código permitidas por clase.</w:t>
      </w:r>
    </w:p>
    <w:p>
      <w:pPr>
        <w:pStyle w:val="Heading3"/>
        <w:spacing w:after="160" w:before="300"/>
      </w:pPr>
      <w:r>
        <w:rPr>
          <w:rFonts w:ascii="Calibri" w:cs="Calibri" w:eastAsia="Calibri" w:hAnsi="Calibri"/>
          <w:b/>
          <w:bCs/>
        </w:rPr>
        <w:t xml:space="preserve">3. La consecuencia técnica ineludible del patrón Database-per-Service es:</w:t>
      </w:r>
    </w:p>
    <w:p>
      <w:pPr>
        <w:pStyle w:val="ListParagraph"/>
        <w:numPr>
          <w:ilvl w:val="0"/>
          <w:numId w:val="2"/>
        </w:numPr>
        <w:spacing w:after="120"/>
      </w:pPr>
      <w:r>
        <w:rPr>
          <w:rFonts w:ascii="Calibri" w:cs="Calibri" w:eastAsia="Calibri" w:hAnsi="Calibri"/>
        </w:rPr>
        <w:t xml:space="preserve">A. Las consultas JOIN tradicionales se aceleran automáticamente.</w:t>
      </w:r>
    </w:p>
    <w:p>
      <w:pPr>
        <w:pStyle w:val="ListParagraph"/>
        <w:numPr>
          <w:ilvl w:val="0"/>
          <w:numId w:val="2"/>
        </w:numPr>
        <w:spacing w:after="120"/>
      </w:pPr>
      <w:r>
        <w:rPr>
          <w:rFonts w:ascii="Calibri" w:cs="Calibri" w:eastAsia="Calibri" w:hAnsi="Calibri"/>
        </w:rPr>
        <w:t xml:space="preserve">B. Se pierde la integridad referencial y las transacciones ACID directas entre servicios, requiriendo consistencia eventual. ✅</w:t>
      </w:r>
    </w:p>
    <w:p>
      <w:pPr>
        <w:pStyle w:val="ListParagraph"/>
        <w:numPr>
          <w:ilvl w:val="0"/>
          <w:numId w:val="2"/>
        </w:numPr>
        <w:spacing w:after="120"/>
      </w:pPr>
      <w:r>
        <w:rPr>
          <w:rFonts w:ascii="Calibri" w:cs="Calibri" w:eastAsia="Calibri" w:hAnsi="Calibri"/>
        </w:rPr>
        <w:t xml:space="preserve">C. Las bases de datos se sincronizan solas sin ningún broker.</w:t>
      </w:r>
    </w:p>
    <w:p>
      <w:pPr>
        <w:pStyle w:val="ListParagraph"/>
        <w:numPr>
          <w:ilvl w:val="0"/>
          <w:numId w:val="2"/>
        </w:numPr>
        <w:spacing w:after="120"/>
      </w:pPr>
      <w:r>
        <w:rPr>
          <w:rFonts w:ascii="Calibri" w:cs="Calibri" w:eastAsia="Calibri" w:hAnsi="Calibri"/>
        </w:rPr>
        <w:t xml:space="preserve">D. Todos los servicios deben usar el mismo motor de persistencia.</w:t>
      </w:r>
    </w:p>
    <w:p>
      <w:pPr>
        <w:pStyle w:val="Heading3"/>
        <w:spacing w:after="160" w:before="300"/>
      </w:pPr>
      <w:r>
        <w:rPr>
          <w:rFonts w:ascii="Calibri" w:cs="Calibri" w:eastAsia="Calibri" w:hAnsi="Calibri"/>
          <w:b/>
          <w:bCs/>
        </w:rPr>
        <w:t xml:space="preserve">4. Las Arquitecturas Orientadas a Eventos (EDA) permiten:</w:t>
      </w:r>
    </w:p>
    <w:p>
      <w:pPr>
        <w:pStyle w:val="ListParagraph"/>
        <w:numPr>
          <w:ilvl w:val="0"/>
          <w:numId w:val="2"/>
        </w:numPr>
        <w:spacing w:after="120"/>
      </w:pPr>
      <w:r>
        <w:rPr>
          <w:rFonts w:ascii="Calibri" w:cs="Calibri" w:eastAsia="Calibri" w:hAnsi="Calibri"/>
        </w:rPr>
        <w:t xml:space="preserve">A. Eliminar por completo la necesidad de bases de datos.</w:t>
      </w:r>
    </w:p>
    <w:p>
      <w:pPr>
        <w:pStyle w:val="ListParagraph"/>
        <w:numPr>
          <w:ilvl w:val="0"/>
          <w:numId w:val="2"/>
        </w:numPr>
        <w:spacing w:after="120"/>
      </w:pPr>
      <w:r>
        <w:rPr>
          <w:rFonts w:ascii="Calibri" w:cs="Calibri" w:eastAsia="Calibri" w:hAnsi="Calibri"/>
        </w:rPr>
        <w:t xml:space="preserve">B. El acoplamiento asíncrono y la consistencia eventual entre contextos mediante eventos de dominio inmutables. ✅</w:t>
      </w:r>
    </w:p>
    <w:p>
      <w:pPr>
        <w:pStyle w:val="ListParagraph"/>
        <w:numPr>
          <w:ilvl w:val="0"/>
          <w:numId w:val="2"/>
        </w:numPr>
        <w:spacing w:after="120"/>
      </w:pPr>
      <w:r>
        <w:rPr>
          <w:rFonts w:ascii="Calibri" w:cs="Calibri" w:eastAsia="Calibri" w:hAnsi="Calibri"/>
        </w:rPr>
        <w:t xml:space="preserve">C. Sustituir la necesidad de un modelo de dominio.</w:t>
      </w:r>
    </w:p>
    <w:p>
      <w:pPr>
        <w:pStyle w:val="ListParagraph"/>
        <w:numPr>
          <w:ilvl w:val="0"/>
          <w:numId w:val="2"/>
        </w:numPr>
        <w:spacing w:after="120"/>
      </w:pPr>
      <w:r>
        <w:rPr>
          <w:rFonts w:ascii="Calibri" w:cs="Calibri" w:eastAsia="Calibri" w:hAnsi="Calibri"/>
        </w:rPr>
        <w:t xml:space="preserve">D. Garantizar consistencia ACID entre microservicios distribuidos.</w:t>
      </w:r>
    </w:p>
    <w:p>
      <w:pPr>
        <w:pStyle w:val="Heading3"/>
        <w:spacing w:after="160" w:before="300"/>
      </w:pPr>
      <w:r>
        <w:rPr>
          <w:rFonts w:ascii="Calibri" w:cs="Calibri" w:eastAsia="Calibri" w:hAnsi="Calibri"/>
          <w:b/>
          <w:bCs/>
        </w:rPr>
        <w:t xml:space="preserve">5. Proponer una arquitectura serverless de $150 USD mensuales para un negocio que factura $500 USD totales es un ejemplo de:</w:t>
      </w:r>
    </w:p>
    <w:p>
      <w:pPr>
        <w:pStyle w:val="ListParagraph"/>
        <w:numPr>
          <w:ilvl w:val="0"/>
          <w:numId w:val="2"/>
        </w:numPr>
        <w:spacing w:after="120"/>
      </w:pPr>
      <w:r>
        <w:rPr>
          <w:rFonts w:ascii="Calibri" w:cs="Calibri" w:eastAsia="Calibri" w:hAnsi="Calibri"/>
        </w:rPr>
        <w:t xml:space="preserve">A. Una recomendación técnica impecable sin más análisis necesario.</w:t>
      </w:r>
    </w:p>
    <w:p>
      <w:pPr>
        <w:pStyle w:val="ListParagraph"/>
        <w:numPr>
          <w:ilvl w:val="0"/>
          <w:numId w:val="2"/>
        </w:numPr>
        <w:spacing w:after="120"/>
      </w:pPr>
      <w:r>
        <w:rPr>
          <w:rFonts w:ascii="Calibri" w:cs="Calibri" w:eastAsia="Calibri" w:hAnsi="Calibri"/>
        </w:rPr>
        <w:t xml:space="preserve">B. Una alucinación de viabilidad financiera que debe auditarse antes de aceptarla. ✅</w:t>
      </w:r>
    </w:p>
    <w:p>
      <w:pPr>
        <w:pStyle w:val="ListParagraph"/>
        <w:numPr>
          <w:ilvl w:val="0"/>
          <w:numId w:val="2"/>
        </w:numPr>
        <w:spacing w:after="120"/>
      </w:pPr>
      <w:r>
        <w:rPr>
          <w:rFonts w:ascii="Calibri" w:cs="Calibri" w:eastAsia="Calibri" w:hAnsi="Calibri"/>
        </w:rPr>
        <w:t xml:space="preserve">C. El estándar recomendado por ISO/IEC 25010.</w:t>
      </w:r>
    </w:p>
    <w:p>
      <w:pPr>
        <w:pStyle w:val="ListParagraph"/>
        <w:numPr>
          <w:ilvl w:val="0"/>
          <w:numId w:val="2"/>
        </w:numPr>
        <w:spacing w:after="120"/>
      </w:pPr>
      <w:r>
        <w:rPr>
          <w:rFonts w:ascii="Calibri" w:cs="Calibri" w:eastAsia="Calibri" w:hAnsi="Calibri"/>
        </w:rPr>
        <w:t xml:space="preserve">D. Una arquitectura obligatoria para cualquier MVP.</w:t>
      </w:r>
    </w:p>
    <w:p>
      <w:pPr>
        <w:pStyle w:val="Heading3"/>
        <w:spacing w:after="160" w:before="300"/>
      </w:pPr>
      <w:r>
        <w:rPr>
          <w:rFonts w:ascii="Calibri" w:cs="Calibri" w:eastAsia="Calibri" w:hAnsi="Calibri"/>
          <w:b/>
          <w:bCs/>
        </w:rPr>
        <w:t xml:space="preserve">6. Identificar los Bounded Contexts de un sistema es útil incluso si permanece como monolito porque:</w:t>
      </w:r>
    </w:p>
    <w:p>
      <w:pPr>
        <w:pStyle w:val="ListParagraph"/>
        <w:numPr>
          <w:ilvl w:val="0"/>
          <w:numId w:val="2"/>
        </w:numPr>
        <w:spacing w:after="120"/>
      </w:pPr>
      <w:r>
        <w:rPr>
          <w:rFonts w:ascii="Calibri" w:cs="Calibri" w:eastAsia="Calibri" w:hAnsi="Calibri"/>
        </w:rPr>
        <w:t xml:space="preserve">A. No tiene ninguna utilidad si no se distribuye.</w:t>
      </w:r>
    </w:p>
    <w:p>
      <w:pPr>
        <w:pStyle w:val="ListParagraph"/>
        <w:numPr>
          <w:ilvl w:val="0"/>
          <w:numId w:val="2"/>
        </w:numPr>
        <w:spacing w:after="120"/>
      </w:pPr>
      <w:r>
        <w:rPr>
          <w:rFonts w:ascii="Calibri" w:cs="Calibri" w:eastAsia="Calibri" w:hAnsi="Calibri"/>
        </w:rPr>
        <w:t xml:space="preserve">B. Prepara ordenadamente al sistema para una eventual distribución futura, delimitando modelos y lenguaje de negocio. ✅</w:t>
      </w:r>
    </w:p>
    <w:p>
      <w:pPr>
        <w:pStyle w:val="ListParagraph"/>
        <w:numPr>
          <w:ilvl w:val="0"/>
          <w:numId w:val="2"/>
        </w:numPr>
        <w:spacing w:after="120"/>
      </w:pPr>
      <w:r>
        <w:rPr>
          <w:rFonts w:ascii="Calibri" w:cs="Calibri" w:eastAsia="Calibri" w:hAnsi="Calibri"/>
        </w:rPr>
        <w:t xml:space="preserve">C. Es un requisito exclusivo de arquitecturas serverless.</w:t>
      </w:r>
    </w:p>
    <w:p>
      <w:pPr>
        <w:pStyle w:val="ListParagraph"/>
        <w:numPr>
          <w:ilvl w:val="0"/>
          <w:numId w:val="2"/>
        </w:numPr>
        <w:spacing w:after="120"/>
      </w:pPr>
      <w:r>
        <w:rPr>
          <w:rFonts w:ascii="Calibri" w:cs="Calibri" w:eastAsia="Calibri" w:hAnsi="Calibri"/>
        </w:rPr>
        <w:t xml:space="preserve">D. Elimina la necesidad de un catálogo de requisitos.</w:t>
      </w:r>
    </w:p>
    <w:p>
      <w:pPr>
        <w:pStyle w:val="Heading3"/>
        <w:spacing w:after="160" w:before="300"/>
      </w:pPr>
      <w:r>
        <w:rPr>
          <w:rFonts w:ascii="Calibri" w:cs="Calibri" w:eastAsia="Calibri" w:hAnsi="Calibri"/>
          <w:b/>
          <w:bCs/>
        </w:rPr>
        <w:t xml:space="preserve">7. Según la regla de oro de esta guía, un módulo se distribuye solo cuando:</w:t>
      </w:r>
    </w:p>
    <w:p>
      <w:pPr>
        <w:pStyle w:val="ListParagraph"/>
        <w:numPr>
          <w:ilvl w:val="0"/>
          <w:numId w:val="2"/>
        </w:numPr>
        <w:spacing w:after="120"/>
      </w:pPr>
      <w:r>
        <w:rPr>
          <w:rFonts w:ascii="Calibri" w:cs="Calibri" w:eastAsia="Calibri" w:hAnsi="Calibri"/>
        </w:rPr>
        <w:t xml:space="preserve">A. Es la tendencia más popular del momento en la industria.</w:t>
      </w:r>
    </w:p>
    <w:p>
      <w:pPr>
        <w:pStyle w:val="ListParagraph"/>
        <w:numPr>
          <w:ilvl w:val="0"/>
          <w:numId w:val="2"/>
        </w:numPr>
        <w:spacing w:after="120"/>
      </w:pPr>
      <w:r>
        <w:rPr>
          <w:rFonts w:ascii="Calibri" w:cs="Calibri" w:eastAsia="Calibri" w:hAnsi="Calibri"/>
        </w:rPr>
        <w:t xml:space="preserve">B. El costo de mantenerlo en el monolito supera, con evidencia real, el costo operativo de distribuirlo. ✅</w:t>
      </w:r>
    </w:p>
    <w:p>
      <w:pPr>
        <w:pStyle w:val="ListParagraph"/>
        <w:numPr>
          <w:ilvl w:val="0"/>
          <w:numId w:val="2"/>
        </w:numPr>
        <w:spacing w:after="120"/>
      </w:pPr>
      <w:r>
        <w:rPr>
          <w:rFonts w:ascii="Calibri" w:cs="Calibri" w:eastAsia="Calibri" w:hAnsi="Calibri"/>
        </w:rPr>
        <w:t xml:space="preserve">C. El equipo quiere aprender una tecnología nueva.</w:t>
      </w:r>
    </w:p>
    <w:p>
      <w:pPr>
        <w:pStyle w:val="ListParagraph"/>
        <w:numPr>
          <w:ilvl w:val="0"/>
          <w:numId w:val="2"/>
        </w:numPr>
        <w:spacing w:after="120"/>
      </w:pPr>
      <w:r>
        <w:rPr>
          <w:rFonts w:ascii="Calibri" w:cs="Calibri" w:eastAsia="Calibri" w:hAnsi="Calibri"/>
        </w:rPr>
        <w:t xml:space="preserve">D. El profesor lo exige sin más justificación.</w:t>
      </w:r>
    </w:p>
    <w:p>
      <w:pPr>
        <w:pStyle w:val="Heading1"/>
        <w:pageBreakBefore/>
        <w:spacing w:after="160" w:before="0"/>
      </w:pPr>
      <w:r>
        <w:rPr>
          <w:rFonts w:ascii="Calibri" w:cs="Calibri" w:eastAsia="Calibri" w:hAnsi="Calibri"/>
          <w:b/>
          <w:bCs/>
        </w:rPr>
        <w:t xml:space="preserve">Ficha de Aplicación al Proyecto Integrador — FPI-21</w:t>
      </w:r>
    </w:p>
    <w:p>
      <w:pPr>
        <w:pStyle w:val="Heading2"/>
        <w:spacing w:after="160" w:before="300"/>
      </w:pPr>
      <w:r>
        <w:rPr>
          <w:rFonts w:ascii="Calibri" w:cs="Calibri" w:eastAsia="Calibri" w:hAnsi="Calibri"/>
          <w:b/>
          <w:bCs/>
        </w:rPr>
        <w:t xml:space="preserve">Mapa de Bounded Contexts y Decisión de Distribución del Proyecto Integrador</w:t>
      </w:r>
    </w:p>
    <w:p>
      <w:pPr>
        <w:spacing w:after="160"/>
      </w:pPr>
      <w:r>
        <w:rPr>
          <w:rFonts w:ascii="Calibri" w:cs="Calibri" w:eastAsia="Calibri" w:hAnsi="Calibri"/>
          <w:i/>
          <w:iCs/>
        </w:rPr>
        <w:t xml:space="preserve">Esta ficha continúa la FPI-20: analiza el monolito modular refactorizado e identifica sus límites de negocio antes de considerar cualquier distribución física.</w:t>
      </w:r>
    </w:p>
    <w:p>
      <w:pPr>
        <w:pStyle w:val="Heading3"/>
        <w:keepNext/>
        <w:spacing w:after="160" w:before="300"/>
      </w:pPr>
      <w:r>
        <w:rPr>
          <w:rFonts w:ascii="Calibri" w:cs="Calibri" w:eastAsia="Calibri" w:hAnsi="Calibri"/>
          <w:b/>
          <w:bCs/>
        </w:rPr>
        <w:t xml:space="preserve">A. Identificación de la ficha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Código de la ficha</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FPI-21</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Nombre del proyecto</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FitManage – Sistema Integrado para el Manejo y Gestión de Gimnasios</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Tema de la guía</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Distribución y acoplamiento: microservicios y Bounded Contexts</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Integrantes del equipo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Nombre completo</w:t>
            </w:r>
          </w:p>
        </w:tc>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Rol en el equipo</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Juan Sebastián Cárdenas Acevedo</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Proyecto individual. Me encargo del análisis, la arquitectura, el desarrollo, las pruebas y el repositorio.</w:t>
            </w:r>
          </w:p>
        </w:tc>
      </w:tr>
    </w:tbl>
    <w:p>
      <w:pPr>
        <w:spacing w:after="200"/>
      </w:pPr>
      <w:r>
        <w:rPr>
          <w:rFonts w:ascii="Calibri" w:cs="Calibri" w:eastAsia="Calibri" w:hAnsi="Calibri"/>
        </w:rPr>
        <w:t xml:space="preserve"/>
      </w:r>
    </w:p>
    <w:p>
      <w:pPr>
        <w:pStyle w:val="Heading3"/>
        <w:spacing w:after="160" w:before="300"/>
      </w:pPr>
      <w:r>
        <w:rPr>
          <w:rFonts w:ascii="Calibri" w:cs="Calibri" w:eastAsia="Calibri" w:hAnsi="Calibri"/>
          <w:b/>
          <w:bCs/>
        </w:rPr>
        <w:t xml:space="preserve">B. Recuperar y validar la FPI-20</w:t>
      </w:r>
    </w:p>
    <w:p>
      <w:pPr>
        <w:keepNext/>
        <w:spacing w:after="80"/>
      </w:pPr>
      <w:r>
        <w:rPr>
          <w:rFonts w:ascii="Calibri" w:cs="Calibri" w:eastAsia="Calibri" w:hAnsi="Calibri"/>
          <w:b/>
          <w:bCs/>
        </w:rPr>
        <w:t xml:space="preserve">Estructura refactorizada (recuperada de la FPI-20)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60"/>
            </w:pPr>
            <w:r>
              <w:rPr>
                <w:rFonts w:ascii="Calibri" w:cs="Calibri" w:eastAsia="Calibri" w:hAnsi="Calibri"/>
              </w:rPr>
              <w:t xml:space="preserve">Según el ADR N.° 04, FitManage es un monolito modular con núcleo hexagonal en los módulos que tocan dinero. Es una sola aplicación Django (ADR N.° 03) organizada así:</w:t>
            </w:r>
          </w:p>
          <w:p>
            <w:pPr>
              <w:pStyle w:val="ListParagraph"/>
              <w:numPr>
                <w:ilvl w:val="0"/>
                <w:numId w:val="2"/>
              </w:numPr>
              <w:spacing w:after="60"/>
            </w:pPr>
            <w:r>
              <w:rPr>
                <w:rFonts w:ascii="Consolas" w:cs="Consolas" w:eastAsia="Consolas" w:hAnsi="Consolas"/>
                <w:sz w:val="19"/>
                <w:szCs w:val="19"/>
              </w:rPr>
              <w:t xml:space="preserve">dominio/</w:t>
            </w:r>
            <w:r>
              <w:rPr>
                <w:rFonts w:ascii="Calibri" w:cs="Calibri" w:eastAsia="Calibri" w:hAnsi="Calibri"/>
              </w:rPr>
              <w:t xml:space="preserve">: entidades (</w:t>
            </w:r>
            <w:r>
              <w:rPr>
                <w:rFonts w:ascii="Consolas" w:cs="Consolas" w:eastAsia="Consolas" w:hAnsi="Consolas"/>
                <w:sz w:val="19"/>
                <w:szCs w:val="19"/>
              </w:rPr>
              <w:t xml:space="preserve">Socio</w:t>
            </w:r>
            <w:r>
              <w:rPr>
                <w:rFonts w:ascii="Calibri" w:cs="Calibri" w:eastAsia="Calibri" w:hAnsi="Calibri"/>
              </w:rPr>
              <w:t xml:space="preserve">, </w:t>
            </w:r>
            <w:r>
              <w:rPr>
                <w:rFonts w:ascii="Consolas" w:cs="Consolas" w:eastAsia="Consolas" w:hAnsi="Consolas"/>
                <w:sz w:val="19"/>
                <w:szCs w:val="19"/>
              </w:rPr>
              <w:t xml:space="preserve">Plan</w:t>
            </w:r>
            <w:r>
              <w:rPr>
                <w:rFonts w:ascii="Calibri" w:cs="Calibri" w:eastAsia="Calibri" w:hAnsi="Calibri"/>
              </w:rPr>
              <w:t xml:space="preserve">, </w:t>
            </w:r>
            <w:r>
              <w:rPr>
                <w:rFonts w:ascii="Consolas" w:cs="Consolas" w:eastAsia="Consolas" w:hAnsi="Consolas"/>
                <w:sz w:val="19"/>
                <w:szCs w:val="19"/>
              </w:rPr>
              <w:t xml:space="preserve">Pago</w:t>
            </w:r>
            <w:r>
              <w:rPr>
                <w:rFonts w:ascii="Calibri" w:cs="Calibri" w:eastAsia="Calibri" w:hAnsi="Calibri"/>
              </w:rPr>
              <w:t xml:space="preserve">, </w:t>
            </w:r>
            <w:r>
              <w:rPr>
                <w:rFonts w:ascii="Consolas" w:cs="Consolas" w:eastAsia="Consolas" w:hAnsi="Consolas"/>
                <w:sz w:val="19"/>
                <w:szCs w:val="19"/>
              </w:rPr>
              <w:t xml:space="preserve">Usuario</w:t>
            </w:r>
            <w:r>
              <w:rPr>
                <w:rFonts w:ascii="Calibri" w:cs="Calibri" w:eastAsia="Calibri" w:hAnsi="Calibri"/>
              </w:rPr>
              <w:t xml:space="preserve">), objetos de valor (</w:t>
            </w:r>
            <w:r>
              <w:rPr>
                <w:rFonts w:ascii="Consolas" w:cs="Consolas" w:eastAsia="Consolas" w:hAnsi="Consolas"/>
                <w:sz w:val="19"/>
                <w:szCs w:val="19"/>
              </w:rPr>
              <w:t xml:space="preserve">NumeroDocumento</w:t>
            </w:r>
            <w:r>
              <w:rPr>
                <w:rFonts w:ascii="Calibri" w:cs="Calibri" w:eastAsia="Calibri" w:hAnsi="Calibri"/>
              </w:rPr>
              <w:t xml:space="preserve">, </w:t>
            </w:r>
            <w:r>
              <w:rPr>
                <w:rFonts w:ascii="Consolas" w:cs="Consolas" w:eastAsia="Consolas" w:hAnsi="Consolas"/>
                <w:sz w:val="19"/>
                <w:szCs w:val="19"/>
              </w:rPr>
              <w:t xml:space="preserve">Telefono</w:t>
            </w:r>
            <w:r>
              <w:rPr>
                <w:rFonts w:ascii="Calibri" w:cs="Calibri" w:eastAsia="Calibri" w:hAnsi="Calibri"/>
              </w:rPr>
              <w:t xml:space="preserve">), </w:t>
            </w:r>
            <w:r>
              <w:rPr>
                <w:rFonts w:ascii="Consolas" w:cs="Consolas" w:eastAsia="Consolas" w:hAnsi="Consolas"/>
                <w:sz w:val="19"/>
                <w:szCs w:val="19"/>
              </w:rPr>
              <w:t xml:space="preserve">CalculadoraMembresia</w:t>
            </w:r>
            <w:r>
              <w:rPr>
                <w:rFonts w:ascii="Calibri" w:cs="Calibri" w:eastAsia="Calibri" w:hAnsi="Calibri"/>
              </w:rPr>
              <w:t xml:space="preserve">, errores del negocio y los puertos de salida.</w:t>
            </w:r>
          </w:p>
          <w:p>
            <w:pPr>
              <w:pStyle w:val="ListParagraph"/>
              <w:numPr>
                <w:ilvl w:val="0"/>
                <w:numId w:val="2"/>
              </w:numPr>
              <w:spacing w:after="60"/>
            </w:pPr>
            <w:r>
              <w:rPr>
                <w:rFonts w:ascii="Consolas" w:cs="Consolas" w:eastAsia="Consolas" w:hAnsi="Consolas"/>
                <w:sz w:val="19"/>
                <w:szCs w:val="19"/>
              </w:rPr>
              <w:t xml:space="preserve">aplicacion/pagos.py</w:t>
            </w:r>
            <w:r>
              <w:rPr>
                <w:rFonts w:ascii="Calibri" w:cs="Calibri" w:eastAsia="Calibri" w:hAnsi="Calibri"/>
              </w:rPr>
              <w:t xml:space="preserve">: los casos de uso </w:t>
            </w:r>
            <w:r>
              <w:rPr>
                <w:rFonts w:ascii="Consolas" w:cs="Consolas" w:eastAsia="Consolas" w:hAnsi="Consolas"/>
                <w:sz w:val="19"/>
                <w:szCs w:val="19"/>
              </w:rPr>
              <w:t xml:space="preserve">RegistroPagoService</w:t>
            </w:r>
            <w:r>
              <w:rPr>
                <w:rFonts w:ascii="Calibri" w:cs="Calibri" w:eastAsia="Calibri" w:hAnsi="Calibri"/>
              </w:rPr>
              <w:t xml:space="preserve"> y </w:t>
            </w:r>
            <w:r>
              <w:rPr>
                <w:rFonts w:ascii="Consolas" w:cs="Consolas" w:eastAsia="Consolas" w:hAnsi="Consolas"/>
                <w:sz w:val="19"/>
                <w:szCs w:val="19"/>
              </w:rPr>
              <w:t xml:space="preserve">AnulacionPagoService</w:t>
            </w:r>
            <w:r>
              <w:rPr>
                <w:rFonts w:ascii="Calibri" w:cs="Calibri" w:eastAsia="Calibri" w:hAnsi="Calibri"/>
              </w:rPr>
              <w:t xml:space="preserve">.</w:t>
            </w:r>
          </w:p>
          <w:p>
            <w:pPr>
              <w:pStyle w:val="ListParagraph"/>
              <w:numPr>
                <w:ilvl w:val="0"/>
                <w:numId w:val="2"/>
              </w:numPr>
              <w:spacing w:after="60"/>
            </w:pPr>
            <w:r>
              <w:rPr>
                <w:rFonts w:ascii="Consolas" w:cs="Consolas" w:eastAsia="Consolas" w:hAnsi="Consolas"/>
                <w:sz w:val="19"/>
                <w:szCs w:val="19"/>
              </w:rPr>
              <w:t xml:space="preserve">infraestructura/</w:t>
            </w:r>
            <w:r>
              <w:rPr>
                <w:rFonts w:ascii="Calibri" w:cs="Calibri" w:eastAsia="Calibri" w:hAnsi="Calibri"/>
              </w:rPr>
              <w:t xml:space="preserve">: </w:t>
            </w:r>
            <w:r>
              <w:rPr>
                <w:rFonts w:ascii="Consolas" w:cs="Consolas" w:eastAsia="Consolas" w:hAnsi="Consolas"/>
                <w:sz w:val="19"/>
                <w:szCs w:val="19"/>
              </w:rPr>
              <w:t xml:space="preserve">RelojBogota</w:t>
            </w:r>
            <w:r>
              <w:rPr>
                <w:rFonts w:ascii="Calibri" w:cs="Calibri" w:eastAsia="Calibri" w:hAnsi="Calibri"/>
              </w:rPr>
              <w:t xml:space="preserve"> y los adaptadores con Django ORM para socios, planes, pagos y usuarios, sobre PostgreSQL 16.</w:t>
            </w:r>
          </w:p>
          <w:p>
            <w:pPr>
              <w:pStyle w:val="ListParagraph"/>
              <w:numPr>
                <w:ilvl w:val="0"/>
                <w:numId w:val="2"/>
              </w:numPr>
              <w:spacing w:after="60"/>
            </w:pPr>
            <w:r>
              <w:rPr>
                <w:rFonts w:ascii="Consolas" w:cs="Consolas" w:eastAsia="Consolas" w:hAnsi="Consolas"/>
                <w:sz w:val="19"/>
                <w:szCs w:val="19"/>
              </w:rPr>
              <w:t xml:space="preserve">config/</w:t>
            </w:r>
            <w:r>
              <w:rPr>
                <w:rFonts w:ascii="Calibri" w:cs="Calibri" w:eastAsia="Calibri" w:hAnsi="Calibri"/>
              </w:rPr>
              <w:t xml:space="preserve">: la configuración de Django.</w:t>
            </w:r>
          </w:p>
          <w:p>
            <w:pPr>
              <w:spacing w:after="0"/>
            </w:pPr>
            <w:r>
              <w:rPr>
                <w:rFonts w:ascii="Calibri" w:cs="Calibri" w:eastAsia="Calibri" w:hAnsi="Calibri"/>
              </w:rPr>
              <w:t xml:space="preserve">El núcleo no importa Django ni la base de datos, y lo vigila una prueba de arquitectura. Las 70 pruebas del núcleo corren en 0,07 s, y la suite completa da 90 de 90 contra PostgreSQL.</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¿Algo cambió desde la ficha anterior?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50"/>
      </w:tblGrid>
      <w:tr>
        <w:trPr>
          <w:tblHeader/>
        </w:trPr>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Qué cambió</w:t>
            </w:r>
          </w:p>
        </w:tc>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Por qué cambió</w:t>
            </w:r>
          </w:p>
        </w:tc>
        <w:tc>
          <w:tcPr>
            <w:tcW w:type="dxa" w:w="35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Impacto en el proyecto</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Pagué DT-11 en el PR #2: el contexto Acceso del personal tiene su puerto </w:t>
            </w:r>
            <w:r>
              <w:rPr>
                <w:rFonts w:ascii="Consolas" w:cs="Consolas" w:eastAsia="Consolas" w:hAnsi="Consolas"/>
                <w:sz w:val="18"/>
                <w:szCs w:val="18"/>
              </w:rPr>
              <w:t xml:space="preserve">UsuarioRepositorio</w:t>
            </w:r>
            <w:r>
              <w:rPr>
                <w:rFonts w:ascii="Calibri" w:cs="Calibri" w:eastAsia="Calibri" w:hAnsi="Calibri"/>
                <w:sz w:val="19"/>
                <w:szCs w:val="19"/>
              </w:rPr>
              <w:t xml:space="preserve"> y su adaptador, y el repositorio de pagos ya no crea usuarios.</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Al trazar los contextos se notó que Membresías y cobros estaba escribiendo en la tabla de otro contexto.</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Cada contexto con código es dueño de sus tablas. Las pruebas subieron de 85 a 90 y la cobertura sigue en 100 %.</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Cambié el plan de DT-11: no usé todavía el usuario de Django, sino un repositorio propio.</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Lo importante para esta guía era separar responsabilidades; la autenticación con Django corresponde a la guía de seguridad.</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tabla </w:t>
            </w:r>
            <w:r>
              <w:rPr>
                <w:rFonts w:ascii="Consolas" w:cs="Consolas" w:eastAsia="Consolas" w:hAnsi="Consolas"/>
                <w:sz w:val="18"/>
                <w:szCs w:val="18"/>
              </w:rPr>
              <w:t xml:space="preserve">usuarios</w:t>
            </w:r>
            <w:r>
              <w:rPr>
                <w:rFonts w:ascii="Calibri" w:cs="Calibri" w:eastAsia="Calibri" w:hAnsi="Calibri"/>
                <w:sz w:val="19"/>
                <w:szCs w:val="19"/>
              </w:rPr>
              <w:t xml:space="preserve"> sigue siendo provisional, pero ya tiene un solo dueño, así que cambiarla después solo toca un adaptador.</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Registré DT-12: </w:t>
            </w:r>
            <w:r>
              <w:rPr>
                <w:rFonts w:ascii="Consolas" w:cs="Consolas" w:eastAsia="Consolas" w:hAnsi="Consolas"/>
                <w:sz w:val="18"/>
                <w:szCs w:val="18"/>
              </w:rPr>
              <w:t xml:space="preserve">Pago</w:t>
            </w:r>
            <w:r>
              <w:rPr>
                <w:rFonts w:ascii="Calibri" w:cs="Calibri" w:eastAsia="Calibri" w:hAnsi="Calibri"/>
                <w:sz w:val="19"/>
                <w:szCs w:val="19"/>
              </w:rPr>
              <w:t xml:space="preserve"> guarda el </w:t>
            </w:r>
            <w:r>
              <w:rPr>
                <w:rFonts w:ascii="Consolas" w:cs="Consolas" w:eastAsia="Consolas" w:hAnsi="Consolas"/>
                <w:sz w:val="18"/>
                <w:szCs w:val="18"/>
              </w:rPr>
              <w:t xml:space="preserve">Socio</w:t>
            </w:r>
            <w:r>
              <w:rPr>
                <w:rFonts w:ascii="Calibri" w:cs="Calibri" w:eastAsia="Calibri" w:hAnsi="Calibri"/>
                <w:sz w:val="19"/>
                <w:szCs w:val="19"/>
              </w:rPr>
              <w:t xml:space="preserve"> y el </w:t>
            </w:r>
            <w:r>
              <w:rPr>
                <w:rFonts w:ascii="Consolas" w:cs="Consolas" w:eastAsia="Consolas" w:hAnsi="Consolas"/>
                <w:sz w:val="18"/>
                <w:szCs w:val="18"/>
              </w:rPr>
              <w:t xml:space="preserve">Usuario</w:t>
            </w:r>
            <w:r>
              <w:rPr>
                <w:rFonts w:ascii="Calibri" w:cs="Calibri" w:eastAsia="Calibri" w:hAnsi="Calibri"/>
                <w:sz w:val="19"/>
                <w:szCs w:val="19"/>
              </w:rPr>
              <w:t xml:space="preserve"> completos.</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Lo encontré al dibujar el mapa de contextos: es una referencia que cruza fronteras.</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No afecta mientras todo siga en el monolito; solo habría que pagarla si se revisa el ADR N.° 05.</w:t>
            </w:r>
          </w:p>
        </w:tc>
      </w:tr>
    </w:tbl>
    <w:p>
      <w:pPr>
        <w:spacing w:after="160"/>
      </w:pPr>
      <w:r>
        <w:rPr>
          <w:rFonts w:ascii="Calibri" w:cs="Calibri" w:eastAsia="Calibri" w:hAnsi="Calibri"/>
          <w:i/>
          <w:iCs/>
        </w:rPr>
        <w:t xml:space="preserve">Si nada cambió, escribe "Sin cambios" en la primera fila y deja la tabla así.</w:t>
      </w:r>
    </w:p>
    <w:p>
      <w:pPr>
        <w:spacing w:after="160"/>
      </w:pPr>
      <w:r>
        <w:rPr>
          <w:rFonts w:ascii="Calibri" w:cs="Calibri" w:eastAsia="Calibri" w:hAnsi="Calibri"/>
        </w:rPr>
        <w:t xml:space="preserve"/>
      </w:r>
    </w:p>
    <w:p>
      <w:pPr>
        <w:pStyle w:val="Heading3"/>
        <w:spacing w:after="160" w:before="300"/>
      </w:pPr>
      <w:r>
        <w:rPr>
          <w:rFonts w:ascii="Calibri" w:cs="Calibri" w:eastAsia="Calibri" w:hAnsi="Calibri"/>
          <w:b/>
          <w:bCs/>
        </w:rPr>
        <w:t xml:space="preserve">C. Aplicación específica — Distribución</w:t>
      </w:r>
    </w:p>
    <w:p>
      <w:pPr>
        <w:spacing w:after="80"/>
      </w:pPr>
      <w:r>
        <w:rPr>
          <w:rFonts w:ascii="Calibri" w:cs="Calibri" w:eastAsia="Calibri" w:hAnsi="Calibri"/>
          <w:b/>
          <w:bCs/>
        </w:rPr>
        <w:t xml:space="preserve">1. Diagrama de Bounded Contexts (Context Map)</w:t>
      </w:r>
    </w:p>
    <w:p>
      <w:pPr>
        <w:spacing w:after="120"/>
        <w:jc w:val="center"/>
      </w:pPr>
      <w:r>
        <w:drawing>
          <wp:inline xmlns:a="http://schemas.openxmlformats.org/drawingml/2006/main" xmlns:pic="http://schemas.openxmlformats.org/drawingml/2006/picture" distT="0" distB="0" distL="0" distR="0">
            <wp:extent cx="5760720" cy="2234000"/>
            <wp:docPr id="12" name="Mapa de contextos de FitManage"/>
            <a:graphic>
              <a:graphicData uri="http://schemas.openxmlformats.org/drawingml/2006/picture">
                <pic:pic>
                  <pic:nvPicPr>
                    <pic:cNvPr id="12" name="Mapa de contextos de FitManage.png"/>
                    <pic:cNvPicPr/>
                  </pic:nvPicPr>
                  <pic:blipFill>
                    <a:blip r:embed="rIdMapaContextos"/>
                    <a:stretch>
                      <a:fillRect/>
                    </a:stretch>
                  </pic:blipFill>
                  <pic:spPr>
                    <a:xfrm>
                      <a:off x="0" y="0"/>
                      <a:ext cx="5760720" cy="2234000"/>
                    </a:xfrm>
                    <a:prstGeom prst="rect">
                      <a:avLst/>
                    </a:prstGeom>
                  </pic:spPr>
                </pic:pic>
              </a:graphicData>
            </a:graphic>
          </wp:inline>
        </w:drawing>
      </w:r>
    </w:p>
    <w:p>
      <w:pPr>
        <w:spacing w:after="0"/>
      </w:pPr>
      <w:r>
        <w:rPr>
          <w:rFonts w:ascii="Calibri" w:cs="Calibri" w:eastAsia="Calibri" w:hAnsi="Calibri"/>
          <w:sz w:val="19"/>
          <w:szCs w:val="19"/>
        </w:rPr>
        <w:t xml:space="preserve">Siete contextos: Acceso del personal, Socios y Membresías y cobros (el núcleo) ya existen en el código; Recepción, Reportes, Auditoría y Recordatorios están diseñados. Las relaciones son cliente-proveedor (C/P) de Socios hacia Membresías, conformista (CF) de Membresías con los roles de Acceso, servicio abierto (OHS) de Membresías hacia Recepción con </w:t>
      </w:r>
      <w:r>
        <w:rPr>
          <w:rFonts w:ascii="Consolas" w:cs="Consolas" w:eastAsia="Consolas" w:hAnsi="Consolas"/>
          <w:sz w:val="18"/>
          <w:szCs w:val="18"/>
        </w:rPr>
        <w:t xml:space="preserve">/api/v1/estados/</w:t>
      </w:r>
      <w:r>
        <w:rPr>
          <w:rFonts w:ascii="Calibri" w:cs="Calibri" w:eastAsia="Calibri" w:hAnsi="Calibri"/>
          <w:sz w:val="19"/>
          <w:szCs w:val="19"/>
        </w:rPr>
        <w:t xml:space="preserve">, modelo de lectura hacia Reportes, y eventos de dominio (líneas punteadas) hacia Auditoría. El código Mermaid está en </w:t>
      </w:r>
      <w:r>
        <w:rPr>
          <w:rFonts w:ascii="Consolas" w:cs="Consolas" w:eastAsia="Consolas" w:hAnsi="Consolas"/>
          <w:sz w:val="18"/>
          <w:szCs w:val="18"/>
        </w:rPr>
        <w:t xml:space="preserve">docs/arquitectura/contextos.mmd</w:t>
      </w:r>
      <w:r>
        <w:rPr>
          <w:rFonts w:ascii="Calibri" w:cs="Calibri" w:eastAsia="Calibri" w:hAnsi="Calibri"/>
          <w:sz w:val="19"/>
          <w:szCs w:val="19"/>
        </w:rPr>
        <w:t xml:space="preserve">.</w:t>
      </w:r>
    </w:p>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2. Tabla de decisiones de distribución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50"/>
      </w:tblGrid>
      <w:tr>
        <w:trPr>
          <w:tblHeader/>
        </w:trPr>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Módulo de dominio</w:t>
            </w:r>
          </w:p>
        </w:tc>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¿Sigue en el monolito? (Sí/No)</w:t>
            </w:r>
          </w:p>
        </w:tc>
        <w:tc>
          <w:tcPr>
            <w:tcW w:type="dxa" w:w="35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Atributo de calidad que lo justifica</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Membresías y cobros</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Fiabilidad (QA-03 y QA-05): el pago, su usuario y su auditoría se guardan en una sola transacción ACID, y el índice único de la base es lo que detuvo los 100 de 100 duplicados.</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Socios</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Integridad: el documento único (RN-01) y la llave foránea desde pagos se cumplen en la misma base; separarlo obligaría a validar socios por la red en cada pago.</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Acceso del personal</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Seguridad (QA-04): la autorización por rol se revisa en el mismo proceso, sin tokens viajando entre servicios.</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Recepción</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 (el servidor). La caché de solo lectura sí vive en el navegador.</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Disponibilidad (QA-02): la copia en el navegador es la única distribución justificada, porque cubre la caída del internet. Un servicio aparte en la nube no ayudaría cuando no hay internet.</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Reportes</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Costo: lo usa una persona, el dueño, unas pocas veces por semana; una base replicada costaría más que el beneficio, y hoy no le quita velocidad a la recepción (QA-01).</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Auditoría</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Fiabilidad: el evento debe guardarse en la misma transacción que la acción; con consistencia eventual se podrían perder anulaciones sin rastro.</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Recordatorios</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Costo y simplicidad: solo genera un enlace wa.me; no tiene carga ni dependencia externa que justifique separarlo.</w:t>
            </w:r>
          </w:p>
        </w:tc>
      </w:tr>
    </w:tbl>
    <w:p>
      <w:pPr>
        <w:spacing w:after="200"/>
      </w:pPr>
      <w:r>
        <w:rPr>
          <w:rFonts w:ascii="Calibri" w:cs="Calibri" w:eastAsia="Calibri" w:hAnsi="Calibri"/>
        </w:rPr>
        <w:t xml:space="preserve"/>
      </w:r>
    </w:p>
    <w:p>
      <w:pPr>
        <w:keepNext/>
        <w:spacing w:after="80"/>
      </w:pPr>
      <w:r>
        <w:rPr>
          <w:rFonts w:ascii="Calibri" w:cs="Calibri" w:eastAsia="Calibri" w:hAnsi="Calibri"/>
          <w:b/>
          <w:bCs/>
        </w:rPr>
        <w:t xml:space="preserve">Registro de Decisión Arquitectónica — ADR N.° 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Título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ADR N.° 05 · Ningún contexto se distribuye: todo sigue en el monolito modular, con límites lógicos</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Estado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Aceptado (30/10/2026)</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Contexto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mapa identifica 7 contextos. La pregunta es si alguno justifica separarse con su propia base de datos. Las fuerzas en juego: el driver número uno exige guardar un pago con su usuario, su socio y su auditoría en una sola transacción (QA-05); el internet de la recepción es inestable (R-03); el costo debe ser cero (R-01); y desarrollo solo. Alternativas: A, todo en el monolito; B, separar Reportes con una base replicada; C, separar los 4 contextos con lógica propia como funciones serverless con una base cada uno.</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Decisión</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Se mantiene A. Ningún contexto se distribuye. Los límites se respetan dentro del código (cada contexto es dueño de sus tablas y de su puerto), y la única copia distribuida de datos es la caché de solo lectura del navegador en Recepción.</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Consecuencias (positivas y negativas)</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A favor: se conservan las transacciones ACID y las llaves foráneas que sostienen QA-05; no hay latencia ni fallos parciales entre contextos; el costo sigue en 0 USD.</w:t>
            </w:r>
          </w:p>
          <w:p>
            <w:pPr>
              <w:spacing w:after="60"/>
            </w:pPr>
            <w:r>
              <w:rPr>
                <w:rFonts w:ascii="Calibri" w:cs="Calibri" w:eastAsia="Calibri" w:hAnsi="Calibri"/>
                <w:sz w:val="19"/>
                <w:szCs w:val="19"/>
              </w:rPr>
              <w:t xml:space="preserve">En contra: todo se despliega y escala junto, y un error grave en un módulo detiene toda la aplicación; lo mitigan el flujo </w:t>
            </w:r>
            <w:r>
              <w:rPr>
                <w:rFonts w:ascii="Consolas" w:cs="Consolas" w:eastAsia="Consolas" w:hAnsi="Consolas"/>
                <w:sz w:val="18"/>
                <w:szCs w:val="18"/>
              </w:rPr>
              <w:t xml:space="preserve">Calidad</w:t>
            </w:r>
            <w:r>
              <w:rPr>
                <w:rFonts w:ascii="Calibri" w:cs="Calibri" w:eastAsia="Calibri" w:hAnsi="Calibri"/>
                <w:sz w:val="19"/>
                <w:szCs w:val="19"/>
              </w:rPr>
              <w:t xml:space="preserve"> y los respaldos diarios (RNF-07). Si algún día se separa un contexto, habrá que pagar DT-12.</w:t>
            </w:r>
          </w:p>
          <w:p>
            <w:pPr>
              <w:spacing w:after="0"/>
            </w:pPr>
            <w:r>
              <w:rPr>
                <w:rFonts w:ascii="Calibri" w:cs="Calibri" w:eastAsia="Calibri" w:hAnsi="Calibri"/>
                <w:sz w:val="19"/>
                <w:szCs w:val="19"/>
              </w:rPr>
              <w:t xml:space="preserve">Se revisará si FitManage llega a varias sedes con bases independientes, si Reportes empieza a frenar la consulta de recepción o si otro equipo se hace cargo de un contexto.</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Análisis de costo operativo local</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C costaría unos 94,08 USD al mes (≈ COP 299.655 con la TRM del 23/10/2026): 4 bases RDS db.t4g.micro con 20 GB (55,92), NAT Gateway (32,89), IPv4 pública (3,65), Secrets Manager (1,60), y API Gateway y Lambda casi en 0. El cálculo está en </w:t>
            </w:r>
            <w:r>
              <w:rPr>
                <w:rFonts w:ascii="Consolas" w:cs="Consolas" w:eastAsia="Consolas" w:hAnsi="Consolas"/>
                <w:sz w:val="18"/>
                <w:szCs w:val="18"/>
              </w:rPr>
              <w:t xml:space="preserve">docs/guia-05-sw2/costos.py</w:t>
            </w:r>
            <w:r>
              <w:rPr>
                <w:rFonts w:ascii="Calibri" w:cs="Calibri" w:eastAsia="Calibri" w:hAnsi="Calibri"/>
                <w:sz w:val="19"/>
                <w:szCs w:val="19"/>
              </w:rPr>
              <w:t xml:space="preserve">.</w:t>
            </w:r>
          </w:p>
          <w:p>
            <w:pPr>
              <w:spacing w:after="0"/>
            </w:pPr>
            <w:r>
              <w:rPr>
                <w:rFonts w:ascii="Calibri" w:cs="Calibri" w:eastAsia="Calibri" w:hAnsi="Calibri"/>
                <w:sz w:val="19"/>
                <w:szCs w:val="19"/>
              </w:rPr>
              <w:t xml:space="preserve">Para una MiPyme que vende 500 USD al mes con un margen supuesto del 20 % (100 USD), eso es el 18,8 % de las ventas y el 94 % del margen. B costaría al menos una base más para un reporte que usa una persona. A cuesta 0 USD en la capa gratuita del PaaS.</w:t>
            </w:r>
          </w:p>
        </w:tc>
      </w:tr>
    </w:tbl>
    <w:p>
      <w:pPr>
        <w:spacing w:after="200"/>
      </w:pPr>
      <w:r>
        <w:rPr>
          <w:rFonts w:ascii="Calibri" w:cs="Calibri" w:eastAsia="Calibri" w:hAnsi="Calibri"/>
        </w:rPr>
        <w:t xml:space="preserve"/>
      </w:r>
    </w:p>
    <w:p>
      <w:pPr>
        <w:pStyle w:val="Heading3"/>
        <w:spacing w:after="160" w:before="300"/>
      </w:pPr>
      <w:r>
        <w:rPr>
          <w:rFonts w:ascii="Calibri" w:cs="Calibri" w:eastAsia="Calibri" w:hAnsi="Calibri"/>
          <w:b/>
          <w:bCs/>
        </w:rPr>
        <w:t xml:space="preserve">D. Reflexión y trazabilidad</w:t>
      </w:r>
    </w:p>
    <w:p>
      <w:pPr>
        <w:keepNext/>
        <w:spacing w:after="80"/>
      </w:pPr>
      <w:r>
        <w:rPr>
          <w:rFonts w:ascii="Calibri" w:cs="Calibri" w:eastAsia="Calibri" w:hAnsi="Calibri"/>
          <w:b/>
          <w:bCs/>
        </w:rPr>
        <w:t xml:space="preserve">¿Qué aprendimos?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Aprendí que distribuir es una decisión que se paga todos los meses, y no una mejora de diseño. La primera ley de Fowler, «no distribuyas tus objetos», me pareció exagerada hasta que hice las cuentas: casi todo el costo de la versión distribuida de FitManage es infraestructura que queda encendida aunque nadie la use. También entendí para qué sirven los Bounded Contexts aunque no se separe nada. Al dibujar el mapa encontré dos cosas que no había visto: el repositorio de pagos escribía en la tabla de usuarios de otro contexto (lo corregí en el PR #2) y </w:t>
            </w:r>
            <w:r>
              <w:rPr>
                <w:rFonts w:ascii="Consolas" w:cs="Consolas" w:eastAsia="Consolas" w:hAnsi="Consolas"/>
                <w:sz w:val="19"/>
                <w:szCs w:val="19"/>
              </w:rPr>
              <w:t xml:space="preserve">Pago</w:t>
            </w:r>
            <w:r>
              <w:rPr>
                <w:rFonts w:ascii="Calibri" w:cs="Calibri" w:eastAsia="Calibri" w:hAnsi="Calibri"/>
              </w:rPr>
              <w:t xml:space="preserve"> guarda objetos completos de otros contextos (DT-12). Las fronteras sirven para ordenar el monolito hoy y para dejar el camino listo si algún día de verdad hay que partirlo.</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¿Cómo se aplica al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Decidí no distribuir ningún módulo. Todos siguen en el monolito modular porque el driver más importante, que un pago nunca se duplique ni se pierda, depende de la transacción ACID y del índice único de PostgreSQL, y eso se rompe con una base por servicio. La única excepción es la caché de solo lectura del navegador en Recepción, que es una copia de datos fuera del servidor y está justificada por la disponibilidad cuando se cae el internet. En cambio, sí apliqué los límites dentro del código: Acceso del personal ahora es dueño de sus usuarios, y cada tabla tiene un solo contexto que escribe en ella.</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Decisiones tomadas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Decisión</w:t>
            </w:r>
          </w:p>
        </w:tc>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Justificación</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No distribuir ningún contexto (ADR N.° 05).</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Distribuir costaría el 94 % del margen supuesto de la MiPyme y rompería la transacción que protege los pagos.</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Dar a cada contexto la propiedad exclusiva de sus tablas, empezando por Acceso del personal (PR #2, paga DT-11).</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Separar la propiedad de los datos es la parte útil de los Bounded Contexts, y no cuesta nada dentro del monolito.</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Registrar DT-12 en lugar de cambiar ya </w:t>
            </w:r>
            <w:r>
              <w:rPr>
                <w:rFonts w:ascii="Consolas" w:cs="Consolas" w:eastAsia="Consolas" w:hAnsi="Consolas"/>
                <w:sz w:val="18"/>
                <w:szCs w:val="18"/>
              </w:rPr>
              <w:t xml:space="preserve">Pago</w:t>
            </w:r>
            <w:r>
              <w:rPr>
                <w:rFonts w:ascii="Calibri" w:cs="Calibri" w:eastAsia="Calibri" w:hAnsi="Calibri"/>
                <w:sz w:val="19"/>
                <w:szCs w:val="19"/>
              </w:rPr>
              <w:t xml:space="preserve"> para que guarde solo identificadores.</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Hoy no hay ningún beneficio en hacerlo y tocaría todo el núcleo; solo se paga si se revisa el ADR N.° 05.</w:t>
            </w:r>
          </w:p>
        </w:tc>
      </w:tr>
    </w:tbl>
    <w:p>
      <w:pPr>
        <w:spacing w:after="200"/>
      </w:pPr>
      <w:r>
        <w:rPr>
          <w:rFonts w:ascii="Calibri" w:cs="Calibri" w:eastAsia="Calibri" w:hAnsi="Calibri"/>
        </w:rPr>
        <w:t xml:space="preserve"/>
      </w:r>
    </w:p>
    <w:p>
      <w:pPr>
        <w:spacing w:after="80"/>
      </w:pPr>
      <w:r>
        <w:rPr>
          <w:rFonts w:ascii="Calibri" w:cs="Calibri" w:eastAsia="Calibri" w:hAnsi="Calibri"/>
          <w:b/>
          <w:bCs/>
        </w:rPr>
        <w:t xml:space="preserve">Evidencia generada</w:t>
      </w:r>
    </w:p>
    <w:p>
      <w:pPr>
        <w:spacing w:after="80"/>
      </w:pPr>
      <w:r>
        <w:rPr>
          <w:rFonts w:ascii="Calibri" w:cs="Calibri" w:eastAsia="Calibri" w:hAnsi="Calibri"/>
        </w:rPr>
        <w:t xml:space="preserve">☑  Diagrama de Bounded Contexts.</w:t>
      </w:r>
    </w:p>
    <w:p>
      <w:pPr>
        <w:spacing w:after="80"/>
      </w:pPr>
      <w:r>
        <w:rPr>
          <w:rFonts w:ascii="Calibri" w:cs="Calibri" w:eastAsia="Calibri" w:hAnsi="Calibri"/>
        </w:rPr>
        <w:t xml:space="preserve">☑  Tabla de decisiones de distribución.</w:t>
      </w:r>
    </w:p>
    <w:p>
      <w:pPr>
        <w:spacing w:after="80"/>
      </w:pPr>
      <w:r>
        <w:rPr>
          <w:rFonts w:ascii="Calibri" w:cs="Calibri" w:eastAsia="Calibri" w:hAnsi="Calibri"/>
        </w:rPr>
        <w:t xml:space="preserve">☑  ADR N.° 05 registrado.</w:t>
      </w:r>
    </w:p>
    <w:p>
      <w:pPr>
        <w:spacing w:after="80"/>
      </w:pPr>
      <w:r>
        <w:rPr>
          <w:rFonts w:ascii="Calibri" w:cs="Calibri" w:eastAsia="Calibri" w:hAnsi="Calibri"/>
        </w:rPr>
        <w:t xml:space="preserve">☑  Otra evidencia: en https://github.com/GAMERO29/FitManage, </w:t>
      </w:r>
      <w:r>
        <w:rPr>
          <w:rFonts w:ascii="Consolas" w:cs="Consolas" w:eastAsia="Consolas" w:hAnsi="Consolas"/>
          <w:sz w:val="19"/>
          <w:szCs w:val="19"/>
        </w:rPr>
        <w:t xml:space="preserve">docs/arquitectura/contextos.md</w:t>
      </w:r>
      <w:r>
        <w:rPr>
          <w:rFonts w:ascii="Calibri" w:cs="Calibri" w:eastAsia="Calibri" w:hAnsi="Calibri"/>
        </w:rPr>
        <w:t xml:space="preserve"> (mapa, relaciones y fronteras), </w:t>
      </w:r>
      <w:r>
        <w:rPr>
          <w:rFonts w:ascii="Consolas" w:cs="Consolas" w:eastAsia="Consolas" w:hAnsi="Consolas"/>
          <w:sz w:val="19"/>
          <w:szCs w:val="19"/>
        </w:rPr>
        <w:t xml:space="preserve">docs/guia-05-sw2/costos.py</w:t>
      </w:r>
      <w:r>
        <w:rPr>
          <w:rFonts w:ascii="Calibri" w:cs="Calibri" w:eastAsia="Calibri" w:hAnsi="Calibri"/>
        </w:rPr>
        <w:t xml:space="preserve"> y </w:t>
      </w:r>
      <w:r>
        <w:rPr>
          <w:rFonts w:ascii="Consolas" w:cs="Consolas" w:eastAsia="Consolas" w:hAnsi="Consolas"/>
          <w:sz w:val="19"/>
          <w:szCs w:val="19"/>
        </w:rPr>
        <w:t xml:space="preserve">costos.md</w:t>
      </w:r>
      <w:r>
        <w:rPr>
          <w:rFonts w:ascii="Calibri" w:cs="Calibri" w:eastAsia="Calibri" w:hAnsi="Calibri"/>
        </w:rPr>
        <w:t xml:space="preserve"> (cálculo con fuentes), </w:t>
      </w:r>
      <w:r>
        <w:rPr>
          <w:rFonts w:ascii="Consolas" w:cs="Consolas" w:eastAsia="Consolas" w:hAnsi="Consolas"/>
          <w:sz w:val="19"/>
          <w:szCs w:val="19"/>
        </w:rPr>
        <w:t xml:space="preserve">docs/adr/ADR-005-distribucion.md</w:t>
      </w:r>
      <w:r>
        <w:rPr>
          <w:rFonts w:ascii="Calibri" w:cs="Calibri" w:eastAsia="Calibri" w:hAnsi="Calibri"/>
        </w:rPr>
        <w:t xml:space="preserve">, el PR #2 que paga DT-11 y </w:t>
      </w:r>
      <w:r>
        <w:rPr>
          <w:rFonts w:ascii="Consolas" w:cs="Consolas" w:eastAsia="Consolas" w:hAnsi="Consolas"/>
          <w:sz w:val="19"/>
          <w:szCs w:val="19"/>
        </w:rPr>
        <w:t xml:space="preserve">docs/guia-05-sw2/ejercicio-ia/</w:t>
      </w:r>
      <w:r>
        <w:rPr>
          <w:rFonts w:ascii="Calibri" w:cs="Calibri" w:eastAsia="Calibri" w:hAnsi="Calibri"/>
        </w:rPr>
        <w:t xml:space="preserve">.</w:t>
      </w:r>
    </w:p>
    <w:p>
      <w:pPr>
        <w:spacing w:after="120"/>
      </w:pPr>
      <w:r>
        <w:rPr>
          <w:rFonts w:ascii="Calibri" w:cs="Calibri" w:eastAsia="Calibri" w:hAnsi="Calibri"/>
        </w:rPr>
        <w:t xml:space="preserve"/>
      </w:r>
    </w:p>
    <w:p>
      <w:pPr>
        <w:keepNext/>
        <w:spacing w:after="80"/>
      </w:pPr>
      <w:r>
        <w:rPr>
          <w:rFonts w:ascii="Calibri" w:cs="Calibri" w:eastAsia="Calibri" w:hAnsi="Calibri"/>
          <w:b/>
          <w:bCs/>
        </w:rPr>
        <w:t xml:space="preserve">Dificultades o ajustes identificados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El más difícil de delimitar fue Recepción. Al principio lo puse dentro de Membresías y cobros, porque la consulta de estado usa la misma </w:t>
            </w:r>
            <w:r>
              <w:rPr>
                <w:rFonts w:ascii="Consolas" w:cs="Consolas" w:eastAsia="Consolas" w:hAnsi="Consolas"/>
                <w:sz w:val="19"/>
                <w:szCs w:val="19"/>
              </w:rPr>
              <w:t xml:space="preserve">CalculadoraMembresia</w:t>
            </w:r>
            <w:r>
              <w:rPr>
                <w:rFonts w:ascii="Calibri" w:cs="Calibri" w:eastAsia="Calibri" w:hAnsi="Calibri"/>
              </w:rPr>
              <w:t xml:space="preserve">. Pero tiene un lenguaje propio (caché, sincronización, «datos desactualizados»), un usuario distinto, la recepcionista, y un requisito que ningún otro contexto tiene: seguir funcionando sin internet. Por eso lo separé como un contexto que consume a Membresías por un servicio abierto, el endpoint de estados, y no comparte su modelo. También dudé con Auditoría, porque recibe eventos de casi todos; la dejé como contexto propio que solo escucha, sin que nadie dependa de ella para funcionar.</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Próximo paso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pStyle w:val="ListParagraph"/>
              <w:numPr>
                <w:ilvl w:val="0"/>
                <w:numId w:val="2"/>
              </w:numPr>
              <w:spacing w:after="60"/>
            </w:pPr>
            <w:r>
              <w:rPr>
                <w:rFonts w:ascii="Calibri" w:cs="Calibri" w:eastAsia="Calibri" w:hAnsi="Calibri"/>
              </w:rPr>
              <w:t xml:space="preserve">Diseñar en OpenAPI el contrato de </w:t>
            </w:r>
            <w:r>
              <w:rPr>
                <w:rFonts w:ascii="Consolas" w:cs="Consolas" w:eastAsia="Consolas" w:hAnsi="Consolas"/>
                <w:sz w:val="19"/>
                <w:szCs w:val="19"/>
              </w:rPr>
              <w:t xml:space="preserve">/api/v1/estados/</w:t>
            </w:r>
            <w:r>
              <w:rPr>
                <w:rFonts w:ascii="Calibri" w:cs="Calibri" w:eastAsia="Calibri" w:hAnsi="Calibri"/>
              </w:rPr>
              <w:t xml:space="preserve"> (Membresías → Recepción) y de las operaciones de pagos, que son las fronteras más usadas del mapa (siguiente guía).</w:t>
            </w:r>
          </w:p>
          <w:p>
            <w:pPr>
              <w:pStyle w:val="ListParagraph"/>
              <w:numPr>
                <w:ilvl w:val="0"/>
                <w:numId w:val="2"/>
              </w:numPr>
              <w:spacing w:after="60"/>
            </w:pPr>
            <w:r>
              <w:rPr>
                <w:rFonts w:ascii="Calibri" w:cs="Calibri" w:eastAsia="Calibri" w:hAnsi="Calibri"/>
              </w:rPr>
              <w:t xml:space="preserve">Empezar el contexto Recepción con las vistas de consulta y su caché sin conexión, para poder medir QA-01 y QA-02.</w:t>
            </w:r>
          </w:p>
          <w:p>
            <w:pPr>
              <w:pStyle w:val="ListParagraph"/>
              <w:numPr>
                <w:ilvl w:val="0"/>
                <w:numId w:val="2"/>
              </w:numPr>
              <w:spacing w:after="0"/>
            </w:pPr>
            <w:r>
              <w:rPr>
                <w:rFonts w:ascii="Calibri" w:cs="Calibri" w:eastAsia="Calibri" w:hAnsi="Calibri"/>
              </w:rPr>
              <w:t xml:space="preserve">Agregar los eventos de dominio </w:t>
            </w:r>
            <w:r>
              <w:rPr>
                <w:rFonts w:ascii="Consolas" w:cs="Consolas" w:eastAsia="Consolas" w:hAnsi="Consolas"/>
                <w:sz w:val="19"/>
                <w:szCs w:val="19"/>
              </w:rPr>
              <w:t xml:space="preserve">PagoRegistrado</w:t>
            </w:r>
            <w:r>
              <w:rPr>
                <w:rFonts w:ascii="Calibri" w:cs="Calibri" w:eastAsia="Calibri" w:hAnsi="Calibri"/>
              </w:rPr>
              <w:t xml:space="preserve"> y </w:t>
            </w:r>
            <w:r>
              <w:rPr>
                <w:rFonts w:ascii="Consolas" w:cs="Consolas" w:eastAsia="Consolas" w:hAnsi="Consolas"/>
                <w:sz w:val="19"/>
                <w:szCs w:val="19"/>
              </w:rPr>
              <w:t xml:space="preserve">PagoAnulado</w:t>
            </w:r>
            <w:r>
              <w:rPr>
                <w:rFonts w:ascii="Calibri" w:cs="Calibri" w:eastAsia="Calibri" w:hAnsi="Calibri"/>
              </w:rPr>
              <w:t xml:space="preserve"> cuando se construya Auditoría, guardados en la misma transacción.</w:t>
            </w:r>
          </w:p>
        </w:tc>
      </w:tr>
    </w:tbl>
    <w:p>
      <w:pPr>
        <w:spacing w:after="160"/>
      </w:pPr>
      <w:r>
        <w:rPr>
          <w:rFonts w:ascii="Calibri" w:cs="Calibri" w:eastAsia="Calibri" w:hAnsi="Calibri"/>
        </w:rPr>
        <w:t xml:space="preserve"/>
      </w:r>
    </w:p>
    <w:p>
      <w:pPr>
        <w:pStyle w:val="Heading3"/>
        <w:spacing w:after="160" w:before="300"/>
      </w:pPr>
      <w:r>
        <w:rPr>
          <w:rFonts w:ascii="Calibri" w:cs="Calibri" w:eastAsia="Calibri" w:hAnsi="Calibri"/>
          <w:b/>
          <w:bCs/>
        </w:rPr>
        <w:t xml:space="preserve">Conexión con la siguiente guía</w:t>
      </w:r>
    </w:p>
    <w:p>
      <w:pPr>
        <w:spacing w:after="160"/>
      </w:pPr>
      <w:r>
        <w:rPr>
          <w:rFonts w:ascii="Calibri" w:cs="Calibri" w:eastAsia="Calibri" w:hAnsi="Calibri"/>
        </w:rPr>
        <w:t xml:space="preserve">Los límites de contexto delimitados aquí definen las fronteras de tus futuras APIs: en la siguiente guía diseñarás el contrato formal (OpenAPI) de las interfaces entre estos contextos, sea que permanezcan en el monolito o eventualmente se distribuyan.</w:t>
      </w:r>
    </w:p>
    <w:p>
      <w:pPr>
        <w:pStyle w:val="Heading1"/>
        <w:keepNext/>
        <w:spacing w:after="160" w:before="300"/>
      </w:pPr>
      <w:r>
        <w:rPr>
          <w:rFonts w:ascii="Calibri" w:cs="Calibri" w:eastAsia="Calibri" w:hAnsi="Calibri"/>
          <w:b/>
          <w:bCs/>
        </w:rPr>
        <w:t xml:space="preserve">Rúbrica de evaluación (escala 1 a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390"/>
        <w:gridCol w:w="1390"/>
        <w:gridCol w:w="1390"/>
        <w:gridCol w:w="1390"/>
        <w:gridCol w:w="1390"/>
      </w:tblGrid>
      <w:t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Criterio (peso)</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1</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2–3</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3</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4</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5</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Comprensión conceptual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Confunde monolito con distribución sin criterio</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Comprende conceptos básicos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Comprende lo esencial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Aplica correctamente DDD y distribución</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Explica y relaciona con profundidad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Calidad del mapa de Bounded Contexts (25%)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delimita contextos reales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Delimitación superficial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Delimitación aceptable con límites básicos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Mapa claro y coherente con el dominio</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Mapa ejemplar y riguroso</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Rigor del análisis de viabilidad financiera (20%)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calcula costos reales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Cálculo superficial sin comparación</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Cálculo aceptable con comparación básica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Análisis sólido trazable al presupuesto real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Análisis riguroso y bien argumentado</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Rigor de la auditoría a la IA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audita o copia sin procesar</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Críticas superficiales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Detecta riesgos básicos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Auditoría robusta con corrección concreta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Auditoría excepcional y bien argumentada</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Participación en el foro (10%)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participa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Participación mínima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Responde la pregunta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Argumenta con ejemplos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Reflexión crítica y fundamentada</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Trazabilidad respecto a la FPI-20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recupera lo construido antes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Copia sin verificar vigencia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Valida lo esencial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Valida y actualiza correctamente</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Trazabilidad ejemplar con causa e impacto de cambios</w:t>
            </w:r>
          </w:p>
        </w:tc>
      </w:tr>
    </w:tbl>
    <w:p>
      <w:pPr>
        <w:spacing w:after="120"/>
      </w:pPr>
      <w:r>
        <w:rPr>
          <w:rFonts w:ascii="Calibri" w:cs="Calibri" w:eastAsia="Calibri" w:hAnsi="Calibri"/>
        </w:rPr>
        <w:t xml:space="preserve"/>
      </w:r>
    </w:p>
    <w:p>
      <w:pPr>
        <w:spacing w:after="160"/>
      </w:pPr>
      <w:r>
        <w:rPr>
          <w:rFonts w:ascii="Calibri" w:cs="Calibri" w:eastAsia="Calibri" w:hAnsi="Calibri"/>
          <w:i/>
          <w:iCs/>
        </w:rPr>
        <w:t xml:space="preserve">Nota final = suma ponderada de los 6 criterios según el peso indicado entre paréntesis (total 100%).</w:t>
      </w:r>
    </w:p>
    <w:p>
      <w:pPr>
        <w:pStyle w:val="Heading1"/>
        <w:spacing w:after="160" w:before="300"/>
      </w:pPr>
      <w:r>
        <w:rPr>
          <w:rFonts w:ascii="Calibri" w:cs="Calibri" w:eastAsia="Calibri" w:hAnsi="Calibri"/>
          <w:b/>
          <w:bCs/>
        </w:rPr>
        <w:t xml:space="preserve">Recursos académicos y bibliografía</w:t>
      </w:r>
    </w:p>
    <w:p>
      <w:pPr>
        <w:pStyle w:val="ListParagraph"/>
        <w:numPr>
          <w:ilvl w:val="0"/>
          <w:numId w:val="2"/>
        </w:numPr>
        <w:spacing w:after="120"/>
      </w:pPr>
      <w:r>
        <w:rPr>
          <w:rFonts w:ascii="Calibri" w:cs="Calibri" w:eastAsia="Calibri" w:hAnsi="Calibri"/>
        </w:rPr>
        <w:t xml:space="preserve">Newman, Sam. Building Microservices.</w:t>
      </w:r>
    </w:p>
    <w:p>
      <w:pPr>
        <w:pStyle w:val="ListParagraph"/>
        <w:numPr>
          <w:ilvl w:val="0"/>
          <w:numId w:val="2"/>
        </w:numPr>
        <w:spacing w:after="120"/>
      </w:pPr>
      <w:r>
        <w:rPr>
          <w:rFonts w:ascii="Calibri" w:cs="Calibri" w:eastAsia="Calibri" w:hAnsi="Calibri"/>
        </w:rPr>
        <w:t xml:space="preserve">Evans, Eric. Domain-Driven Design: Tackling Complexity in the Heart of Software.</w:t>
      </w:r>
    </w:p>
    <w:p>
      <w:pPr>
        <w:pStyle w:val="ListParagraph"/>
        <w:numPr>
          <w:ilvl w:val="0"/>
          <w:numId w:val="2"/>
        </w:numPr>
        <w:spacing w:after="120"/>
      </w:pPr>
      <w:r>
        <w:rPr>
          <w:rFonts w:ascii="Calibri" w:cs="Calibri" w:eastAsia="Calibri" w:hAnsi="Calibri"/>
        </w:rPr>
        <w:t xml:space="preserve">Fowler, Martin. MonolithFirst (martinfowler.com).</w:t>
      </w:r>
    </w:p>
    <w:p>
      <w:pPr>
        <w:pStyle w:val="ListParagraph"/>
        <w:numPr>
          <w:ilvl w:val="0"/>
          <w:numId w:val="2"/>
        </w:numPr>
        <w:spacing w:after="120"/>
      </w:pPr>
      <w:r>
        <w:rPr>
          <w:rFonts w:ascii="Calibri" w:cs="Calibri" w:eastAsia="Calibri" w:hAnsi="Calibri"/>
        </w:rPr>
        <w:t xml:space="preserve">Forsgren, Nicole; Humble, Jez; Kim, Gene. Accelerate.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26"/>
      <w:szCs w:val="26"/>
    </w:rPr>
  </w:style>
  <w:style w:type="paragraph" w:styleId="Heading2">
    <w:name w:val="Heading 2"/>
    <w:basedOn w:val="Normal"/>
    <w:next w:val="Normal"/>
    <w:qFormat/>
    <w:pPr>
      <w:spacing w:after="140" w:before="260"/>
    </w:pPr>
    <w:rPr>
      <w:rFonts w:ascii="Calibri" w:cs="Calibri" w:eastAsia="Calibri" w:hAnsi="Calibri"/>
      <w:b/>
      <w:bCs/>
      <w:color w:val="2E5395"/>
      <w:sz w:val="24"/>
      <w:szCs w:val="24"/>
    </w:rPr>
  </w:style>
  <w:style w:type="paragraph" w:styleId="Heading3">
    <w:name w:val="Heading 3"/>
    <w:basedOn w:val="Normal"/>
    <w:next w:val="Normal"/>
    <w:qFormat/>
    <w:pPr>
      <w:spacing w:after="100" w:before="200"/>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MapaContextos" Type="http://schemas.openxmlformats.org/officeDocument/2006/relationships/image" Target="media/contexto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2026-08-29T21:55:27.639Z</dcterms:created>
  <dcterms:modified xsi:type="dcterms:W3CDTF">2026-08-29T21:55:27.639Z</dcterms:modified>
</cp:coreProperties>
</file>

<file path=docProps/custom.xml><?xml version="1.0" encoding="utf-8"?>
<Properties xmlns="http://schemas.openxmlformats.org/officeDocument/2006/custom-properties" xmlns:vt="http://schemas.openxmlformats.org/officeDocument/2006/docPropsVTypes"/>
</file>