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2"/>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sz w:val="36"/>
          <w:szCs w:val="36"/>
        </w:rPr>
      </w:pPr>
      <w:r>
        <w:rPr>
          <w:rFonts w:ascii="Arial" w:hAnsi="Arial" w:eastAsia="Arial" w:cs="Arial"/>
          <w:b/>
          <w:color w:val="000000"/>
          <w:sz w:val="36"/>
          <w:szCs w:val="36"/>
        </w:rPr>
        <w:t xml:space="preserve">Incident</w:t>
      </w:r>
      <w:r>
        <w:rPr>
          <w:rFonts w:ascii="Arial" w:hAnsi="Arial" w:eastAsia="Arial" w:cs="Arial"/>
          <w:b/>
          <w:color w:val="000000"/>
          <w:sz w:val="36"/>
          <w:szCs w:val="36"/>
        </w:rPr>
        <w:t xml:space="preserve"> Report</w:t>
      </w:r>
      <w:r>
        <w:rPr>
          <w:rFonts w:ascii="Arial" w:hAnsi="Arial" w:cs="Arial"/>
          <w:sz w:val="36"/>
          <w:szCs w:val="36"/>
        </w:rPr>
      </w:r>
      <w:r>
        <w:rPr>
          <w:rFonts w:ascii="Arial" w:hAnsi="Arial" w:cs="Arial"/>
          <w:sz w:val="36"/>
          <w:szCs w:val="36"/>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1. Executive Summary</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On 11 December 2025, the </w:t>
      </w:r>
      <w:r>
        <w:rPr>
          <w:rFonts w:ascii="Arial" w:hAnsi="Arial" w:eastAsia="Arial" w:cs="Arial"/>
          <w:color w:val="000000"/>
          <w:sz w:val="22"/>
          <w:szCs w:val="22"/>
          <w:lang w:val="en-IN"/>
        </w:rPr>
        <w:t xml:space="preserve">SEIM</w:t>
      </w:r>
      <w:r>
        <w:rPr>
          <w:rFonts w:ascii="Arial" w:hAnsi="Arial" w:eastAsia="Arial" w:cs="Arial"/>
          <w:color w:val="000000"/>
          <w:sz w:val="22"/>
          <w:szCs w:val="22"/>
        </w:rPr>
        <w:t xml:space="preserve"> (Wazuh) detected a malicious exploitation attempt targeting the vulnerable VSFTPD 2.3.4 service running on the victim machine (10.0.2.1</w:t>
      </w:r>
      <w:r>
        <w:rPr>
          <w:rFonts w:ascii="Arial" w:hAnsi="Arial" w:eastAsia="Arial" w:cs="Arial"/>
          <w:color w:val="000000"/>
          <w:sz w:val="22"/>
          <w:szCs w:val="22"/>
          <w:lang w:val="en-IN"/>
        </w:rPr>
        <w:t xml:space="preserve">9</w:t>
      </w:r>
      <w:r>
        <w:rPr>
          <w:rFonts w:ascii="Arial" w:hAnsi="Arial" w:eastAsia="Arial" w:cs="Arial"/>
          <w:color w:val="000000"/>
          <w:sz w:val="22"/>
          <w:szCs w:val="22"/>
        </w:rPr>
        <w:t xml:space="preserve">). The attack originated from IP address </w:t>
      </w:r>
      <w:r>
        <w:rPr>
          <w:rFonts w:ascii="Arial" w:hAnsi="Arial" w:eastAsia="Arial" w:cs="Arial"/>
          <w:b/>
          <w:color w:val="000000"/>
          <w:sz w:val="22"/>
          <w:szCs w:val="22"/>
        </w:rPr>
        <w:t xml:space="preserve">10.0.2.6</w:t>
      </w:r>
      <w:r>
        <w:rPr>
          <w:rFonts w:ascii="Arial" w:hAnsi="Arial" w:eastAsia="Arial" w:cs="Arial"/>
          <w:color w:val="000000"/>
          <w:sz w:val="22"/>
          <w:szCs w:val="22"/>
        </w:rPr>
        <w:t xml:space="preserve">, which attempted to trigger the known backdoor vulnerability using an FTP connection. The attack was identified, triaged, contained, and mitigated with no system compromise or service disruption. CrowdSec was used to immediately block the attacker’s IP, a</w:t>
      </w:r>
      <w:r>
        <w:rPr>
          <w:rFonts w:ascii="Arial" w:hAnsi="Arial" w:eastAsia="Arial" w:cs="Arial"/>
          <w:color w:val="000000"/>
          <w:sz w:val="22"/>
          <w:szCs w:val="22"/>
        </w:rPr>
        <w:t xml:space="preserve">nd the affected machine was isolated to prevent further attempts. This incident demonstrates the effectiveness of the detection-and-response workflow and highlights key areas for strengthening defense.</w:t>
      </w:r>
      <w:r>
        <w:rPr>
          <w:rFonts w:ascii="Arial" w:hAnsi="Arial" w:cs="Arial"/>
          <w:sz w:val="22"/>
          <w:szCs w:val="22"/>
        </w:rPr>
      </w:r>
      <w:r>
        <w:rPr>
          <w:rFonts w:ascii="Arial" w:hAnsi="Arial" w:cs="Arial"/>
          <w:sz w:val="22"/>
          <w:szCs w:val="22"/>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2. Timeline</w:t>
      </w:r>
      <w:r>
        <w:rPr>
          <w:rFonts w:ascii="Arial" w:hAnsi="Arial" w:cs="Arial"/>
          <w:sz w:val="32"/>
          <w:szCs w:val="32"/>
        </w:rPr>
      </w:r>
      <w:r>
        <w:rPr>
          <w:rFonts w:ascii="Arial" w:hAnsi="Arial" w:cs="Arial"/>
          <w:sz w:val="32"/>
          <w:szCs w:val="32"/>
        </w:rPr>
      </w:r>
    </w:p>
    <w:tbl>
      <w:tblPr>
        <w:tblStyle w:val="777"/>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11"/>
        <w:gridCol w:w="791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Time (IST)</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Event Description</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Exploit attempt initiated from 10.0.2.6 targeting VSFTPD 2.3.4 on 10.0.2.1</w:t>
            </w:r>
            <w:r>
              <w:rPr>
                <w:rFonts w:ascii="Arial" w:hAnsi="Arial" w:eastAsia="Arial" w:cs="Arial"/>
                <w:color w:val="000000"/>
                <w:sz w:val="22"/>
                <w:szCs w:val="22"/>
                <w:lang w:val="en-IN"/>
              </w:rPr>
              <w:t xml:space="preserve">9</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Wazuh generates an alert for “VSFTPD 2.3.4 backdoor triggered.”</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20:03</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SOC analyst validates the alert and maps it to MITRE Technique </w:t>
            </w:r>
            <w:r>
              <w:rPr>
                <w:rFonts w:ascii="Arial" w:hAnsi="Arial" w:eastAsia="Arial" w:cs="Arial"/>
                <w:b/>
                <w:color w:val="000000"/>
                <w:sz w:val="22"/>
                <w:szCs w:val="22"/>
              </w:rPr>
              <w:t xml:space="preserve">T1190 – Exploit Public-Facing Applications</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20:05</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Investigation confirms malicious exploitation attempt.</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20:06</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CrowdSec ban applied: </w:t>
            </w:r>
            <w:r>
              <w:rPr>
                <w:rFonts w:ascii="Arial" w:hAnsi="Arial" w:eastAsia="Arial" w:cs="Arial"/>
                <w:b/>
                <w:color w:val="000000"/>
                <w:sz w:val="22"/>
                <w:szCs w:val="22"/>
              </w:rPr>
              <w:t xml:space="preserve">10.0.2.6 blocked for 4 hours</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20:08</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Ping test from attacker to victim fails, proving containment successful.</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11"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20:10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1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Victim VM isolated for further review.</w:t>
            </w:r>
            <w:r>
              <w:rPr>
                <w:rFonts w:ascii="Arial" w:hAnsi="Arial" w:cs="Arial"/>
                <w:sz w:val="22"/>
                <w:szCs w:val="22"/>
              </w:rPr>
            </w:r>
            <w:r>
              <w:rPr>
                <w:rFonts w:ascii="Arial" w:hAnsi="Arial" w:cs="Arial"/>
                <w:sz w:val="22"/>
                <w:szCs w:val="22"/>
              </w:rPr>
            </w:r>
          </w:p>
        </w:tc>
      </w:tr>
    </w:tbl>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3. Impact Analysis</w:t>
      </w:r>
      <w:r>
        <w:rPr>
          <w:rFonts w:ascii="Arial" w:hAnsi="Arial" w:cs="Arial"/>
          <w:sz w:val="32"/>
          <w:szCs w:val="32"/>
        </w:rPr>
      </w:r>
      <w:r>
        <w:rPr>
          <w:rFonts w:ascii="Arial" w:hAnsi="Arial" w:cs="Arial"/>
          <w:sz w:val="32"/>
          <w:szCs w:val="3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The exploit attempt targeted a known vulnerability in VSFTPD 2.3.4, which contains an embedded backdoor that can grant unauthorized shell access.</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No successful compromise occurred; Wazuh detected the attempt before the payload stage.</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No data loss, service disruption, or unauthorized access was observed.</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If successful, the attacker could have gained root-level access, posing a high risk to system integrity and confidentiality.</w:t>
      </w:r>
      <w:r>
        <w:rPr>
          <w:rFonts w:ascii="Arial" w:hAnsi="Arial" w:cs="Arial"/>
          <w:sz w:val="22"/>
          <w:szCs w:val="22"/>
        </w:rPr>
      </w:r>
      <w:r>
        <w:rPr>
          <w:rFonts w:ascii="Arial" w:hAnsi="Arial" w:cs="Arial"/>
          <w:sz w:val="22"/>
          <w:szCs w:val="22"/>
        </w:rPr>
      </w:r>
    </w:p>
    <w:p>
      <w:pPr>
        <w:pStyle w:val="919"/>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The incident confirms that exposed outdated services remain high-value targets for attackers.</w:t>
      </w:r>
      <w:r>
        <w:rPr>
          <w:rFonts w:ascii="Arial" w:hAnsi="Arial" w:cs="Arial"/>
          <w:sz w:val="22"/>
          <w:szCs w:val="22"/>
        </w:rPr>
      </w:r>
      <w:r>
        <w:rPr>
          <w:rFonts w:ascii="Arial" w:hAnsi="Arial" w:cs="Arial"/>
          <w:sz w:val="22"/>
          <w:szCs w:val="22"/>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4. Remediation Steps</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Immediate Containment</w:t>
      </w:r>
      <w:r>
        <w:rPr>
          <w:rFonts w:ascii="Arial" w:hAnsi="Arial" w:cs="Arial"/>
          <w:sz w:val="22"/>
          <w:szCs w:val="22"/>
        </w:rPr>
      </w:r>
      <w:r>
        <w:rPr>
          <w:rFonts w:ascii="Arial" w:hAnsi="Arial" w:cs="Arial"/>
          <w:sz w:val="22"/>
          <w:szCs w:val="22"/>
        </w:rPr>
      </w:r>
    </w:p>
    <w:p>
      <w:pPr>
        <w:pStyle w:val="919"/>
        <w:numPr>
          <w:ilvl w:val="1"/>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Blocked attacker IP (10.0.2.6) via CrowdSec firewall bouncer.</w:t>
      </w:r>
      <w:r>
        <w:rPr>
          <w:rFonts w:ascii="Arial" w:hAnsi="Arial" w:cs="Arial"/>
          <w:sz w:val="22"/>
          <w:szCs w:val="22"/>
        </w:rPr>
      </w:r>
      <w:r>
        <w:rPr>
          <w:rFonts w:ascii="Arial" w:hAnsi="Arial" w:cs="Arial"/>
          <w:sz w:val="22"/>
          <w:szCs w:val="22"/>
        </w:rPr>
      </w:r>
    </w:p>
    <w:p>
      <w:pPr>
        <w:pStyle w:val="919"/>
        <w:numPr>
          <w:ilvl w:val="1"/>
          <w:numId w:val="3"/>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Isolated victim VM from the network to prevent lateral movement.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System Hardening</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Removed or disabled VSFTPD 2.3.4 service from the system.</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Applied security patches and updated all relevant packages.</w:t>
      </w:r>
      <w:r>
        <w:rPr>
          <w:rFonts w:ascii="Arial" w:hAnsi="Arial" w:cs="Arial"/>
          <w:sz w:val="22"/>
          <w:szCs w:val="22"/>
        </w:rPr>
      </w:r>
      <w:r>
        <w:rPr>
          <w:rFonts w:ascii="Arial" w:hAnsi="Arial" w:cs="Arial"/>
          <w:sz w:val="22"/>
          <w:szCs w:val="22"/>
        </w:rPr>
      </w:r>
    </w:p>
    <w:p>
      <w:pPr>
        <w:pStyle w:val="919"/>
        <w:numPr>
          <w:ilvl w:val="1"/>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Restricted access to unused ports and services.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rPr>
        <w:t xml:space="preserve">Monitoring Enhancements</w:t>
      </w:r>
      <w:r>
        <w:rPr>
          <w:rFonts w:ascii="Arial" w:hAnsi="Arial" w:cs="Arial"/>
          <w:sz w:val="22"/>
          <w:szCs w:val="22"/>
        </w:rPr>
      </w:r>
      <w:r>
        <w:rPr>
          <w:rFonts w:ascii="Arial" w:hAnsi="Arial" w:cs="Arial"/>
          <w:sz w:val="22"/>
          <w:szCs w:val="22"/>
        </w:rPr>
      </w:r>
    </w:p>
    <w:p>
      <w:pPr>
        <w:pStyle w:val="919"/>
        <w:numPr>
          <w:ilvl w:val="1"/>
          <w:numId w:val="7"/>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Enabled additional Wazuh FTP</w:t>
      </w:r>
      <w:r>
        <w:rPr>
          <w:rFonts w:ascii="Arial" w:hAnsi="Arial" w:eastAsia="Arial" w:cs="Arial"/>
          <w:color w:val="000000"/>
          <w:sz w:val="22"/>
          <w:szCs w:val="22"/>
          <w:lang w:val="en-IN"/>
        </w:rPr>
        <w:t xml:space="preserve"> </w:t>
      </w:r>
      <w:r>
        <w:rPr>
          <w:rFonts w:ascii="Arial" w:hAnsi="Arial" w:eastAsia="Arial" w:cs="Arial"/>
          <w:color w:val="000000"/>
          <w:sz w:val="22"/>
          <w:szCs w:val="22"/>
        </w:rPr>
        <w:t xml:space="preserve">related rules for granular detection.</w:t>
      </w:r>
      <w:r>
        <w:rPr>
          <w:rFonts w:ascii="Arial" w:hAnsi="Arial" w:cs="Arial"/>
          <w:sz w:val="22"/>
          <w:szCs w:val="22"/>
        </w:rPr>
      </w:r>
      <w:r>
        <w:rPr>
          <w:rFonts w:ascii="Arial" w:hAnsi="Arial" w:cs="Arial"/>
          <w:sz w:val="22"/>
          <w:szCs w:val="22"/>
        </w:rPr>
      </w:r>
    </w:p>
    <w:p>
      <w:pPr>
        <w:pStyle w:val="919"/>
        <w:numPr>
          <w:ilvl w:val="1"/>
          <w:numId w:val="7"/>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Verified CrowdSec bouncer automation for real-time blocking.</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line="360" w:lineRule="auto"/>
        <w:ind w:right="0" w:left="709"/>
        <w:rPr>
          <w:rFonts w:ascii="Arial" w:hAnsi="Arial" w:cs="Arial"/>
          <w:sz w:val="22"/>
          <w:szCs w:val="22"/>
        </w:rPr>
      </w:pPr>
      <w:r>
        <w:rPr>
          <w:rFonts w:ascii="Arial" w:hAnsi="Arial" w:eastAsia="Arial" w:cs="Arial"/>
          <w:b/>
          <w:color w:val="000000"/>
          <w:sz w:val="22"/>
          <w:szCs w:val="22"/>
          <w:vertAlign w:val="baseline"/>
        </w:rPr>
      </w:r>
      <w:r>
        <w:rPr>
          <w:rFonts w:ascii="Arial" w:hAnsi="Arial" w:eastAsia="Arial" w:cs="Arial"/>
          <w:b/>
          <w:color w:val="000000"/>
          <w:sz w:val="22"/>
          <w:szCs w:val="22"/>
        </w:rPr>
        <w:t xml:space="preserve">Validation</w:t>
      </w:r>
      <w:r>
        <w:rPr>
          <w:rFonts w:ascii="Arial" w:hAnsi="Arial" w:cs="Arial"/>
          <w:sz w:val="22"/>
          <w:szCs w:val="22"/>
        </w:rPr>
      </w:r>
      <w:r>
        <w:rPr>
          <w:rFonts w:ascii="Arial" w:hAnsi="Arial" w:cs="Arial"/>
          <w:sz w:val="22"/>
          <w:szCs w:val="22"/>
        </w:rPr>
      </w:r>
    </w:p>
    <w:p>
      <w:pPr>
        <w:pStyle w:val="919"/>
        <w:numPr>
          <w:ilvl w:val="1"/>
          <w:numId w:val="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Re-ran vulnerability scans to ensure no additional exposures.</w:t>
      </w:r>
      <w:r>
        <w:rPr>
          <w:rFonts w:ascii="Arial" w:hAnsi="Arial" w:cs="Arial"/>
          <w:sz w:val="22"/>
          <w:szCs w:val="22"/>
        </w:rPr>
      </w:r>
      <w:r>
        <w:rPr>
          <w:rFonts w:ascii="Arial" w:hAnsi="Arial" w:cs="Arial"/>
          <w:sz w:val="22"/>
          <w:szCs w:val="22"/>
        </w:rPr>
      </w:r>
    </w:p>
    <w:p>
      <w:pPr>
        <w:pStyle w:val="919"/>
        <w:numPr>
          <w:ilvl w:val="1"/>
          <w:numId w:val="9"/>
        </w:numPr>
        <w:pBdr>
          <w:top w:val="none" w:color="000000" w:sz="4" w:space="0"/>
          <w:left w:val="none" w:color="000000" w:sz="4" w:space="0"/>
          <w:bottom w:val="none" w:color="000000" w:sz="4" w:space="0"/>
          <w:right w:val="none" w:color="000000" w:sz="4" w:space="0"/>
        </w:pBdr>
        <w:spacing w:line="360" w:lineRule="auto"/>
        <w:ind w:right="0"/>
        <w:rPr>
          <w:rFonts w:ascii="Arial" w:hAnsi="Arial" w:cs="Arial"/>
          <w:sz w:val="22"/>
          <w:szCs w:val="22"/>
        </w:rPr>
      </w:pPr>
      <w:r>
        <w:rPr>
          <w:rFonts w:ascii="Arial" w:hAnsi="Arial" w:eastAsia="Arial" w:cs="Arial"/>
          <w:color w:val="000000"/>
          <w:sz w:val="22"/>
          <w:szCs w:val="22"/>
        </w:rPr>
        <w:t xml:space="preserve">Confirmed that no backdoor shells or malicious accounts were created.</w:t>
      </w:r>
      <w:r>
        <w:rPr>
          <w:rFonts w:ascii="Arial" w:hAnsi="Arial" w:cs="Arial"/>
          <w:sz w:val="22"/>
          <w:szCs w:val="22"/>
        </w:rPr>
      </w:r>
      <w:r>
        <w:rPr>
          <w:rFonts w:ascii="Arial" w:hAnsi="Arial" w:cs="Arial"/>
          <w:sz w:val="22"/>
          <w:szCs w:val="22"/>
        </w:rPr>
      </w:r>
    </w:p>
    <w:p>
      <w:pPr>
        <w:pStyle w:val="953"/>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rPr>
        <w:t xml:space="preserve">5. Lessons Learned</w:t>
      </w:r>
      <w:r>
        <w:rPr>
          <w:rFonts w:ascii="Arial" w:hAnsi="Arial" w:cs="Arial"/>
          <w:sz w:val="32"/>
          <w:szCs w:val="32"/>
        </w:rPr>
      </w:r>
      <w:r>
        <w:rPr>
          <w:rFonts w:ascii="Arial" w:hAnsi="Arial" w:cs="Arial"/>
          <w:sz w:val="32"/>
          <w:szCs w:val="3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Legacy services pose critical risks</w:t>
      </w:r>
      <w:r>
        <w:rPr>
          <w:rFonts w:ascii="Arial" w:hAnsi="Arial" w:eastAsia="Arial" w:cs="Arial"/>
          <w:b w:val="0"/>
          <w:bCs w:val="0"/>
          <w:color w:val="000000"/>
          <w:sz w:val="22"/>
          <w:szCs w:val="22"/>
        </w:rPr>
        <w:t xml:space="preserve"> and should never be left enabled without strict need and hardening.</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Continuous monitoring is essential</w:t>
      </w:r>
      <w:r>
        <w:rPr>
          <w:rFonts w:ascii="Arial" w:hAnsi="Arial" w:eastAsia="Arial" w:cs="Arial"/>
          <w:b w:val="0"/>
          <w:bCs w:val="0"/>
          <w:color w:val="000000"/>
          <w:sz w:val="22"/>
          <w:szCs w:val="22"/>
        </w:rPr>
        <w:t xml:space="preserve">, as early detection prevented the attacker from gaining a foothold.</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Automated response tools</w:t>
      </w:r>
      <w:r>
        <w:rPr>
          <w:rFonts w:ascii="Arial" w:hAnsi="Arial" w:eastAsia="Arial" w:cs="Arial"/>
          <w:b w:val="0"/>
          <w:bCs w:val="0"/>
          <w:color w:val="000000"/>
          <w:sz w:val="22"/>
          <w:szCs w:val="22"/>
        </w:rPr>
        <w:t xml:space="preserve"> (Wazuh </w:t>
      </w:r>
      <w:r>
        <w:rPr>
          <w:rFonts w:ascii="Arial" w:hAnsi="Arial" w:eastAsia="Arial" w:cs="Arial"/>
          <w:b w:val="0"/>
          <w:bCs w:val="0"/>
          <w:color w:val="000000"/>
          <w:sz w:val="22"/>
          <w:szCs w:val="22"/>
          <w:lang w:val="en-IN"/>
        </w:rPr>
        <w:t xml:space="preserve">and</w:t>
      </w:r>
      <w:r>
        <w:rPr>
          <w:rFonts w:ascii="Arial" w:hAnsi="Arial" w:eastAsia="Arial" w:cs="Arial"/>
          <w:b w:val="0"/>
          <w:bCs w:val="0"/>
          <w:color w:val="000000"/>
          <w:sz w:val="22"/>
          <w:szCs w:val="22"/>
        </w:rPr>
        <w:t xml:space="preserve"> CrowdSec) significantly reduce reaction time and limit potential damage.</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Regular patching and vulnerability assessments</w:t>
      </w:r>
      <w:r>
        <w:rPr>
          <w:rFonts w:ascii="Arial" w:hAnsi="Arial" w:eastAsia="Arial" w:cs="Arial"/>
          <w:b w:val="0"/>
          <w:bCs w:val="0"/>
          <w:color w:val="000000"/>
          <w:sz w:val="22"/>
          <w:szCs w:val="22"/>
        </w:rPr>
        <w:t xml:space="preserve"> must be part of routine maintenance, particularly for public-facing or network-accessible services.</w:t>
      </w:r>
      <w:r>
        <w:rPr>
          <w:rFonts w:ascii="Arial" w:hAnsi="Arial" w:cs="Arial"/>
          <w:b w:val="0"/>
          <w:bCs w:val="0"/>
          <w:sz w:val="22"/>
          <w:szCs w:val="22"/>
        </w:rPr>
      </w:r>
      <w:r>
        <w:rPr>
          <w:rFonts w:ascii="Arial" w:hAnsi="Arial" w:cs="Arial"/>
          <w:b w:val="0"/>
          <w:bCs w:val="0"/>
          <w:sz w:val="22"/>
          <w:szCs w:val="22"/>
        </w:rPr>
      </w:r>
    </w:p>
    <w:p>
      <w:pPr>
        <w:pStyle w:val="919"/>
        <w:numPr>
          <w:ilvl w:val="0"/>
          <w:numId w:val="10"/>
        </w:numPr>
        <w:pBdr>
          <w:top w:val="none" w:color="000000" w:sz="4" w:space="0"/>
          <w:left w:val="none" w:color="000000" w:sz="4" w:space="0"/>
          <w:bottom w:val="none" w:color="000000" w:sz="4" w:space="0"/>
          <w:right w:val="none" w:color="000000" w:sz="4" w:space="0"/>
        </w:pBdr>
        <w:spacing w:line="360" w:lineRule="auto"/>
        <w:ind w:right="0"/>
        <w:rPr>
          <w:rFonts w:ascii="Arial" w:hAnsi="Arial" w:cs="Arial"/>
          <w:b w:val="0"/>
          <w:bCs w:val="0"/>
          <w:sz w:val="22"/>
          <w:szCs w:val="22"/>
        </w:rPr>
      </w:pPr>
      <w:r>
        <w:rPr>
          <w:rFonts w:ascii="Arial" w:hAnsi="Arial" w:eastAsia="Arial" w:cs="Arial"/>
          <w:b w:val="0"/>
          <w:bCs w:val="0"/>
          <w:color w:val="000000"/>
          <w:sz w:val="22"/>
          <w:szCs w:val="22"/>
        </w:rPr>
        <w:t xml:space="preserve">Improved </w:t>
      </w:r>
      <w:r>
        <w:rPr>
          <w:rFonts w:ascii="Arial" w:hAnsi="Arial" w:eastAsia="Arial" w:cs="Arial"/>
          <w:b w:val="0"/>
          <w:bCs w:val="0"/>
          <w:color w:val="000000"/>
          <w:sz w:val="22"/>
          <w:szCs w:val="22"/>
        </w:rPr>
        <w:t xml:space="preserve">documentation and playbooks</w:t>
      </w:r>
      <w:r>
        <w:rPr>
          <w:rFonts w:ascii="Arial" w:hAnsi="Arial" w:eastAsia="Arial" w:cs="Arial"/>
          <w:b w:val="0"/>
          <w:bCs w:val="0"/>
          <w:color w:val="000000"/>
          <w:sz w:val="22"/>
          <w:szCs w:val="22"/>
        </w:rPr>
        <w:t xml:space="preserve"> help responders act quickly and consistently during incidents.</w:t>
      </w:r>
      <w:r>
        <w:rPr>
          <w:rFonts w:ascii="Arial" w:hAnsi="Arial" w:cs="Arial"/>
          <w:b w:val="0"/>
          <w:bCs w:val="0"/>
          <w:sz w:val="22"/>
          <w:szCs w:val="22"/>
        </w:rPr>
      </w:r>
      <w:r>
        <w:rPr>
          <w:rFonts w:ascii="Arial" w:hAnsi="Arial" w:cs="Arial"/>
          <w:b w:val="0"/>
          <w:bCs w:val="0"/>
          <w:sz w:val="22"/>
          <w:szCs w:val="22"/>
        </w:rPr>
      </w:r>
    </w:p>
    <w:p>
      <w:pPr>
        <w:pBdr>
          <w:top w:val="none" w:color="000000" w:sz="4" w:space="0"/>
          <w:left w:val="none" w:color="000000" w:sz="4" w:space="0"/>
          <w:bottom w:val="none" w:color="000000" w:sz="4" w:space="0"/>
          <w:right w:val="none" w:color="000000" w:sz="4" w:space="0"/>
        </w:pBdr>
        <w:spacing w:line="360" w:lineRule="auto"/>
        <w:ind w:right="0" w:firstLine="0" w:left="709"/>
        <w:rPr>
          <w:rFonts w:ascii="Arial" w:hAnsi="Arial" w:cs="Arial"/>
          <w:b w:val="0"/>
          <w:bCs w:val="0"/>
          <w:sz w:val="22"/>
          <w:szCs w:val="22"/>
        </w:rPr>
      </w:pPr>
      <w:r>
        <w:rPr>
          <w:rFonts w:ascii="Arial" w:hAnsi="Arial" w:cs="Arial"/>
          <w:b w:val="0"/>
          <w:bCs w:val="0"/>
          <w:sz w:val="22"/>
          <w:szCs w:val="22"/>
          <w:highlight w:val="none"/>
        </w:rPr>
      </w:r>
      <w:r>
        <w:rPr>
          <w:rFonts w:ascii="Arial" w:hAnsi="Arial" w:cs="Arial"/>
          <w:b w:val="0"/>
          <w:bCs w:val="0"/>
          <w:sz w:val="22"/>
          <w:szCs w:val="22"/>
          <w:highlight w:val="none"/>
        </w:rPr>
      </w:r>
      <w:r>
        <w:rPr>
          <w:rFonts w:ascii="Arial" w:hAnsi="Arial" w:cs="Arial"/>
          <w:b w:val="0"/>
          <w:bCs w:val="0"/>
          <w:sz w:val="22"/>
          <w:szCs w:val="22"/>
          <w:highlight w:val="none"/>
        </w:rPr>
      </w:r>
    </w:p>
    <w:p>
      <w:pPr>
        <w:pStyle w:val="954"/>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sz w:val="32"/>
          <w:szCs w:val="32"/>
        </w:rPr>
      </w:pPr>
      <w:r>
        <w:rPr>
          <w:rFonts w:ascii="Arial" w:hAnsi="Arial" w:eastAsia="Arial" w:cs="Arial"/>
          <w:b/>
          <w:color w:val="000000"/>
          <w:sz w:val="32"/>
          <w:szCs w:val="32"/>
          <w:lang w:val="en-IN"/>
        </w:rPr>
        <w:t xml:space="preserve">6. </w:t>
      </w:r>
      <w:r>
        <w:rPr>
          <w:rFonts w:ascii="Arial" w:hAnsi="Arial" w:eastAsia="Arial" w:cs="Arial"/>
          <w:b/>
          <w:color w:val="000000"/>
          <w:sz w:val="32"/>
          <w:szCs w:val="32"/>
        </w:rPr>
        <w:t xml:space="preserve">Stakeholder Briefing</w:t>
      </w:r>
      <w:r>
        <w:rPr>
          <w:rFonts w:ascii="Arial" w:hAnsi="Arial" w:cs="Arial"/>
          <w:sz w:val="32"/>
          <w:szCs w:val="32"/>
        </w:rPr>
      </w:r>
      <w:r>
        <w:rPr>
          <w:rFonts w:ascii="Arial" w:hAnsi="Arial" w:cs="Arial"/>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z w:val="22"/>
          <w:szCs w:val="22"/>
        </w:rPr>
      </w:pPr>
      <w:r>
        <w:rPr>
          <w:rFonts w:ascii="Arial" w:hAnsi="Arial" w:eastAsia="Arial" w:cs="Arial"/>
          <w:color w:val="000000"/>
          <w:sz w:val="22"/>
          <w:szCs w:val="22"/>
        </w:rPr>
        <w:t xml:space="preserve">A security incident occurred when an external system attempted to exploit a vulnerable FTP service on one of our test machines. Our monitoring tool, Wazuh, detected the activity immediately and alerted the team. After confirming the event, we isolated the </w:t>
      </w:r>
      <w:r>
        <w:rPr>
          <w:rFonts w:ascii="Arial" w:hAnsi="Arial" w:eastAsia="Arial" w:cs="Arial"/>
          <w:color w:val="000000"/>
          <w:sz w:val="22"/>
          <w:szCs w:val="22"/>
        </w:rPr>
        <w:t xml:space="preserve">affected system and used CrowdSec to block the attacker’s IP address, preventing any further access. No data was compromised, and the attempted intrusion was contained quickly. This incident highlights the importance of keeping older services updated and m</w:t>
      </w:r>
      <w:r>
        <w:rPr>
          <w:rFonts w:ascii="Arial" w:hAnsi="Arial" w:eastAsia="Arial" w:cs="Arial"/>
          <w:color w:val="000000"/>
          <w:sz w:val="22"/>
          <w:szCs w:val="22"/>
        </w:rPr>
        <w:t xml:space="preserve">aintaining continuous monitoring. Additional recommendations have been provided to reduce similar risks going forward.</w:t>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pPr>
        <w:pBdr/>
        <w:spacing w:line="360" w:lineRule="auto"/>
        <w:ind/>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B3BD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4D3CF49"/>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219C0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139FAC8"/>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
    <w:nsid w:val="15F75D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6CC0E8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6">
    <w:nsid w:val="6A583D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97CEFEB"/>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8">
    <w:nsid w:val="2B4652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0B0EE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7">
    <w:name w:val="Table Grid"/>
    <w:basedOn w:val="9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Table Grid Light"/>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1"/>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2"/>
    <w:basedOn w:val="9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3"/>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4"/>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5"/>
    <w:basedOn w:val="9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w:basedOn w:val="9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1"/>
    <w:basedOn w:val="9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2"/>
    <w:basedOn w:val="9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 Accent 3"/>
    <w:basedOn w:val="9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4"/>
    <w:basedOn w:val="9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5"/>
    <w:basedOn w:val="9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6"/>
    <w:basedOn w:val="9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w:basedOn w:val="9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1"/>
    <w:basedOn w:val="9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5"/>
    <w:basedOn w:val="9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6"/>
    <w:basedOn w:val="9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w:basedOn w:val="9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1"/>
    <w:basedOn w:val="9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5"/>
    <w:basedOn w:val="9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6"/>
    <w:basedOn w:val="9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w:basedOn w:val="9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1"/>
    <w:basedOn w:val="9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2"/>
    <w:basedOn w:val="9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 Accent 3"/>
    <w:basedOn w:val="9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4"/>
    <w:basedOn w:val="9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5"/>
    <w:basedOn w:val="9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6"/>
    <w:basedOn w:val="9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Accent 1"/>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2"/>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 Accent 3"/>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4"/>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5"/>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6"/>
    <w:basedOn w:val="9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6 Colorful"/>
    <w:basedOn w:val="9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0">
    <w:name w:val="Grid Table 6 Colorful - Accent 1"/>
    <w:basedOn w:val="9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1">
    <w:name w:val="Grid Table 6 Colorful - Accent 2"/>
    <w:basedOn w:val="9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2">
    <w:name w:val="Grid Table 6 Colorful - Accent 3"/>
    <w:basedOn w:val="9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3">
    <w:name w:val="Grid Table 6 Colorful - Accent 4"/>
    <w:basedOn w:val="9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4">
    <w:name w:val="Grid Table 6 Colorful - Accent 5"/>
    <w:basedOn w:val="9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5">
    <w:name w:val="Grid Table 6 Colorful - Accent 6"/>
    <w:basedOn w:val="9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6">
    <w:name w:val="Grid Table 7 Colorful"/>
    <w:basedOn w:val="9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1"/>
    <w:basedOn w:val="9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2"/>
    <w:basedOn w:val="9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7 Colorful - Accent 3"/>
    <w:basedOn w:val="9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4"/>
    <w:basedOn w:val="9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5"/>
    <w:basedOn w:val="9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6"/>
    <w:basedOn w:val="9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1"/>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2"/>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 Accent 3"/>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4"/>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5"/>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6"/>
    <w:basedOn w:val="9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w:basedOn w:val="9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1"/>
    <w:basedOn w:val="9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2"/>
    <w:basedOn w:val="9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 Accent 3"/>
    <w:basedOn w:val="9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4"/>
    <w:basedOn w:val="9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5"/>
    <w:basedOn w:val="9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6"/>
    <w:basedOn w:val="9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w:basedOn w:val="9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1"/>
    <w:basedOn w:val="9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2"/>
    <w:basedOn w:val="9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 Accent 3"/>
    <w:basedOn w:val="9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4"/>
    <w:basedOn w:val="9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5"/>
    <w:basedOn w:val="9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6"/>
    <w:basedOn w:val="9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w:basedOn w:val="9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1"/>
    <w:basedOn w:val="9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2"/>
    <w:basedOn w:val="9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 Accent 3"/>
    <w:basedOn w:val="9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4"/>
    <w:basedOn w:val="9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5"/>
    <w:basedOn w:val="9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6"/>
    <w:basedOn w:val="9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5 Dark"/>
    <w:basedOn w:val="9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1"/>
    <w:basedOn w:val="9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5 Dark - Accent 2"/>
    <w:basedOn w:val="9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4">
    <w:name w:val="List Table 5 Dark - Accent 3"/>
    <w:basedOn w:val="9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4"/>
    <w:basedOn w:val="9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5"/>
    <w:basedOn w:val="9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6"/>
    <w:basedOn w:val="9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6 Colorful"/>
    <w:basedOn w:val="9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1"/>
    <w:basedOn w:val="9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2"/>
    <w:basedOn w:val="9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6 Colorful - Accent 3"/>
    <w:basedOn w:val="9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4"/>
    <w:basedOn w:val="9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5"/>
    <w:basedOn w:val="9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6"/>
    <w:basedOn w:val="9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7 Colorful"/>
    <w:basedOn w:val="9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6">
    <w:name w:val="List Table 7 Colorful - Accent 1"/>
    <w:basedOn w:val="9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77">
    <w:name w:val="List Table 7 Colorful - Accent 2"/>
    <w:basedOn w:val="9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78">
    <w:name w:val="List Table 7 Colorful - Accent 3"/>
    <w:basedOn w:val="9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79">
    <w:name w:val="List Table 7 Colorful - Accent 4"/>
    <w:basedOn w:val="9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0">
    <w:name w:val="List Table 7 Colorful - Accent 5"/>
    <w:basedOn w:val="9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81">
    <w:name w:val="List Table 7 Colorful - Accent 6"/>
    <w:basedOn w:val="9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82">
    <w:name w:val="Lined - Accent"/>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1"/>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2"/>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ned - Accent 3"/>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4"/>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5"/>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6"/>
    <w:basedOn w:val="9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w:basedOn w:val="9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1"/>
    <w:basedOn w:val="9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2"/>
    <w:basedOn w:val="9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3"/>
    <w:basedOn w:val="9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4"/>
    <w:basedOn w:val="9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5"/>
    <w:basedOn w:val="9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6"/>
    <w:basedOn w:val="9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w:basedOn w:val="9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1"/>
    <w:basedOn w:val="9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2"/>
    <w:basedOn w:val="9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 Accent 3"/>
    <w:basedOn w:val="9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4"/>
    <w:basedOn w:val="9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5"/>
    <w:basedOn w:val="9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6"/>
    <w:basedOn w:val="9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3">
    <w:name w:val="Heading 7"/>
    <w:basedOn w:val="951"/>
    <w:next w:val="951"/>
    <w:link w:val="9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4">
    <w:name w:val="Heading 8"/>
    <w:basedOn w:val="951"/>
    <w:next w:val="951"/>
    <w:link w:val="9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5">
    <w:name w:val="Heading 9"/>
    <w:basedOn w:val="951"/>
    <w:next w:val="951"/>
    <w:link w:val="9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6">
    <w:name w:val="Heading 1 Char"/>
    <w:basedOn w:val="958"/>
    <w:link w:val="952"/>
    <w:uiPriority w:val="9"/>
    <w:pPr>
      <w:pBdr/>
      <w:spacing/>
      <w:ind/>
    </w:pPr>
    <w:rPr>
      <w:rFonts w:ascii="Arial" w:hAnsi="Arial" w:eastAsia="Arial" w:cs="Arial"/>
      <w:color w:val="0f4761" w:themeColor="accent1" w:themeShade="BF"/>
      <w:sz w:val="40"/>
      <w:szCs w:val="40"/>
    </w:rPr>
  </w:style>
  <w:style w:type="character" w:styleId="907">
    <w:name w:val="Heading 2 Char"/>
    <w:basedOn w:val="958"/>
    <w:link w:val="953"/>
    <w:uiPriority w:val="9"/>
    <w:pPr>
      <w:pBdr/>
      <w:spacing/>
      <w:ind/>
    </w:pPr>
    <w:rPr>
      <w:rFonts w:ascii="Arial" w:hAnsi="Arial" w:eastAsia="Arial" w:cs="Arial"/>
      <w:color w:val="0f4761" w:themeColor="accent1" w:themeShade="BF"/>
      <w:sz w:val="32"/>
      <w:szCs w:val="32"/>
    </w:rPr>
  </w:style>
  <w:style w:type="character" w:styleId="908">
    <w:name w:val="Heading 3 Char"/>
    <w:basedOn w:val="958"/>
    <w:link w:val="954"/>
    <w:uiPriority w:val="9"/>
    <w:pPr>
      <w:pBdr/>
      <w:spacing/>
      <w:ind/>
    </w:pPr>
    <w:rPr>
      <w:rFonts w:ascii="Arial" w:hAnsi="Arial" w:eastAsia="Arial" w:cs="Arial"/>
      <w:color w:val="0f4761" w:themeColor="accent1" w:themeShade="BF"/>
      <w:sz w:val="28"/>
      <w:szCs w:val="28"/>
    </w:rPr>
  </w:style>
  <w:style w:type="character" w:styleId="909">
    <w:name w:val="Heading 4 Char"/>
    <w:basedOn w:val="958"/>
    <w:link w:val="955"/>
    <w:uiPriority w:val="9"/>
    <w:pPr>
      <w:pBdr/>
      <w:spacing/>
      <w:ind/>
    </w:pPr>
    <w:rPr>
      <w:rFonts w:ascii="Arial" w:hAnsi="Arial" w:eastAsia="Arial" w:cs="Arial"/>
      <w:i/>
      <w:iCs/>
      <w:color w:val="0f4761" w:themeColor="accent1" w:themeShade="BF"/>
    </w:rPr>
  </w:style>
  <w:style w:type="character" w:styleId="910">
    <w:name w:val="Heading 5 Char"/>
    <w:basedOn w:val="958"/>
    <w:link w:val="956"/>
    <w:uiPriority w:val="9"/>
    <w:pPr>
      <w:pBdr/>
      <w:spacing/>
      <w:ind/>
    </w:pPr>
    <w:rPr>
      <w:rFonts w:ascii="Arial" w:hAnsi="Arial" w:eastAsia="Arial" w:cs="Arial"/>
      <w:color w:val="0f4761" w:themeColor="accent1" w:themeShade="BF"/>
    </w:rPr>
  </w:style>
  <w:style w:type="character" w:styleId="911">
    <w:name w:val="Heading 6 Char"/>
    <w:basedOn w:val="958"/>
    <w:link w:val="957"/>
    <w:uiPriority w:val="9"/>
    <w:pPr>
      <w:pBdr/>
      <w:spacing/>
      <w:ind/>
    </w:pPr>
    <w:rPr>
      <w:rFonts w:ascii="Arial" w:hAnsi="Arial" w:eastAsia="Arial" w:cs="Arial"/>
      <w:i/>
      <w:iCs/>
      <w:color w:val="595959" w:themeColor="text1" w:themeTint="A6"/>
    </w:rPr>
  </w:style>
  <w:style w:type="character" w:styleId="912">
    <w:name w:val="Heading 7 Char"/>
    <w:basedOn w:val="958"/>
    <w:link w:val="903"/>
    <w:uiPriority w:val="9"/>
    <w:pPr>
      <w:pBdr/>
      <w:spacing/>
      <w:ind/>
    </w:pPr>
    <w:rPr>
      <w:rFonts w:ascii="Arial" w:hAnsi="Arial" w:eastAsia="Arial" w:cs="Arial"/>
      <w:color w:val="595959" w:themeColor="text1" w:themeTint="A6"/>
    </w:rPr>
  </w:style>
  <w:style w:type="character" w:styleId="913">
    <w:name w:val="Heading 8 Char"/>
    <w:basedOn w:val="958"/>
    <w:link w:val="904"/>
    <w:uiPriority w:val="9"/>
    <w:pPr>
      <w:pBdr/>
      <w:spacing/>
      <w:ind/>
    </w:pPr>
    <w:rPr>
      <w:rFonts w:ascii="Arial" w:hAnsi="Arial" w:eastAsia="Arial" w:cs="Arial"/>
      <w:i/>
      <w:iCs/>
      <w:color w:val="272727" w:themeColor="text1" w:themeTint="D8"/>
    </w:rPr>
  </w:style>
  <w:style w:type="character" w:styleId="914">
    <w:name w:val="Heading 9 Char"/>
    <w:basedOn w:val="958"/>
    <w:link w:val="905"/>
    <w:uiPriority w:val="9"/>
    <w:pPr>
      <w:pBdr/>
      <w:spacing/>
      <w:ind/>
    </w:pPr>
    <w:rPr>
      <w:rFonts w:ascii="Arial" w:hAnsi="Arial" w:eastAsia="Arial" w:cs="Arial"/>
      <w:i/>
      <w:iCs/>
      <w:color w:val="272727" w:themeColor="text1" w:themeTint="D8"/>
    </w:rPr>
  </w:style>
  <w:style w:type="character" w:styleId="915">
    <w:name w:val="Title Char"/>
    <w:basedOn w:val="958"/>
    <w:link w:val="962"/>
    <w:uiPriority w:val="10"/>
    <w:pPr>
      <w:pBdr/>
      <w:spacing/>
      <w:ind/>
    </w:pPr>
    <w:rPr>
      <w:rFonts w:ascii="Arial" w:hAnsi="Arial" w:eastAsia="Arial" w:cs="Arial"/>
      <w:spacing w:val="-10"/>
      <w:sz w:val="56"/>
      <w:szCs w:val="56"/>
    </w:rPr>
  </w:style>
  <w:style w:type="character" w:styleId="916">
    <w:name w:val="Subtitle Char"/>
    <w:basedOn w:val="958"/>
    <w:link w:val="963"/>
    <w:uiPriority w:val="11"/>
    <w:pPr>
      <w:pBdr/>
      <w:spacing/>
      <w:ind/>
    </w:pPr>
    <w:rPr>
      <w:color w:val="595959" w:themeColor="text1" w:themeTint="A6"/>
      <w:spacing w:val="15"/>
      <w:sz w:val="28"/>
      <w:szCs w:val="28"/>
    </w:rPr>
  </w:style>
  <w:style w:type="paragraph" w:styleId="917">
    <w:name w:val="Quote"/>
    <w:basedOn w:val="951"/>
    <w:next w:val="951"/>
    <w:link w:val="918"/>
    <w:uiPriority w:val="29"/>
    <w:qFormat/>
    <w:pPr>
      <w:pBdr/>
      <w:spacing w:before="160"/>
      <w:ind/>
      <w:jc w:val="center"/>
    </w:pPr>
    <w:rPr>
      <w:i/>
      <w:iCs/>
      <w:color w:val="404040" w:themeColor="text1" w:themeTint="BF"/>
    </w:rPr>
  </w:style>
  <w:style w:type="character" w:styleId="918">
    <w:name w:val="Quote Char"/>
    <w:basedOn w:val="958"/>
    <w:link w:val="917"/>
    <w:uiPriority w:val="29"/>
    <w:pPr>
      <w:pBdr/>
      <w:spacing/>
      <w:ind/>
    </w:pPr>
    <w:rPr>
      <w:i/>
      <w:iCs/>
      <w:color w:val="404040" w:themeColor="text1" w:themeTint="BF"/>
    </w:rPr>
  </w:style>
  <w:style w:type="paragraph" w:styleId="919">
    <w:name w:val="List Paragraph"/>
    <w:basedOn w:val="951"/>
    <w:uiPriority w:val="34"/>
    <w:qFormat/>
    <w:pPr>
      <w:pBdr/>
      <w:spacing/>
      <w:ind w:left="720"/>
      <w:contextualSpacing w:val="true"/>
    </w:pPr>
  </w:style>
  <w:style w:type="character" w:styleId="920">
    <w:name w:val="Intense Emphasis"/>
    <w:basedOn w:val="958"/>
    <w:uiPriority w:val="21"/>
    <w:qFormat/>
    <w:pPr>
      <w:pBdr/>
      <w:spacing/>
      <w:ind/>
    </w:pPr>
    <w:rPr>
      <w:i/>
      <w:iCs/>
      <w:color w:val="0f4761" w:themeColor="accent1" w:themeShade="BF"/>
    </w:rPr>
  </w:style>
  <w:style w:type="paragraph" w:styleId="921">
    <w:name w:val="Intense Quote"/>
    <w:basedOn w:val="951"/>
    <w:next w:val="951"/>
    <w:link w:val="92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2">
    <w:name w:val="Intense Quote Char"/>
    <w:basedOn w:val="958"/>
    <w:link w:val="921"/>
    <w:uiPriority w:val="30"/>
    <w:pPr>
      <w:pBdr/>
      <w:spacing/>
      <w:ind/>
    </w:pPr>
    <w:rPr>
      <w:i/>
      <w:iCs/>
      <w:color w:val="0f4761" w:themeColor="accent1" w:themeShade="BF"/>
    </w:rPr>
  </w:style>
  <w:style w:type="character" w:styleId="923">
    <w:name w:val="Intense Reference"/>
    <w:basedOn w:val="958"/>
    <w:uiPriority w:val="32"/>
    <w:qFormat/>
    <w:pPr>
      <w:pBdr/>
      <w:spacing/>
      <w:ind/>
    </w:pPr>
    <w:rPr>
      <w:b/>
      <w:bCs/>
      <w:smallCaps/>
      <w:color w:val="0f4761" w:themeColor="accent1" w:themeShade="BF"/>
      <w:spacing w:val="5"/>
    </w:rPr>
  </w:style>
  <w:style w:type="paragraph" w:styleId="924">
    <w:name w:val="No Spacing"/>
    <w:basedOn w:val="951"/>
    <w:uiPriority w:val="1"/>
    <w:qFormat/>
    <w:pPr>
      <w:pBdr/>
      <w:spacing w:after="0" w:line="240" w:lineRule="auto"/>
      <w:ind/>
    </w:pPr>
  </w:style>
  <w:style w:type="character" w:styleId="925">
    <w:name w:val="Subtle Emphasis"/>
    <w:basedOn w:val="958"/>
    <w:uiPriority w:val="19"/>
    <w:qFormat/>
    <w:pPr>
      <w:pBdr/>
      <w:spacing/>
      <w:ind/>
    </w:pPr>
    <w:rPr>
      <w:i/>
      <w:iCs/>
      <w:color w:val="404040" w:themeColor="text1" w:themeTint="BF"/>
    </w:rPr>
  </w:style>
  <w:style w:type="character" w:styleId="926">
    <w:name w:val="Emphasis"/>
    <w:basedOn w:val="958"/>
    <w:uiPriority w:val="20"/>
    <w:qFormat/>
    <w:pPr>
      <w:pBdr/>
      <w:spacing/>
      <w:ind/>
    </w:pPr>
    <w:rPr>
      <w:i/>
      <w:iCs/>
    </w:rPr>
  </w:style>
  <w:style w:type="character" w:styleId="927">
    <w:name w:val="Strong"/>
    <w:basedOn w:val="958"/>
    <w:uiPriority w:val="22"/>
    <w:qFormat/>
    <w:pPr>
      <w:pBdr/>
      <w:spacing/>
      <w:ind/>
    </w:pPr>
    <w:rPr>
      <w:b/>
      <w:bCs/>
    </w:rPr>
  </w:style>
  <w:style w:type="character" w:styleId="928">
    <w:name w:val="Subtle Reference"/>
    <w:basedOn w:val="958"/>
    <w:uiPriority w:val="31"/>
    <w:qFormat/>
    <w:pPr>
      <w:pBdr/>
      <w:spacing/>
      <w:ind/>
    </w:pPr>
    <w:rPr>
      <w:smallCaps/>
      <w:color w:val="5a5a5a" w:themeColor="text1" w:themeTint="A5"/>
    </w:rPr>
  </w:style>
  <w:style w:type="character" w:styleId="929">
    <w:name w:val="Book Title"/>
    <w:basedOn w:val="958"/>
    <w:uiPriority w:val="33"/>
    <w:qFormat/>
    <w:pPr>
      <w:pBdr/>
      <w:spacing/>
      <w:ind/>
    </w:pPr>
    <w:rPr>
      <w:b/>
      <w:bCs/>
      <w:i/>
      <w:iCs/>
      <w:spacing w:val="5"/>
    </w:rPr>
  </w:style>
  <w:style w:type="paragraph" w:styleId="930">
    <w:name w:val="Caption"/>
    <w:basedOn w:val="951"/>
    <w:next w:val="951"/>
    <w:uiPriority w:val="35"/>
    <w:unhideWhenUsed/>
    <w:qFormat/>
    <w:pPr>
      <w:pBdr/>
      <w:spacing w:after="200" w:line="240" w:lineRule="auto"/>
      <w:ind/>
    </w:pPr>
    <w:rPr>
      <w:i/>
      <w:iCs/>
      <w:color w:val="0e2841" w:themeColor="text2"/>
      <w:sz w:val="18"/>
      <w:szCs w:val="18"/>
    </w:rPr>
  </w:style>
  <w:style w:type="paragraph" w:styleId="931">
    <w:name w:val="footnote text"/>
    <w:basedOn w:val="951"/>
    <w:link w:val="932"/>
    <w:uiPriority w:val="99"/>
    <w:semiHidden/>
    <w:unhideWhenUsed/>
    <w:pPr>
      <w:pBdr/>
      <w:spacing w:after="0" w:line="240" w:lineRule="auto"/>
      <w:ind/>
    </w:pPr>
    <w:rPr>
      <w:sz w:val="20"/>
      <w:szCs w:val="20"/>
    </w:rPr>
  </w:style>
  <w:style w:type="character" w:styleId="932">
    <w:name w:val="Footnote Text Char"/>
    <w:basedOn w:val="958"/>
    <w:link w:val="931"/>
    <w:uiPriority w:val="99"/>
    <w:semiHidden/>
    <w:pPr>
      <w:pBdr/>
      <w:spacing/>
      <w:ind/>
    </w:pPr>
    <w:rPr>
      <w:sz w:val="20"/>
      <w:szCs w:val="20"/>
    </w:rPr>
  </w:style>
  <w:style w:type="character" w:styleId="933">
    <w:name w:val="footnote reference"/>
    <w:basedOn w:val="958"/>
    <w:uiPriority w:val="99"/>
    <w:semiHidden/>
    <w:unhideWhenUsed/>
    <w:pPr>
      <w:pBdr/>
      <w:spacing/>
      <w:ind/>
    </w:pPr>
    <w:rPr>
      <w:vertAlign w:val="superscript"/>
    </w:rPr>
  </w:style>
  <w:style w:type="paragraph" w:styleId="934">
    <w:name w:val="endnote text"/>
    <w:basedOn w:val="951"/>
    <w:link w:val="935"/>
    <w:uiPriority w:val="99"/>
    <w:semiHidden/>
    <w:unhideWhenUsed/>
    <w:pPr>
      <w:pBdr/>
      <w:spacing w:after="0" w:line="240" w:lineRule="auto"/>
      <w:ind/>
    </w:pPr>
    <w:rPr>
      <w:sz w:val="20"/>
      <w:szCs w:val="20"/>
    </w:rPr>
  </w:style>
  <w:style w:type="character" w:styleId="935">
    <w:name w:val="Endnote Text Char"/>
    <w:basedOn w:val="958"/>
    <w:link w:val="934"/>
    <w:uiPriority w:val="99"/>
    <w:semiHidden/>
    <w:pPr>
      <w:pBdr/>
      <w:spacing/>
      <w:ind/>
    </w:pPr>
    <w:rPr>
      <w:sz w:val="20"/>
      <w:szCs w:val="20"/>
    </w:rPr>
  </w:style>
  <w:style w:type="character" w:styleId="936">
    <w:name w:val="endnote reference"/>
    <w:basedOn w:val="958"/>
    <w:uiPriority w:val="99"/>
    <w:semiHidden/>
    <w:unhideWhenUsed/>
    <w:pPr>
      <w:pBdr/>
      <w:spacing/>
      <w:ind/>
    </w:pPr>
    <w:rPr>
      <w:vertAlign w:val="superscript"/>
    </w:rPr>
  </w:style>
  <w:style w:type="character" w:styleId="937">
    <w:name w:val="Hyperlink"/>
    <w:basedOn w:val="958"/>
    <w:uiPriority w:val="99"/>
    <w:unhideWhenUsed/>
    <w:pPr>
      <w:pBdr/>
      <w:spacing/>
      <w:ind/>
    </w:pPr>
    <w:rPr>
      <w:color w:val="0563c1" w:themeColor="hyperlink"/>
      <w:u w:val="single"/>
    </w:rPr>
  </w:style>
  <w:style w:type="character" w:styleId="938">
    <w:name w:val="FollowedHyperlink"/>
    <w:basedOn w:val="958"/>
    <w:uiPriority w:val="99"/>
    <w:semiHidden/>
    <w:unhideWhenUsed/>
    <w:pPr>
      <w:pBdr/>
      <w:spacing/>
      <w:ind/>
    </w:pPr>
    <w:rPr>
      <w:color w:val="954f72" w:themeColor="followedHyperlink"/>
      <w:u w:val="single"/>
    </w:rPr>
  </w:style>
  <w:style w:type="paragraph" w:styleId="939">
    <w:name w:val="toc 1"/>
    <w:basedOn w:val="951"/>
    <w:next w:val="951"/>
    <w:uiPriority w:val="39"/>
    <w:unhideWhenUsed/>
    <w:pPr>
      <w:pBdr/>
      <w:spacing w:after="100"/>
      <w:ind/>
    </w:pPr>
  </w:style>
  <w:style w:type="paragraph" w:styleId="940">
    <w:name w:val="toc 2"/>
    <w:basedOn w:val="951"/>
    <w:next w:val="951"/>
    <w:uiPriority w:val="39"/>
    <w:unhideWhenUsed/>
    <w:pPr>
      <w:pBdr/>
      <w:spacing w:after="100"/>
      <w:ind w:left="220"/>
    </w:pPr>
  </w:style>
  <w:style w:type="paragraph" w:styleId="941">
    <w:name w:val="toc 3"/>
    <w:basedOn w:val="951"/>
    <w:next w:val="951"/>
    <w:uiPriority w:val="39"/>
    <w:unhideWhenUsed/>
    <w:pPr>
      <w:pBdr/>
      <w:spacing w:after="100"/>
      <w:ind w:left="440"/>
    </w:pPr>
  </w:style>
  <w:style w:type="paragraph" w:styleId="942">
    <w:name w:val="toc 4"/>
    <w:basedOn w:val="951"/>
    <w:next w:val="951"/>
    <w:uiPriority w:val="39"/>
    <w:unhideWhenUsed/>
    <w:pPr>
      <w:pBdr/>
      <w:spacing w:after="100"/>
      <w:ind w:left="660"/>
    </w:pPr>
  </w:style>
  <w:style w:type="paragraph" w:styleId="943">
    <w:name w:val="toc 5"/>
    <w:basedOn w:val="951"/>
    <w:next w:val="951"/>
    <w:uiPriority w:val="39"/>
    <w:unhideWhenUsed/>
    <w:pPr>
      <w:pBdr/>
      <w:spacing w:after="100"/>
      <w:ind w:left="880"/>
    </w:pPr>
  </w:style>
  <w:style w:type="paragraph" w:styleId="944">
    <w:name w:val="toc 6"/>
    <w:basedOn w:val="951"/>
    <w:next w:val="951"/>
    <w:uiPriority w:val="39"/>
    <w:unhideWhenUsed/>
    <w:pPr>
      <w:pBdr/>
      <w:spacing w:after="100"/>
      <w:ind w:left="1100"/>
    </w:pPr>
  </w:style>
  <w:style w:type="paragraph" w:styleId="945">
    <w:name w:val="toc 7"/>
    <w:basedOn w:val="951"/>
    <w:next w:val="951"/>
    <w:uiPriority w:val="39"/>
    <w:unhideWhenUsed/>
    <w:pPr>
      <w:pBdr/>
      <w:spacing w:after="100"/>
      <w:ind w:left="1320"/>
    </w:pPr>
  </w:style>
  <w:style w:type="paragraph" w:styleId="946">
    <w:name w:val="toc 8"/>
    <w:basedOn w:val="951"/>
    <w:next w:val="951"/>
    <w:uiPriority w:val="39"/>
    <w:unhideWhenUsed/>
    <w:pPr>
      <w:pBdr/>
      <w:spacing w:after="100"/>
      <w:ind w:left="1540"/>
    </w:pPr>
  </w:style>
  <w:style w:type="paragraph" w:styleId="947">
    <w:name w:val="toc 9"/>
    <w:basedOn w:val="951"/>
    <w:next w:val="951"/>
    <w:uiPriority w:val="39"/>
    <w:unhideWhenUsed/>
    <w:pPr>
      <w:pBdr/>
      <w:spacing w:after="100"/>
      <w:ind w:left="1760"/>
    </w:pPr>
  </w:style>
  <w:style w:type="character" w:styleId="948">
    <w:name w:val="Placeholder Text"/>
    <w:basedOn w:val="958"/>
    <w:uiPriority w:val="99"/>
    <w:semiHidden/>
    <w:pPr>
      <w:pBdr/>
      <w:spacing/>
      <w:ind/>
    </w:pPr>
    <w:rPr>
      <w:color w:val="666666"/>
    </w:rPr>
  </w:style>
  <w:style w:type="paragraph" w:styleId="949">
    <w:name w:val="TOC Heading"/>
    <w:uiPriority w:val="39"/>
    <w:unhideWhenUsed/>
    <w:pPr>
      <w:pBdr/>
      <w:spacing/>
      <w:ind/>
    </w:pPr>
  </w:style>
  <w:style w:type="paragraph" w:styleId="950">
    <w:name w:val="table of figures"/>
    <w:basedOn w:val="951"/>
    <w:next w:val="951"/>
    <w:uiPriority w:val="99"/>
    <w:unhideWhenUsed/>
    <w:pPr>
      <w:pBdr/>
      <w:spacing w:after="0" w:afterAutospacing="0"/>
      <w:ind/>
    </w:pPr>
  </w:style>
  <w:style w:type="paragraph" w:styleId="951" w:default="1">
    <w:name w:val="Normal"/>
    <w:qFormat/>
    <w:pPr>
      <w:pBdr/>
      <w:spacing/>
      <w:ind/>
    </w:pPr>
  </w:style>
  <w:style w:type="paragraph" w:styleId="952">
    <w:name w:val="Heading 1"/>
    <w:basedOn w:val="951"/>
    <w:next w:val="951"/>
    <w:uiPriority w:val="9"/>
    <w:qFormat/>
    <w:pPr>
      <w:keepNext w:val="true"/>
      <w:keepLines w:val="true"/>
      <w:pBdr/>
      <w:spacing w:after="120" w:before="400"/>
      <w:ind/>
      <w:outlineLvl w:val="0"/>
    </w:pPr>
    <w:rPr>
      <w:sz w:val="40"/>
      <w:szCs w:val="40"/>
    </w:rPr>
  </w:style>
  <w:style w:type="paragraph" w:styleId="953">
    <w:name w:val="Heading 2"/>
    <w:basedOn w:val="951"/>
    <w:next w:val="951"/>
    <w:uiPriority w:val="9"/>
    <w:semiHidden/>
    <w:unhideWhenUsed/>
    <w:qFormat/>
    <w:pPr>
      <w:keepNext w:val="true"/>
      <w:keepLines w:val="true"/>
      <w:pBdr/>
      <w:spacing w:after="120" w:before="360"/>
      <w:ind/>
      <w:outlineLvl w:val="1"/>
    </w:pPr>
    <w:rPr>
      <w:sz w:val="32"/>
      <w:szCs w:val="32"/>
    </w:rPr>
  </w:style>
  <w:style w:type="paragraph" w:styleId="954">
    <w:name w:val="Heading 3"/>
    <w:basedOn w:val="951"/>
    <w:next w:val="951"/>
    <w:uiPriority w:val="9"/>
    <w:semiHidden/>
    <w:unhideWhenUsed/>
    <w:qFormat/>
    <w:pPr>
      <w:keepNext w:val="true"/>
      <w:keepLines w:val="true"/>
      <w:pBdr/>
      <w:spacing w:after="80" w:before="320"/>
      <w:ind/>
      <w:outlineLvl w:val="2"/>
    </w:pPr>
    <w:rPr>
      <w:color w:val="434343"/>
      <w:sz w:val="28"/>
      <w:szCs w:val="28"/>
    </w:rPr>
  </w:style>
  <w:style w:type="paragraph" w:styleId="955">
    <w:name w:val="Heading 4"/>
    <w:basedOn w:val="951"/>
    <w:next w:val="951"/>
    <w:uiPriority w:val="9"/>
    <w:semiHidden/>
    <w:unhideWhenUsed/>
    <w:qFormat/>
    <w:pPr>
      <w:keepNext w:val="true"/>
      <w:keepLines w:val="true"/>
      <w:pBdr/>
      <w:spacing w:after="80" w:before="280"/>
      <w:ind/>
      <w:outlineLvl w:val="3"/>
    </w:pPr>
    <w:rPr>
      <w:color w:val="666666"/>
      <w:sz w:val="24"/>
      <w:szCs w:val="24"/>
    </w:rPr>
  </w:style>
  <w:style w:type="paragraph" w:styleId="956">
    <w:name w:val="Heading 5"/>
    <w:basedOn w:val="951"/>
    <w:next w:val="951"/>
    <w:uiPriority w:val="9"/>
    <w:semiHidden/>
    <w:unhideWhenUsed/>
    <w:qFormat/>
    <w:pPr>
      <w:keepNext w:val="true"/>
      <w:keepLines w:val="true"/>
      <w:pBdr/>
      <w:spacing w:after="80" w:before="240"/>
      <w:ind/>
      <w:outlineLvl w:val="4"/>
    </w:pPr>
    <w:rPr>
      <w:color w:val="666666"/>
    </w:rPr>
  </w:style>
  <w:style w:type="paragraph" w:styleId="957">
    <w:name w:val="Heading 6"/>
    <w:basedOn w:val="951"/>
    <w:next w:val="951"/>
    <w:uiPriority w:val="9"/>
    <w:semiHidden/>
    <w:unhideWhenUsed/>
    <w:qFormat/>
    <w:pPr>
      <w:keepNext w:val="true"/>
      <w:keepLines w:val="true"/>
      <w:pBdr/>
      <w:spacing w:after="80" w:before="240"/>
      <w:ind/>
      <w:outlineLvl w:val="5"/>
    </w:pPr>
    <w:rPr>
      <w:i/>
      <w:color w:val="666666"/>
    </w:rPr>
  </w:style>
  <w:style w:type="character" w:styleId="958" w:default="1">
    <w:name w:val="Default Paragraph Font"/>
    <w:uiPriority w:val="1"/>
    <w:semiHidden/>
    <w:unhideWhenUsed/>
    <w:pPr>
      <w:pBdr/>
      <w:spacing/>
      <w:ind/>
    </w:pPr>
  </w:style>
  <w:style w:type="table" w:styleId="9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0" w:default="1">
    <w:name w:val="No List"/>
    <w:uiPriority w:val="99"/>
    <w:semiHidden/>
    <w:unhideWhenUsed/>
    <w:pPr>
      <w:pBdr/>
      <w:spacing/>
      <w:ind/>
    </w:pPr>
  </w:style>
  <w:style w:type="table" w:styleId="96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name w:val="Title"/>
    <w:basedOn w:val="951"/>
    <w:next w:val="951"/>
    <w:uiPriority w:val="10"/>
    <w:qFormat/>
    <w:pPr>
      <w:keepNext w:val="true"/>
      <w:keepLines w:val="true"/>
      <w:pBdr/>
      <w:spacing w:after="60"/>
      <w:ind/>
    </w:pPr>
    <w:rPr>
      <w:sz w:val="52"/>
      <w:szCs w:val="52"/>
    </w:rPr>
  </w:style>
  <w:style w:type="paragraph" w:styleId="963">
    <w:name w:val="Subtitle"/>
    <w:basedOn w:val="951"/>
    <w:next w:val="951"/>
    <w:uiPriority w:val="11"/>
    <w:qFormat/>
    <w:pPr>
      <w:keepNext w:val="true"/>
      <w:keepLines w:val="true"/>
      <w:pBdr/>
      <w:spacing w:after="320"/>
      <w:ind/>
    </w:pPr>
    <w:rPr>
      <w:color w:val="666666"/>
      <w:sz w:val="30"/>
      <w:szCs w:val="30"/>
    </w:rPr>
  </w:style>
  <w:style w:type="paragraph" w:styleId="964">
    <w:name w:val="Header"/>
    <w:basedOn w:val="951"/>
    <w:link w:val="965"/>
    <w:uiPriority w:val="99"/>
    <w:unhideWhenUsed/>
    <w:pPr>
      <w:pBdr/>
      <w:tabs>
        <w:tab w:val="center" w:leader="none" w:pos="4513"/>
        <w:tab w:val="right" w:leader="none" w:pos="9026"/>
      </w:tabs>
      <w:spacing w:line="240" w:lineRule="auto"/>
      <w:ind/>
    </w:pPr>
  </w:style>
  <w:style w:type="character" w:styleId="965" w:customStyle="1">
    <w:name w:val="Header Char"/>
    <w:basedOn w:val="958"/>
    <w:link w:val="964"/>
    <w:uiPriority w:val="99"/>
    <w:pPr>
      <w:pBdr/>
      <w:spacing/>
      <w:ind/>
    </w:pPr>
  </w:style>
  <w:style w:type="paragraph" w:styleId="966">
    <w:name w:val="Footer"/>
    <w:basedOn w:val="951"/>
    <w:link w:val="967"/>
    <w:uiPriority w:val="99"/>
    <w:unhideWhenUsed/>
    <w:pPr>
      <w:pBdr/>
      <w:tabs>
        <w:tab w:val="center" w:leader="none" w:pos="4513"/>
        <w:tab w:val="right" w:leader="none" w:pos="9026"/>
      </w:tabs>
      <w:spacing w:line="240" w:lineRule="auto"/>
      <w:ind/>
    </w:pPr>
  </w:style>
  <w:style w:type="character" w:styleId="967" w:customStyle="1">
    <w:name w:val="Footer Char"/>
    <w:basedOn w:val="958"/>
    <w:link w:val="96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6</cp:revision>
  <dcterms:created xsi:type="dcterms:W3CDTF">2025-07-21T00:34:00Z</dcterms:created>
  <dcterms:modified xsi:type="dcterms:W3CDTF">2025-12-12T06:59:02Z</dcterms:modified>
</cp:coreProperties>
</file>